
<file path=[Content_Types].xml><?xml version="1.0" encoding="utf-8"?>
<Types xmlns="http://schemas.openxmlformats.org/package/2006/content-types">
  <Default Extension="xml" ContentType="application/xml"/>
  <Default Extension="bin" ContentType="application/vnd.openxmlformats-officedocument.oleObject"/>
  <Default Extension="jpeg" ContentType="image/jpeg"/>
  <Default Extension="JPG" ContentType="image/.jpg"/>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customizations.xml" ContentType="application/vnd.ms-word.keyMapCustomization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ackground w:color="FFFFFF"/>
  <w:body>
    <w:p w14:paraId="7920177D">
      <w:pPr>
        <w:ind w:firstLine="412"/>
        <w:rPr>
          <w:rFonts w:ascii="Times New Roman" w:hAnsi="Times New Roman" w:eastAsiaTheme="minorEastAsia"/>
          <w:color w:val="000000" w:themeColor="text1"/>
          <w:sz w:val="21"/>
          <w:szCs w:val="22"/>
          <w:lang w:val="en-GB"/>
          <w14:textFill>
            <w14:solidFill>
              <w14:schemeClr w14:val="tx1"/>
            </w14:solidFill>
          </w14:textFill>
        </w:rPr>
      </w:pPr>
    </w:p>
    <w:p w14:paraId="5F320C0C">
      <w:pPr>
        <w:ind w:firstLine="412"/>
        <w:rPr>
          <w:rFonts w:ascii="Times New Roman" w:hAnsi="Times New Roman" w:eastAsia="Times New Roman"/>
          <w:color w:val="000000" w:themeColor="text1"/>
          <w:sz w:val="21"/>
          <w:szCs w:val="22"/>
          <w:lang w:val="en-GB"/>
          <w14:textFill>
            <w14:solidFill>
              <w14:schemeClr w14:val="tx1"/>
            </w14:solidFill>
          </w14:textFill>
        </w:rPr>
      </w:pPr>
    </w:p>
    <w:p w14:paraId="1E050918">
      <w:pPr>
        <w:ind w:firstLine="412"/>
        <w:rPr>
          <w:rFonts w:ascii="Times New Roman" w:hAnsi="Times New Roman" w:eastAsia="Times New Roman"/>
          <w:color w:val="000000" w:themeColor="text1"/>
          <w:sz w:val="21"/>
          <w:szCs w:val="22"/>
          <w:lang w:val="en-GB"/>
          <w14:textFill>
            <w14:solidFill>
              <w14:schemeClr w14:val="tx1"/>
            </w14:solidFill>
          </w14:textFill>
        </w:rPr>
      </w:pPr>
    </w:p>
    <w:p w14:paraId="423AA44D">
      <w:pPr>
        <w:ind w:firstLine="412"/>
        <w:rPr>
          <w:rFonts w:ascii="Times New Roman" w:hAnsi="Times New Roman" w:eastAsia="Times New Roman"/>
          <w:color w:val="000000" w:themeColor="text1"/>
          <w:sz w:val="21"/>
          <w:szCs w:val="22"/>
          <w:lang w:val="en-GB"/>
          <w14:textFill>
            <w14:solidFill>
              <w14:schemeClr w14:val="tx1"/>
            </w14:solidFill>
          </w14:textFill>
        </w:rPr>
      </w:pPr>
    </w:p>
    <w:p w14:paraId="5EBDFBDB">
      <w:pPr>
        <w:ind w:firstLine="412"/>
        <w:rPr>
          <w:rFonts w:ascii="Times New Roman" w:hAnsi="Times New Roman" w:eastAsia="Times New Roman"/>
          <w:color w:val="000000" w:themeColor="text1"/>
          <w:sz w:val="21"/>
          <w:szCs w:val="22"/>
          <w:lang w:val="en-GB"/>
          <w14:textFill>
            <w14:solidFill>
              <w14:schemeClr w14:val="tx1"/>
            </w14:solidFill>
          </w14:textFill>
        </w:rPr>
      </w:pPr>
    </w:p>
    <w:p w14:paraId="02CF17BF">
      <w:pPr>
        <w:ind w:firstLine="0" w:firstLineChars="0"/>
        <w:jc w:val="center"/>
        <w:rPr>
          <w:rFonts w:hint="eastAsia"/>
          <w:b/>
          <w:kern w:val="0"/>
          <w:sz w:val="44"/>
        </w:rPr>
      </w:pPr>
      <w:r>
        <w:rPr>
          <w:rFonts w:hint="eastAsia" w:ascii="Times New Roman" w:hAnsi="Times New Roman" w:eastAsia="宋体" w:cs="Times New Roman"/>
          <w:b/>
          <w:bCs/>
          <w:color w:val="000000" w:themeColor="text1"/>
          <w:sz w:val="44"/>
          <w:szCs w:val="44"/>
          <w:lang w:val="en-US" w:eastAsia="zh-CN"/>
          <w14:textFill>
            <w14:solidFill>
              <w14:schemeClr w14:val="tx1"/>
            </w14:solidFill>
          </w14:textFill>
        </w:rPr>
        <w:t>广南县麦地大山建筑石料用石灰岩矿</w:t>
      </w:r>
    </w:p>
    <w:p w14:paraId="2FFB0549">
      <w:pPr>
        <w:ind w:firstLine="0" w:firstLineChars="0"/>
        <w:jc w:val="center"/>
        <w:rPr>
          <w:rFonts w:ascii="Times New Roman" w:hAnsi="Times New Roman"/>
          <w:b/>
          <w:bCs/>
          <w:color w:val="000000" w:themeColor="text1"/>
          <w:sz w:val="44"/>
          <w:szCs w:val="44"/>
          <w14:textFill>
            <w14:solidFill>
              <w14:schemeClr w14:val="tx1"/>
            </w14:solidFill>
          </w14:textFill>
        </w:rPr>
      </w:pPr>
      <w:r>
        <w:rPr>
          <w:rFonts w:hint="eastAsia" w:ascii="Times New Roman" w:hAnsi="Times New Roman"/>
          <w:b/>
          <w:bCs/>
          <w:color w:val="000000" w:themeColor="text1"/>
          <w:sz w:val="44"/>
          <w:szCs w:val="44"/>
          <w:lang w:val="en-US" w:eastAsia="zh-CN"/>
          <w14:textFill>
            <w14:solidFill>
              <w14:schemeClr w14:val="tx1"/>
            </w14:solidFill>
          </w14:textFill>
        </w:rPr>
        <w:t>5</w:t>
      </w:r>
      <w:r>
        <w:rPr>
          <w:rFonts w:ascii="Times New Roman" w:hAnsi="Times New Roman"/>
          <w:b/>
          <w:bCs/>
          <w:color w:val="000000" w:themeColor="text1"/>
          <w:sz w:val="44"/>
          <w:szCs w:val="44"/>
          <w14:textFill>
            <w14:solidFill>
              <w14:schemeClr w14:val="tx1"/>
            </w14:solidFill>
          </w14:textFill>
        </w:rPr>
        <w:t>0万t/a露天采矿工程</w:t>
      </w:r>
    </w:p>
    <w:p w14:paraId="4C067D9D">
      <w:pPr>
        <w:ind w:firstLine="412"/>
        <w:jc w:val="center"/>
        <w:rPr>
          <w:rFonts w:ascii="Times New Roman" w:hAnsi="Times New Roman" w:eastAsia="Times New Roman"/>
          <w:color w:val="000000" w:themeColor="text1"/>
          <w:sz w:val="21"/>
          <w:szCs w:val="22"/>
          <w:lang w:val="en-GB"/>
          <w14:textFill>
            <w14:solidFill>
              <w14:schemeClr w14:val="tx1"/>
            </w14:solidFill>
          </w14:textFill>
        </w:rPr>
      </w:pPr>
    </w:p>
    <w:p w14:paraId="300DBD70">
      <w:pPr>
        <w:ind w:firstLine="0" w:firstLineChars="0"/>
        <w:jc w:val="center"/>
        <w:rPr>
          <w:rFonts w:ascii="Times New Roman" w:hAnsi="Times New Roman"/>
          <w:b/>
          <w:color w:val="000000" w:themeColor="text1"/>
          <w:sz w:val="44"/>
          <w:szCs w:val="44"/>
          <w:lang w:val="en-GB"/>
          <w14:textFill>
            <w14:solidFill>
              <w14:schemeClr w14:val="tx1"/>
            </w14:solidFill>
          </w14:textFill>
        </w:rPr>
      </w:pPr>
      <w:r>
        <w:rPr>
          <w:rFonts w:ascii="Times New Roman" w:hAnsi="Times New Roman" w:eastAsia="黑体"/>
          <w:color w:val="000000" w:themeColor="text1"/>
          <w:sz w:val="52"/>
          <w:szCs w:val="52"/>
          <w14:textFill>
            <w14:solidFill>
              <w14:schemeClr w14:val="tx1"/>
            </w14:solidFill>
          </w14:textFill>
        </w:rPr>
        <w:t>安全设施验收评价报告</w:t>
      </w:r>
    </w:p>
    <w:p w14:paraId="1A293D84">
      <w:pPr>
        <w:ind w:firstLine="412"/>
        <w:rPr>
          <w:rFonts w:ascii="Times New Roman" w:hAnsi="Times New Roman" w:eastAsia="Times New Roman"/>
          <w:color w:val="000000" w:themeColor="text1"/>
          <w:sz w:val="21"/>
          <w:szCs w:val="22"/>
          <w:lang w:val="en-GB"/>
          <w14:textFill>
            <w14:solidFill>
              <w14:schemeClr w14:val="tx1"/>
            </w14:solidFill>
          </w14:textFill>
        </w:rPr>
      </w:pPr>
    </w:p>
    <w:p w14:paraId="3B29C3E6">
      <w:pPr>
        <w:ind w:firstLine="0" w:firstLineChars="0"/>
        <w:jc w:val="center"/>
        <w:rPr>
          <w:rFonts w:hint="eastAsia" w:ascii="Times New Roman" w:hAnsi="Times New Roman" w:eastAsia="黑体"/>
          <w:color w:val="000000" w:themeColor="text1"/>
          <w:sz w:val="48"/>
          <w:szCs w:val="48"/>
          <w:lang w:eastAsia="zh-CN"/>
          <w14:textFill>
            <w14:solidFill>
              <w14:schemeClr w14:val="tx1"/>
            </w14:solidFill>
          </w14:textFill>
        </w:rPr>
      </w:pPr>
      <w:r>
        <w:rPr>
          <w:rFonts w:hint="eastAsia" w:ascii="Times New Roman" w:hAnsi="Times New Roman" w:eastAsia="黑体"/>
          <w:color w:val="000000" w:themeColor="text1"/>
          <w:sz w:val="48"/>
          <w:szCs w:val="48"/>
          <w:lang w:val="en-US" w:eastAsia="zh-CN"/>
          <w14:textFill>
            <w14:solidFill>
              <w14:schemeClr w14:val="tx1"/>
            </w14:solidFill>
          </w14:textFill>
        </w:rPr>
        <w:t>（终</w:t>
      </w:r>
      <w:r>
        <w:rPr>
          <w:rFonts w:ascii="Times New Roman" w:hAnsi="Times New Roman" w:eastAsia="黑体"/>
          <w:color w:val="000000" w:themeColor="text1"/>
          <w:sz w:val="48"/>
          <w:szCs w:val="48"/>
          <w14:textFill>
            <w14:solidFill>
              <w14:schemeClr w14:val="tx1"/>
            </w14:solidFill>
          </w14:textFill>
        </w:rPr>
        <w:t>稿</w:t>
      </w:r>
      <w:r>
        <w:rPr>
          <w:rFonts w:hint="eastAsia" w:ascii="Times New Roman" w:hAnsi="Times New Roman" w:eastAsia="黑体"/>
          <w:color w:val="000000" w:themeColor="text1"/>
          <w:sz w:val="48"/>
          <w:szCs w:val="48"/>
          <w:lang w:eastAsia="zh-CN"/>
          <w14:textFill>
            <w14:solidFill>
              <w14:schemeClr w14:val="tx1"/>
            </w14:solidFill>
          </w14:textFill>
        </w:rPr>
        <w:t>）</w:t>
      </w:r>
    </w:p>
    <w:p w14:paraId="4C4D2B51">
      <w:pPr>
        <w:ind w:firstLine="412"/>
        <w:rPr>
          <w:rFonts w:ascii="Times New Roman" w:hAnsi="Times New Roman" w:eastAsia="Times New Roman"/>
          <w:color w:val="000000" w:themeColor="text1"/>
          <w:sz w:val="21"/>
          <w:szCs w:val="22"/>
          <w:lang w:val="en-GB"/>
          <w14:textFill>
            <w14:solidFill>
              <w14:schemeClr w14:val="tx1"/>
            </w14:solidFill>
          </w14:textFill>
        </w:rPr>
      </w:pPr>
    </w:p>
    <w:p w14:paraId="47839752">
      <w:pPr>
        <w:ind w:firstLine="412"/>
        <w:rPr>
          <w:rFonts w:ascii="Times New Roman" w:hAnsi="Times New Roman" w:eastAsia="Times New Roman"/>
          <w:color w:val="000000" w:themeColor="text1"/>
          <w:sz w:val="21"/>
          <w:szCs w:val="22"/>
          <w:lang w:val="en-GB"/>
          <w14:textFill>
            <w14:solidFill>
              <w14:schemeClr w14:val="tx1"/>
            </w14:solidFill>
          </w14:textFill>
        </w:rPr>
      </w:pPr>
    </w:p>
    <w:p w14:paraId="1E50F6EA">
      <w:pPr>
        <w:ind w:firstLine="412"/>
        <w:rPr>
          <w:rFonts w:ascii="Times New Roman" w:hAnsi="Times New Roman" w:eastAsia="Times New Roman"/>
          <w:color w:val="000000" w:themeColor="text1"/>
          <w:sz w:val="21"/>
          <w:szCs w:val="22"/>
          <w:lang w:val="en-GB"/>
          <w14:textFill>
            <w14:solidFill>
              <w14:schemeClr w14:val="tx1"/>
            </w14:solidFill>
          </w14:textFill>
        </w:rPr>
      </w:pPr>
    </w:p>
    <w:p w14:paraId="231D257C">
      <w:pPr>
        <w:ind w:firstLine="412"/>
        <w:rPr>
          <w:rFonts w:ascii="Times New Roman" w:hAnsi="Times New Roman" w:eastAsia="Times New Roman"/>
          <w:color w:val="000000" w:themeColor="text1"/>
          <w:sz w:val="21"/>
          <w:szCs w:val="22"/>
          <w:lang w:val="en-GB"/>
          <w14:textFill>
            <w14:solidFill>
              <w14:schemeClr w14:val="tx1"/>
            </w14:solidFill>
          </w14:textFill>
        </w:rPr>
      </w:pPr>
    </w:p>
    <w:p w14:paraId="3033BB8C">
      <w:pPr>
        <w:ind w:firstLine="412"/>
        <w:rPr>
          <w:rFonts w:ascii="Times New Roman" w:hAnsi="Times New Roman" w:eastAsia="Times New Roman"/>
          <w:color w:val="000000" w:themeColor="text1"/>
          <w:sz w:val="21"/>
          <w:szCs w:val="22"/>
          <w:lang w:val="en-GB"/>
          <w14:textFill>
            <w14:solidFill>
              <w14:schemeClr w14:val="tx1"/>
            </w14:solidFill>
          </w14:textFill>
        </w:rPr>
      </w:pPr>
    </w:p>
    <w:p w14:paraId="4BAEB7DC">
      <w:pPr>
        <w:ind w:firstLine="412"/>
        <w:rPr>
          <w:rFonts w:ascii="Times New Roman" w:hAnsi="Times New Roman" w:eastAsia="Times New Roman"/>
          <w:color w:val="000000" w:themeColor="text1"/>
          <w:sz w:val="21"/>
          <w:szCs w:val="22"/>
          <w:lang w:val="en-GB"/>
          <w14:textFill>
            <w14:solidFill>
              <w14:schemeClr w14:val="tx1"/>
            </w14:solidFill>
          </w14:textFill>
        </w:rPr>
      </w:pPr>
    </w:p>
    <w:p w14:paraId="08D05023">
      <w:pPr>
        <w:ind w:firstLine="412"/>
        <w:rPr>
          <w:rFonts w:ascii="Times New Roman" w:hAnsi="Times New Roman" w:eastAsia="Times New Roman"/>
          <w:color w:val="000000" w:themeColor="text1"/>
          <w:sz w:val="21"/>
          <w:szCs w:val="22"/>
          <w:lang w:val="en-GB"/>
          <w14:textFill>
            <w14:solidFill>
              <w14:schemeClr w14:val="tx1"/>
            </w14:solidFill>
          </w14:textFill>
        </w:rPr>
      </w:pPr>
    </w:p>
    <w:p w14:paraId="3A9F00B1">
      <w:pPr>
        <w:ind w:firstLine="0" w:firstLineChars="0"/>
        <w:jc w:val="center"/>
        <w:rPr>
          <w:rFonts w:ascii="Times New Roman" w:hAnsi="Times New Roman"/>
          <w:b/>
          <w:color w:val="000000" w:themeColor="text1"/>
          <w:sz w:val="36"/>
          <w:szCs w:val="36"/>
          <w:lang w:val="en-GB"/>
          <w14:textFill>
            <w14:solidFill>
              <w14:schemeClr w14:val="tx1"/>
            </w14:solidFill>
          </w14:textFill>
        </w:rPr>
      </w:pPr>
    </w:p>
    <w:p w14:paraId="00EA6610">
      <w:pPr>
        <w:ind w:firstLine="0" w:firstLineChars="0"/>
        <w:jc w:val="center"/>
        <w:rPr>
          <w:rFonts w:ascii="Times New Roman" w:hAnsi="Times New Roman"/>
          <w:b/>
          <w:color w:val="000000" w:themeColor="text1"/>
          <w:sz w:val="36"/>
          <w:szCs w:val="36"/>
          <w:lang w:val="en-GB"/>
          <w14:textFill>
            <w14:solidFill>
              <w14:schemeClr w14:val="tx1"/>
            </w14:solidFill>
          </w14:textFill>
        </w:rPr>
      </w:pPr>
    </w:p>
    <w:p w14:paraId="3B5A2C89">
      <w:pPr>
        <w:ind w:firstLine="0" w:firstLineChars="0"/>
        <w:jc w:val="center"/>
        <w:rPr>
          <w:rFonts w:ascii="Times New Roman" w:hAnsi="Times New Roman"/>
          <w:b/>
          <w:color w:val="000000" w:themeColor="text1"/>
          <w:sz w:val="36"/>
          <w:szCs w:val="36"/>
          <w:lang w:val="en-GB"/>
          <w14:textFill>
            <w14:solidFill>
              <w14:schemeClr w14:val="tx1"/>
            </w14:solidFill>
          </w14:textFill>
        </w:rPr>
      </w:pPr>
    </w:p>
    <w:p w14:paraId="0D6B4A82">
      <w:pPr>
        <w:ind w:firstLine="0" w:firstLineChars="0"/>
        <w:jc w:val="center"/>
        <w:rPr>
          <w:rFonts w:ascii="Times New Roman" w:hAnsi="Times New Roman"/>
          <w:b/>
          <w:color w:val="000000" w:themeColor="text1"/>
          <w:sz w:val="36"/>
          <w:szCs w:val="36"/>
          <w:lang w:val="en-GB"/>
          <w14:textFill>
            <w14:solidFill>
              <w14:schemeClr w14:val="tx1"/>
            </w14:solidFill>
          </w14:textFill>
        </w:rPr>
      </w:pPr>
    </w:p>
    <w:p w14:paraId="681607C9">
      <w:pPr>
        <w:ind w:firstLine="0" w:firstLineChars="0"/>
        <w:jc w:val="center"/>
        <w:rPr>
          <w:rFonts w:ascii="Times New Roman" w:hAnsi="Times New Roman" w:eastAsia="Times New Roman"/>
          <w:b/>
          <w:color w:val="000000" w:themeColor="text1"/>
          <w:sz w:val="36"/>
          <w:szCs w:val="36"/>
          <w:lang w:val="en-GB"/>
          <w14:textFill>
            <w14:solidFill>
              <w14:schemeClr w14:val="tx1"/>
            </w14:solidFill>
          </w14:textFill>
        </w:rPr>
      </w:pPr>
      <w:r>
        <w:rPr>
          <w:rFonts w:ascii="Times New Roman" w:hAnsi="Times New Roman"/>
          <w:b/>
          <w:color w:val="000000" w:themeColor="text1"/>
          <w:sz w:val="36"/>
          <w:szCs w:val="36"/>
          <w:lang w:val="en-GB"/>
          <w14:textFill>
            <w14:solidFill>
              <w14:schemeClr w14:val="tx1"/>
            </w14:solidFill>
          </w14:textFill>
        </w:rPr>
        <w:t>江西赣安安全生产科学技术咨询服务中心</w:t>
      </w:r>
    </w:p>
    <w:p w14:paraId="30358A74">
      <w:pPr>
        <w:ind w:firstLine="594"/>
        <w:jc w:val="center"/>
        <w:rPr>
          <w:rFonts w:ascii="Times New Roman" w:hAnsi="Times New Roman" w:eastAsia="Times New Roman"/>
          <w:b/>
          <w:color w:val="000000" w:themeColor="text1"/>
          <w:sz w:val="30"/>
          <w:szCs w:val="30"/>
          <w:lang w:val="en-GB"/>
          <w14:textFill>
            <w14:solidFill>
              <w14:schemeClr w14:val="tx1"/>
            </w14:solidFill>
          </w14:textFill>
        </w:rPr>
      </w:pPr>
      <w:r>
        <w:rPr>
          <w:rFonts w:ascii="Times New Roman" w:hAnsi="Times New Roman"/>
          <w:b/>
          <w:color w:val="000000" w:themeColor="text1"/>
          <w:sz w:val="30"/>
          <w:szCs w:val="30"/>
          <w:lang w:val="en-GB"/>
          <w14:textFill>
            <w14:solidFill>
              <w14:schemeClr w14:val="tx1"/>
            </w14:solidFill>
          </w14:textFill>
        </w:rPr>
        <w:t>资质证书编号：APJ-（赣）-002</w:t>
      </w:r>
    </w:p>
    <w:p w14:paraId="110D5537">
      <w:pPr>
        <w:ind w:firstLine="594"/>
        <w:jc w:val="center"/>
        <w:rPr>
          <w:rFonts w:ascii="Times New Roman" w:hAnsi="Times New Roman" w:eastAsia="Times New Roman"/>
          <w:b/>
          <w:color w:val="000000" w:themeColor="text1"/>
          <w:sz w:val="30"/>
          <w:szCs w:val="30"/>
          <w:lang w:val="en-GB"/>
          <w14:textFill>
            <w14:solidFill>
              <w14:schemeClr w14:val="tx1"/>
            </w14:solidFill>
          </w14:textFill>
        </w:rPr>
      </w:pPr>
      <w:r>
        <w:rPr>
          <w:rFonts w:ascii="Times New Roman" w:hAnsi="Times New Roman"/>
          <w:b/>
          <w:color w:val="000000" w:themeColor="text1"/>
          <w:sz w:val="30"/>
          <w:szCs w:val="30"/>
          <w:lang w:val="en-GB"/>
          <w14:textFill>
            <w14:solidFill>
              <w14:schemeClr w14:val="tx1"/>
            </w14:solidFill>
          </w14:textFill>
        </w:rPr>
        <w:t>二〇二</w:t>
      </w:r>
      <w:r>
        <w:rPr>
          <w:rFonts w:hint="eastAsia" w:ascii="Times New Roman" w:hAnsi="Times New Roman"/>
          <w:b/>
          <w:color w:val="000000" w:themeColor="text1"/>
          <w:sz w:val="30"/>
          <w:szCs w:val="30"/>
          <w:lang w:val="en-US" w:eastAsia="zh-CN"/>
          <w14:textFill>
            <w14:solidFill>
              <w14:schemeClr w14:val="tx1"/>
            </w14:solidFill>
          </w14:textFill>
        </w:rPr>
        <w:t>六</w:t>
      </w:r>
      <w:r>
        <w:rPr>
          <w:rFonts w:ascii="Times New Roman" w:hAnsi="Times New Roman"/>
          <w:b/>
          <w:color w:val="000000" w:themeColor="text1"/>
          <w:sz w:val="30"/>
          <w:szCs w:val="30"/>
          <w:lang w:val="en-GB"/>
          <w14:textFill>
            <w14:solidFill>
              <w14:schemeClr w14:val="tx1"/>
            </w14:solidFill>
          </w14:textFill>
        </w:rPr>
        <w:t>年</w:t>
      </w:r>
      <w:r>
        <w:rPr>
          <w:rFonts w:hint="eastAsia" w:ascii="Times New Roman" w:hAnsi="Times New Roman"/>
          <w:b/>
          <w:color w:val="000000" w:themeColor="text1"/>
          <w:sz w:val="30"/>
          <w:szCs w:val="30"/>
          <w:lang w:val="en-US" w:eastAsia="zh-CN"/>
          <w14:textFill>
            <w14:solidFill>
              <w14:schemeClr w14:val="tx1"/>
            </w14:solidFill>
          </w14:textFill>
        </w:rPr>
        <w:t>四</w:t>
      </w:r>
      <w:r>
        <w:rPr>
          <w:rFonts w:ascii="Times New Roman" w:hAnsi="Times New Roman"/>
          <w:b/>
          <w:color w:val="000000" w:themeColor="text1"/>
          <w:sz w:val="30"/>
          <w:szCs w:val="30"/>
          <w:lang w:val="en-GB"/>
          <w14:textFill>
            <w14:solidFill>
              <w14:schemeClr w14:val="tx1"/>
            </w14:solidFill>
          </w14:textFill>
        </w:rPr>
        <w:t>月</w:t>
      </w:r>
    </w:p>
    <w:p w14:paraId="478AE6FD">
      <w:pPr>
        <w:ind w:firstLine="412"/>
        <w:rPr>
          <w:rFonts w:ascii="Times New Roman" w:hAnsi="Times New Roman" w:eastAsia="Times New Roman"/>
          <w:color w:val="000000" w:themeColor="text1"/>
          <w:sz w:val="21"/>
          <w:szCs w:val="22"/>
          <w:lang w:val="en-GB"/>
          <w14:textFill>
            <w14:solidFill>
              <w14:schemeClr w14:val="tx1"/>
            </w14:solidFill>
          </w14:textFill>
        </w:rPr>
        <w:sectPr>
          <w:headerReference r:id="rId7" w:type="first"/>
          <w:footerReference r:id="rId10" w:type="first"/>
          <w:headerReference r:id="rId5" w:type="default"/>
          <w:footerReference r:id="rId8" w:type="default"/>
          <w:headerReference r:id="rId6" w:type="even"/>
          <w:footerReference r:id="rId9" w:type="even"/>
          <w:pgSz w:w="11906" w:h="16838"/>
          <w:pgMar w:top="1418" w:right="1134" w:bottom="1418" w:left="1418" w:header="794" w:footer="794" w:gutter="0"/>
          <w:pgBorders>
            <w:top w:val="none" w:sz="0" w:space="0"/>
            <w:left w:val="none" w:sz="0" w:space="0"/>
            <w:bottom w:val="none" w:sz="0" w:space="0"/>
            <w:right w:val="none" w:sz="0" w:space="0"/>
          </w:pgBorders>
          <w:pgNumType w:fmt="decimal"/>
          <w:cols w:space="720" w:num="1"/>
          <w:docGrid w:type="lines" w:linePitch="312" w:charSpace="0"/>
        </w:sectPr>
      </w:pPr>
    </w:p>
    <w:p w14:paraId="36CC40BE">
      <w:pPr>
        <w:ind w:firstLine="552"/>
        <w:rPr>
          <w:rFonts w:ascii="Times New Roman" w:hAnsi="Times New Roman"/>
          <w:color w:val="000000" w:themeColor="text1"/>
          <w:lang w:val="en-GB"/>
          <w14:textFill>
            <w14:solidFill>
              <w14:schemeClr w14:val="tx1"/>
            </w14:solidFill>
          </w14:textFill>
        </w:rPr>
      </w:pPr>
    </w:p>
    <w:p w14:paraId="0FCF9A2C">
      <w:pPr>
        <w:ind w:firstLine="0" w:firstLineChars="0"/>
        <w:jc w:val="center"/>
        <w:rPr>
          <w:rFonts w:hint="eastAsia"/>
          <w:b/>
          <w:kern w:val="0"/>
          <w:sz w:val="44"/>
        </w:rPr>
      </w:pPr>
    </w:p>
    <w:p w14:paraId="1C74A9BC">
      <w:pPr>
        <w:ind w:firstLine="0" w:firstLineChars="0"/>
        <w:jc w:val="center"/>
        <w:rPr>
          <w:rFonts w:hint="eastAsia"/>
          <w:b/>
          <w:kern w:val="0"/>
          <w:sz w:val="44"/>
        </w:rPr>
      </w:pPr>
    </w:p>
    <w:p w14:paraId="60D7ED90">
      <w:pPr>
        <w:ind w:firstLine="0" w:firstLineChars="0"/>
        <w:jc w:val="center"/>
        <w:rPr>
          <w:rFonts w:hint="eastAsia"/>
          <w:b/>
          <w:kern w:val="0"/>
          <w:sz w:val="44"/>
        </w:rPr>
      </w:pPr>
      <w:r>
        <w:rPr>
          <w:rFonts w:hint="eastAsia" w:ascii="Times New Roman" w:hAnsi="Times New Roman" w:eastAsia="宋体" w:cs="Times New Roman"/>
          <w:b/>
          <w:bCs/>
          <w:color w:val="000000" w:themeColor="text1"/>
          <w:sz w:val="44"/>
          <w:szCs w:val="44"/>
          <w:lang w:val="en-US" w:eastAsia="zh-CN"/>
          <w14:textFill>
            <w14:solidFill>
              <w14:schemeClr w14:val="tx1"/>
            </w14:solidFill>
          </w14:textFill>
        </w:rPr>
        <w:t>广南县麦地大山建筑石料用石灰岩矿</w:t>
      </w:r>
    </w:p>
    <w:p w14:paraId="3DECBD4B">
      <w:pPr>
        <w:ind w:firstLine="0" w:firstLineChars="0"/>
        <w:jc w:val="center"/>
        <w:rPr>
          <w:rFonts w:ascii="Times New Roman" w:hAnsi="Times New Roman" w:eastAsia="宋体" w:cs="Times New Roman"/>
          <w:b/>
          <w:bCs/>
          <w:color w:val="000000" w:themeColor="text1"/>
          <w:sz w:val="44"/>
          <w:szCs w:val="44"/>
          <w14:textFill>
            <w14:solidFill>
              <w14:schemeClr w14:val="tx1"/>
            </w14:solidFill>
          </w14:textFill>
        </w:rPr>
      </w:pPr>
      <w:r>
        <w:rPr>
          <w:rFonts w:hint="eastAsia" w:ascii="Times New Roman" w:hAnsi="Times New Roman"/>
          <w:b/>
          <w:bCs/>
          <w:color w:val="000000" w:themeColor="text1"/>
          <w:sz w:val="44"/>
          <w:szCs w:val="44"/>
          <w:lang w:val="en-US" w:eastAsia="zh-CN"/>
          <w14:textFill>
            <w14:solidFill>
              <w14:schemeClr w14:val="tx1"/>
            </w14:solidFill>
          </w14:textFill>
        </w:rPr>
        <w:t>5</w:t>
      </w:r>
      <w:r>
        <w:rPr>
          <w:rFonts w:ascii="Times New Roman" w:hAnsi="Times New Roman"/>
          <w:b/>
          <w:bCs/>
          <w:color w:val="000000" w:themeColor="text1"/>
          <w:sz w:val="44"/>
          <w:szCs w:val="44"/>
          <w14:textFill>
            <w14:solidFill>
              <w14:schemeClr w14:val="tx1"/>
            </w14:solidFill>
          </w14:textFill>
        </w:rPr>
        <w:t>0万t/a露天采矿工程</w:t>
      </w:r>
    </w:p>
    <w:p w14:paraId="5C7AF33F">
      <w:pPr>
        <w:ind w:firstLine="412"/>
        <w:jc w:val="center"/>
        <w:rPr>
          <w:rFonts w:ascii="Times New Roman" w:hAnsi="Times New Roman" w:eastAsia="Times New Roman" w:cs="Times New Roman"/>
          <w:color w:val="000000" w:themeColor="text1"/>
          <w:sz w:val="21"/>
          <w:szCs w:val="22"/>
          <w:lang w:val="en-GB"/>
          <w14:textFill>
            <w14:solidFill>
              <w14:schemeClr w14:val="tx1"/>
            </w14:solidFill>
          </w14:textFill>
        </w:rPr>
      </w:pPr>
    </w:p>
    <w:p w14:paraId="2B19CAE4">
      <w:pPr>
        <w:ind w:firstLine="0" w:firstLineChars="0"/>
        <w:jc w:val="center"/>
        <w:rPr>
          <w:rFonts w:ascii="Times New Roman" w:hAnsi="Times New Roman" w:eastAsia="宋体" w:cs="Times New Roman"/>
          <w:b/>
          <w:color w:val="000000" w:themeColor="text1"/>
          <w:sz w:val="44"/>
          <w:szCs w:val="44"/>
          <w:lang w:val="en-GB"/>
          <w14:textFill>
            <w14:solidFill>
              <w14:schemeClr w14:val="tx1"/>
            </w14:solidFill>
          </w14:textFill>
        </w:rPr>
      </w:pPr>
      <w:r>
        <w:rPr>
          <w:rFonts w:ascii="Times New Roman" w:hAnsi="Times New Roman" w:eastAsia="黑体" w:cs="Times New Roman"/>
          <w:color w:val="000000" w:themeColor="text1"/>
          <w:sz w:val="52"/>
          <w:szCs w:val="52"/>
          <w14:textFill>
            <w14:solidFill>
              <w14:schemeClr w14:val="tx1"/>
            </w14:solidFill>
          </w14:textFill>
        </w:rPr>
        <w:t>安全设施验收评价报告</w:t>
      </w:r>
    </w:p>
    <w:p w14:paraId="5106E3AA">
      <w:pPr>
        <w:ind w:firstLine="412"/>
        <w:rPr>
          <w:rFonts w:ascii="Times New Roman" w:hAnsi="Times New Roman" w:eastAsia="Times New Roman" w:cs="Times New Roman"/>
          <w:color w:val="000000" w:themeColor="text1"/>
          <w:sz w:val="21"/>
          <w:szCs w:val="22"/>
          <w:lang w:val="en-GB"/>
          <w14:textFill>
            <w14:solidFill>
              <w14:schemeClr w14:val="tx1"/>
            </w14:solidFill>
          </w14:textFill>
        </w:rPr>
      </w:pPr>
    </w:p>
    <w:p w14:paraId="3D552A3E">
      <w:pPr>
        <w:ind w:left="0" w:leftChars="0" w:firstLine="0" w:firstLineChars="0"/>
        <w:jc w:val="center"/>
        <w:rPr>
          <w:rFonts w:ascii="Times New Roman" w:hAnsi="Times New Roman" w:eastAsiaTheme="minorEastAsia"/>
          <w:color w:val="000000" w:themeColor="text1"/>
          <w:sz w:val="21"/>
          <w:szCs w:val="22"/>
          <w:lang w:val="en-GB"/>
          <w14:textFill>
            <w14:solidFill>
              <w14:schemeClr w14:val="tx1"/>
            </w14:solidFill>
          </w14:textFill>
        </w:rPr>
      </w:pPr>
      <w:r>
        <w:rPr>
          <w:rFonts w:hint="eastAsia" w:ascii="Times New Roman" w:hAnsi="Times New Roman" w:eastAsia="黑体" w:cs="Times New Roman"/>
          <w:color w:val="000000" w:themeColor="text1"/>
          <w:sz w:val="48"/>
          <w:szCs w:val="48"/>
          <w:lang w:val="en-US" w:eastAsia="zh-CN"/>
          <w14:textFill>
            <w14:solidFill>
              <w14:schemeClr w14:val="tx1"/>
            </w14:solidFill>
          </w14:textFill>
        </w:rPr>
        <w:t>（终</w:t>
      </w:r>
      <w:r>
        <w:rPr>
          <w:rFonts w:ascii="Times New Roman" w:hAnsi="Times New Roman" w:eastAsia="黑体" w:cs="Times New Roman"/>
          <w:color w:val="000000" w:themeColor="text1"/>
          <w:sz w:val="48"/>
          <w:szCs w:val="48"/>
          <w14:textFill>
            <w14:solidFill>
              <w14:schemeClr w14:val="tx1"/>
            </w14:solidFill>
          </w14:textFill>
        </w:rPr>
        <w:t>稿</w:t>
      </w:r>
      <w:r>
        <w:rPr>
          <w:rFonts w:hint="eastAsia" w:ascii="Times New Roman" w:hAnsi="Times New Roman" w:eastAsia="黑体" w:cs="Times New Roman"/>
          <w:color w:val="000000" w:themeColor="text1"/>
          <w:sz w:val="48"/>
          <w:szCs w:val="48"/>
          <w:lang w:eastAsia="zh-CN"/>
          <w14:textFill>
            <w14:solidFill>
              <w14:schemeClr w14:val="tx1"/>
            </w14:solidFill>
          </w14:textFill>
        </w:rPr>
        <w:t>）</w:t>
      </w:r>
    </w:p>
    <w:p w14:paraId="228D662B">
      <w:pPr>
        <w:ind w:firstLine="412"/>
        <w:jc w:val="center"/>
        <w:rPr>
          <w:rFonts w:ascii="Times New Roman" w:hAnsi="Times New Roman" w:eastAsiaTheme="minorEastAsia"/>
          <w:color w:val="000000" w:themeColor="text1"/>
          <w:sz w:val="21"/>
          <w:szCs w:val="22"/>
          <w:lang w:val="en-GB"/>
          <w14:textFill>
            <w14:solidFill>
              <w14:schemeClr w14:val="tx1"/>
            </w14:solidFill>
          </w14:textFill>
        </w:rPr>
      </w:pPr>
      <w:bookmarkStart w:id="569" w:name="_GoBack"/>
      <w:bookmarkEnd w:id="569"/>
    </w:p>
    <w:p w14:paraId="12847CD0">
      <w:pPr>
        <w:ind w:firstLine="412"/>
        <w:jc w:val="center"/>
        <w:rPr>
          <w:rFonts w:ascii="Times New Roman" w:hAnsi="Times New Roman" w:eastAsiaTheme="minorEastAsia"/>
          <w:color w:val="000000" w:themeColor="text1"/>
          <w:sz w:val="21"/>
          <w:szCs w:val="22"/>
          <w:lang w:val="en-GB"/>
          <w14:textFill>
            <w14:solidFill>
              <w14:schemeClr w14:val="tx1"/>
            </w14:solidFill>
          </w14:textFill>
        </w:rPr>
      </w:pPr>
    </w:p>
    <w:p w14:paraId="5CEE88AE">
      <w:pPr>
        <w:ind w:firstLine="412"/>
        <w:jc w:val="center"/>
        <w:rPr>
          <w:rFonts w:ascii="Times New Roman" w:hAnsi="Times New Roman" w:eastAsiaTheme="minorEastAsia"/>
          <w:color w:val="000000" w:themeColor="text1"/>
          <w:sz w:val="21"/>
          <w:szCs w:val="22"/>
          <w:lang w:val="en-GB"/>
          <w14:textFill>
            <w14:solidFill>
              <w14:schemeClr w14:val="tx1"/>
            </w14:solidFill>
          </w14:textFill>
        </w:rPr>
      </w:pPr>
    </w:p>
    <w:p w14:paraId="4471505B">
      <w:pPr>
        <w:ind w:firstLine="412"/>
        <w:jc w:val="center"/>
        <w:rPr>
          <w:rFonts w:ascii="Times New Roman" w:hAnsi="Times New Roman" w:eastAsiaTheme="minorEastAsia"/>
          <w:color w:val="000000" w:themeColor="text1"/>
          <w:sz w:val="21"/>
          <w:szCs w:val="22"/>
          <w:lang w:val="en-GB"/>
          <w14:textFill>
            <w14:solidFill>
              <w14:schemeClr w14:val="tx1"/>
            </w14:solidFill>
          </w14:textFill>
        </w:rPr>
      </w:pPr>
    </w:p>
    <w:p w14:paraId="4AC554C8">
      <w:pPr>
        <w:ind w:left="2764" w:leftChars="200" w:hanging="2212" w:hangingChars="700"/>
        <w:jc w:val="left"/>
        <w:rPr>
          <w:rFonts w:ascii="Times New Roman" w:hAnsi="Times New Roman"/>
          <w:color w:val="000000" w:themeColor="text1"/>
          <w:sz w:val="32"/>
          <w14:textFill>
            <w14:solidFill>
              <w14:schemeClr w14:val="tx1"/>
            </w14:solidFill>
          </w14:textFill>
        </w:rPr>
      </w:pPr>
      <w:r>
        <w:rPr>
          <w:rFonts w:ascii="Times New Roman" w:hAnsi="Times New Roman"/>
          <w:color w:val="000000" w:themeColor="text1"/>
          <w:sz w:val="32"/>
          <w14:textFill>
            <w14:solidFill>
              <w14:schemeClr w14:val="tx1"/>
            </w14:solidFill>
          </w14:textFill>
        </w:rPr>
        <w:t>评价机构名称：江西赣安安全生产科学技术咨询服务中心</w:t>
      </w:r>
    </w:p>
    <w:p w14:paraId="6DDBBB2F">
      <w:pPr>
        <w:ind w:left="552" w:leftChars="200" w:firstLine="0" w:firstLineChars="0"/>
        <w:jc w:val="left"/>
        <w:rPr>
          <w:rFonts w:ascii="Times New Roman" w:hAnsi="Times New Roman"/>
          <w:color w:val="000000" w:themeColor="text1"/>
          <w:sz w:val="32"/>
          <w14:textFill>
            <w14:solidFill>
              <w14:schemeClr w14:val="tx1"/>
            </w14:solidFill>
          </w14:textFill>
        </w:rPr>
      </w:pPr>
      <w:r>
        <w:rPr>
          <w:rFonts w:ascii="Times New Roman" w:hAnsi="Times New Roman"/>
          <w:color w:val="000000" w:themeColor="text1"/>
          <w:sz w:val="32"/>
          <w14:textFill>
            <w14:solidFill>
              <w14:schemeClr w14:val="tx1"/>
            </w14:solidFill>
          </w14:textFill>
        </w:rPr>
        <w:t>资质证书编号：APJ-（赣）-002</w:t>
      </w:r>
    </w:p>
    <w:p w14:paraId="4F000915">
      <w:pPr>
        <w:ind w:left="552" w:leftChars="200" w:firstLine="0" w:firstLineChars="0"/>
        <w:jc w:val="left"/>
        <w:rPr>
          <w:rFonts w:ascii="Times New Roman" w:hAnsi="Times New Roman"/>
          <w:color w:val="000000" w:themeColor="text1"/>
          <w:sz w:val="32"/>
          <w14:textFill>
            <w14:solidFill>
              <w14:schemeClr w14:val="tx1"/>
            </w14:solidFill>
          </w14:textFill>
        </w:rPr>
      </w:pPr>
      <w:r>
        <w:rPr>
          <w:rFonts w:ascii="Times New Roman" w:hAnsi="Times New Roman"/>
          <w:color w:val="000000" w:themeColor="text1"/>
          <w:sz w:val="32"/>
          <w14:textFill>
            <w14:solidFill>
              <w14:schemeClr w14:val="tx1"/>
            </w14:solidFill>
          </w14:textFill>
        </w:rPr>
        <w:t>法定代表人：应</w:t>
      </w:r>
      <w:r>
        <w:rPr>
          <w:rFonts w:hint="eastAsia" w:ascii="Times New Roman" w:hAnsi="Times New Roman"/>
          <w:color w:val="000000" w:themeColor="text1"/>
          <w:sz w:val="32"/>
          <w:lang w:val="en-US" w:eastAsia="zh-CN"/>
          <w14:textFill>
            <w14:solidFill>
              <w14:schemeClr w14:val="tx1"/>
            </w14:solidFill>
          </w14:textFill>
        </w:rPr>
        <w:t xml:space="preserve">  </w:t>
      </w:r>
      <w:r>
        <w:rPr>
          <w:rFonts w:ascii="Times New Roman" w:hAnsi="Times New Roman"/>
          <w:color w:val="000000" w:themeColor="text1"/>
          <w:sz w:val="32"/>
          <w14:textFill>
            <w14:solidFill>
              <w14:schemeClr w14:val="tx1"/>
            </w14:solidFill>
          </w14:textFill>
        </w:rPr>
        <w:t>宏</w:t>
      </w:r>
    </w:p>
    <w:p w14:paraId="4F6937F4">
      <w:pPr>
        <w:ind w:left="552" w:leftChars="200" w:firstLine="0" w:firstLineChars="0"/>
        <w:jc w:val="left"/>
        <w:rPr>
          <w:rFonts w:ascii="Times New Roman" w:hAnsi="Times New Roman"/>
          <w:color w:val="000000" w:themeColor="text1"/>
          <w:sz w:val="32"/>
          <w14:textFill>
            <w14:solidFill>
              <w14:schemeClr w14:val="tx1"/>
            </w14:solidFill>
          </w14:textFill>
        </w:rPr>
      </w:pPr>
      <w:r>
        <w:rPr>
          <w:rFonts w:ascii="Times New Roman" w:hAnsi="Times New Roman"/>
          <w:color w:val="000000" w:themeColor="text1"/>
          <w:sz w:val="32"/>
          <w14:textFill>
            <w14:solidFill>
              <w14:schemeClr w14:val="tx1"/>
            </w14:solidFill>
          </w14:textFill>
        </w:rPr>
        <w:t>技术负责人：管自强</w:t>
      </w:r>
    </w:p>
    <w:p w14:paraId="129476DE">
      <w:pPr>
        <w:ind w:left="552" w:leftChars="200" w:firstLine="0" w:firstLineChars="0"/>
        <w:jc w:val="left"/>
        <w:rPr>
          <w:rFonts w:hint="default" w:ascii="Times New Roman" w:hAnsi="Times New Roman" w:eastAsia="宋体"/>
          <w:color w:val="000000" w:themeColor="text1"/>
          <w:sz w:val="32"/>
          <w:lang w:val="en-US" w:eastAsia="zh-CN"/>
          <w14:textFill>
            <w14:solidFill>
              <w14:schemeClr w14:val="tx1"/>
            </w14:solidFill>
          </w14:textFill>
        </w:rPr>
      </w:pPr>
      <w:r>
        <w:rPr>
          <w:rFonts w:ascii="Times New Roman" w:hAnsi="Times New Roman"/>
          <w:color w:val="000000" w:themeColor="text1"/>
          <w:sz w:val="32"/>
          <w14:textFill>
            <w14:solidFill>
              <w14:schemeClr w14:val="tx1"/>
            </w14:solidFill>
          </w14:textFill>
        </w:rPr>
        <w:t>项目负责人：</w:t>
      </w:r>
      <w:r>
        <w:rPr>
          <w:rFonts w:hint="eastAsia" w:ascii="Times New Roman" w:hAnsi="Times New Roman"/>
          <w:color w:val="000000" w:themeColor="text1"/>
          <w:sz w:val="32"/>
          <w:lang w:val="en-US" w:eastAsia="zh-CN"/>
          <w14:textFill>
            <w14:solidFill>
              <w14:schemeClr w14:val="tx1"/>
            </w14:solidFill>
          </w14:textFill>
        </w:rPr>
        <w:t>吴  华</w:t>
      </w:r>
    </w:p>
    <w:p w14:paraId="64A0D35A">
      <w:pPr>
        <w:ind w:firstLine="1264" w:firstLineChars="400"/>
        <w:rPr>
          <w:rFonts w:ascii="Times New Roman" w:hAnsi="Times New Roman"/>
          <w:color w:val="000000" w:themeColor="text1"/>
          <w:sz w:val="32"/>
          <w14:textFill>
            <w14:solidFill>
              <w14:schemeClr w14:val="tx1"/>
            </w14:solidFill>
          </w14:textFill>
        </w:rPr>
      </w:pPr>
    </w:p>
    <w:p w14:paraId="76F2D2B8">
      <w:pPr>
        <w:ind w:firstLine="412"/>
        <w:rPr>
          <w:rFonts w:ascii="Times New Roman" w:hAnsi="Times New Roman" w:eastAsia="Times New Roman"/>
          <w:color w:val="000000" w:themeColor="text1"/>
          <w:sz w:val="21"/>
          <w:szCs w:val="22"/>
          <w:lang w:val="en-GB"/>
          <w14:textFill>
            <w14:solidFill>
              <w14:schemeClr w14:val="tx1"/>
            </w14:solidFill>
          </w14:textFill>
        </w:rPr>
      </w:pPr>
    </w:p>
    <w:p w14:paraId="5C8ADE2B">
      <w:pPr>
        <w:ind w:firstLine="412"/>
        <w:rPr>
          <w:rFonts w:ascii="Times New Roman" w:hAnsi="Times New Roman" w:eastAsia="Times New Roman"/>
          <w:color w:val="000000" w:themeColor="text1"/>
          <w:sz w:val="21"/>
          <w:szCs w:val="22"/>
          <w:lang w:val="en-GB"/>
          <w14:textFill>
            <w14:solidFill>
              <w14:schemeClr w14:val="tx1"/>
            </w14:solidFill>
          </w14:textFill>
        </w:rPr>
      </w:pPr>
    </w:p>
    <w:p w14:paraId="0500CFDC">
      <w:pPr>
        <w:ind w:firstLine="472"/>
        <w:jc w:val="center"/>
        <w:rPr>
          <w:rFonts w:ascii="Times New Roman" w:hAnsi="Times New Roman" w:eastAsiaTheme="minorEastAsia"/>
          <w:color w:val="000000" w:themeColor="text1"/>
          <w:sz w:val="24"/>
          <w:szCs w:val="24"/>
          <w:lang w:val="en-GB"/>
          <w14:textFill>
            <w14:solidFill>
              <w14:schemeClr w14:val="tx1"/>
            </w14:solidFill>
          </w14:textFill>
        </w:rPr>
      </w:pPr>
    </w:p>
    <w:p w14:paraId="707E73A8">
      <w:pPr>
        <w:ind w:firstLine="472"/>
        <w:jc w:val="center"/>
        <w:rPr>
          <w:rFonts w:ascii="Times New Roman" w:hAnsi="Times New Roman" w:eastAsia="Times New Roman"/>
          <w:color w:val="000000" w:themeColor="text1"/>
          <w:sz w:val="24"/>
          <w:szCs w:val="24"/>
          <w:lang w:val="en-GB"/>
          <w14:textFill>
            <w14:solidFill>
              <w14:schemeClr w14:val="tx1"/>
            </w14:solidFill>
          </w14:textFill>
        </w:rPr>
      </w:pPr>
      <w:r>
        <w:rPr>
          <w:rFonts w:ascii="Times New Roman" w:hAnsi="Times New Roman" w:eastAsia="Times New Roman"/>
          <w:color w:val="000000" w:themeColor="text1"/>
          <w:sz w:val="24"/>
          <w:szCs w:val="24"/>
          <w:lang w:val="en-GB"/>
          <w14:textFill>
            <w14:solidFill>
              <w14:schemeClr w14:val="tx1"/>
            </w14:solidFill>
          </w14:textFill>
        </w:rPr>
        <w:t>202</w:t>
      </w:r>
      <w:r>
        <w:rPr>
          <w:rFonts w:hint="eastAsia" w:ascii="Times New Roman" w:hAnsi="Times New Roman"/>
          <w:color w:val="000000" w:themeColor="text1"/>
          <w:sz w:val="24"/>
          <w:szCs w:val="24"/>
          <w:lang w:val="en-US" w:eastAsia="zh-CN"/>
          <w14:textFill>
            <w14:solidFill>
              <w14:schemeClr w14:val="tx1"/>
            </w14:solidFill>
          </w14:textFill>
        </w:rPr>
        <w:t>6</w:t>
      </w:r>
      <w:r>
        <w:rPr>
          <w:rFonts w:ascii="Times New Roman" w:hAnsi="Times New Roman"/>
          <w:color w:val="000000" w:themeColor="text1"/>
          <w:sz w:val="24"/>
          <w:szCs w:val="24"/>
          <w:lang w:val="en-GB"/>
          <w14:textFill>
            <w14:solidFill>
              <w14:schemeClr w14:val="tx1"/>
            </w14:solidFill>
          </w14:textFill>
        </w:rPr>
        <w:t>年</w:t>
      </w:r>
      <w:r>
        <w:rPr>
          <w:rFonts w:hint="eastAsia" w:ascii="Times New Roman" w:hAnsi="Times New Roman" w:eastAsiaTheme="minorEastAsia"/>
          <w:color w:val="000000" w:themeColor="text1"/>
          <w:sz w:val="24"/>
          <w:szCs w:val="24"/>
          <w:lang w:val="en-US" w:eastAsia="zh-CN"/>
          <w14:textFill>
            <w14:solidFill>
              <w14:schemeClr w14:val="tx1"/>
            </w14:solidFill>
          </w14:textFill>
        </w:rPr>
        <w:t>4</w:t>
      </w:r>
      <w:r>
        <w:rPr>
          <w:rFonts w:ascii="Times New Roman" w:hAnsi="Times New Roman"/>
          <w:color w:val="000000" w:themeColor="text1"/>
          <w:sz w:val="24"/>
          <w:szCs w:val="24"/>
          <w:lang w:val="en-GB"/>
          <w14:textFill>
            <w14:solidFill>
              <w14:schemeClr w14:val="tx1"/>
            </w14:solidFill>
          </w14:textFill>
        </w:rPr>
        <w:t>月</w:t>
      </w:r>
    </w:p>
    <w:p w14:paraId="3E27D870">
      <w:pPr>
        <w:ind w:firstLine="414"/>
        <w:jc w:val="center"/>
        <w:rPr>
          <w:rFonts w:ascii="Times New Roman" w:hAnsi="Times New Roman"/>
          <w:color w:val="000000" w:themeColor="text1"/>
          <w14:textFill>
            <w14:solidFill>
              <w14:schemeClr w14:val="tx1"/>
            </w14:solidFill>
          </w14:textFill>
        </w:rPr>
      </w:pPr>
      <w:r>
        <w:rPr>
          <w:rFonts w:ascii="Times New Roman" w:hAnsi="Times New Roman"/>
          <w:b/>
          <w:color w:val="000000" w:themeColor="text1"/>
          <w:sz w:val="21"/>
          <w:szCs w:val="21"/>
          <w:lang w:val="en-GB"/>
          <w14:textFill>
            <w14:solidFill>
              <w14:schemeClr w14:val="tx1"/>
            </w14:solidFill>
          </w14:textFill>
        </w:rPr>
        <w:t>（安全评价机构公章）</w:t>
      </w:r>
    </w:p>
    <w:p w14:paraId="19A70374">
      <w:pPr>
        <w:ind w:firstLine="632"/>
        <w:rPr>
          <w:rFonts w:ascii="Times New Roman" w:hAnsi="Times New Roman"/>
          <w:b/>
          <w:bCs/>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br w:type="page"/>
      </w:r>
    </w:p>
    <w:p w14:paraId="2474ABAB">
      <w:pPr>
        <w:widowControl/>
        <w:wordWrap w:val="0"/>
        <w:spacing w:line="425" w:lineRule="auto"/>
        <w:ind w:firstLine="632"/>
        <w:jc w:val="center"/>
        <w:rPr>
          <w:rFonts w:hint="eastAsia" w:ascii="宋体" w:hAnsi="宋体" w:eastAsia="宋体" w:cs="宋体"/>
          <w:color w:val="000000" w:themeColor="text1"/>
          <w:sz w:val="36"/>
          <w:szCs w:val="36"/>
          <w14:textFill>
            <w14:solidFill>
              <w14:schemeClr w14:val="tx1"/>
            </w14:solidFill>
          </w14:textFill>
        </w:rPr>
      </w:pPr>
    </w:p>
    <w:p w14:paraId="0D76ABC1">
      <w:pPr>
        <w:widowControl/>
        <w:wordWrap w:val="0"/>
        <w:spacing w:line="425" w:lineRule="auto"/>
        <w:ind w:firstLine="632"/>
        <w:jc w:val="center"/>
        <w:rPr>
          <w:rFonts w:hint="eastAsia" w:ascii="宋体" w:hAnsi="宋体" w:eastAsia="宋体" w:cs="宋体"/>
          <w:color w:val="000000" w:themeColor="text1"/>
          <w:sz w:val="36"/>
          <w:szCs w:val="36"/>
          <w14:textFill>
            <w14:solidFill>
              <w14:schemeClr w14:val="tx1"/>
            </w14:solidFill>
          </w14:textFill>
        </w:rPr>
      </w:pPr>
      <w:r>
        <w:rPr>
          <w:rFonts w:hint="eastAsia" w:ascii="宋体" w:hAnsi="宋体" w:eastAsia="宋体" w:cs="宋体"/>
          <w:color w:val="000000" w:themeColor="text1"/>
          <w:sz w:val="36"/>
          <w:szCs w:val="36"/>
          <w:lang w:val="en-US" w:eastAsia="zh-CN"/>
          <w14:textFill>
            <w14:solidFill>
              <w14:schemeClr w14:val="tx1"/>
            </w14:solidFill>
          </w14:textFill>
        </w:rPr>
        <w:t>广南县麦地大山建筑石料用石灰岩矿</w:t>
      </w:r>
    </w:p>
    <w:p w14:paraId="059F8681">
      <w:pPr>
        <w:widowControl/>
        <w:wordWrap w:val="0"/>
        <w:spacing w:line="425" w:lineRule="auto"/>
        <w:ind w:firstLine="632"/>
        <w:jc w:val="center"/>
        <w:rPr>
          <w:rFonts w:hint="eastAsia" w:ascii="宋体" w:hAnsi="宋体" w:eastAsia="宋体" w:cs="宋体"/>
          <w:color w:val="000000" w:themeColor="text1"/>
          <w:sz w:val="36"/>
          <w:szCs w:val="36"/>
          <w14:textFill>
            <w14:solidFill>
              <w14:schemeClr w14:val="tx1"/>
            </w14:solidFill>
          </w14:textFill>
        </w:rPr>
      </w:pPr>
      <w:r>
        <w:rPr>
          <w:rFonts w:hint="eastAsia" w:ascii="宋体" w:hAnsi="宋体" w:eastAsia="宋体" w:cs="宋体"/>
          <w:color w:val="000000" w:themeColor="text1"/>
          <w:sz w:val="36"/>
          <w:szCs w:val="36"/>
          <w:lang w:val="en-US" w:eastAsia="zh-CN"/>
          <w14:textFill>
            <w14:solidFill>
              <w14:schemeClr w14:val="tx1"/>
            </w14:solidFill>
          </w14:textFill>
        </w:rPr>
        <w:t>5</w:t>
      </w:r>
      <w:r>
        <w:rPr>
          <w:rFonts w:hint="eastAsia" w:ascii="宋体" w:hAnsi="宋体" w:eastAsia="宋体" w:cs="宋体"/>
          <w:color w:val="000000" w:themeColor="text1"/>
          <w:sz w:val="36"/>
          <w:szCs w:val="36"/>
          <w14:textFill>
            <w14:solidFill>
              <w14:schemeClr w14:val="tx1"/>
            </w14:solidFill>
          </w14:textFill>
        </w:rPr>
        <w:t>0万t/a露天采矿工程</w:t>
      </w:r>
    </w:p>
    <w:p w14:paraId="199FA58C">
      <w:pPr>
        <w:widowControl/>
        <w:wordWrap w:val="0"/>
        <w:spacing w:line="425" w:lineRule="auto"/>
        <w:ind w:firstLine="632"/>
        <w:jc w:val="center"/>
        <w:rPr>
          <w:rFonts w:hint="eastAsia" w:ascii="宋体" w:hAnsi="宋体" w:eastAsia="宋体" w:cs="宋体"/>
          <w:color w:val="000000" w:themeColor="text1"/>
          <w:sz w:val="36"/>
          <w:szCs w:val="36"/>
          <w14:textFill>
            <w14:solidFill>
              <w14:schemeClr w14:val="tx1"/>
            </w14:solidFill>
          </w14:textFill>
        </w:rPr>
      </w:pPr>
      <w:r>
        <w:rPr>
          <w:rFonts w:hint="eastAsia" w:ascii="宋体" w:hAnsi="宋体" w:eastAsia="宋体" w:cs="宋体"/>
          <w:color w:val="000000" w:themeColor="text1"/>
          <w:sz w:val="36"/>
          <w:szCs w:val="36"/>
          <w14:textFill>
            <w14:solidFill>
              <w14:schemeClr w14:val="tx1"/>
            </w14:solidFill>
          </w14:textFill>
        </w:rPr>
        <w:t>安全设施验收评价技术服务承诺书</w:t>
      </w:r>
    </w:p>
    <w:p w14:paraId="1C9EB9CA">
      <w:pPr>
        <w:widowControl/>
        <w:wordWrap w:val="0"/>
        <w:spacing w:line="425" w:lineRule="auto"/>
        <w:ind w:firstLine="632"/>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一、在本项目安全评价活动过程中，我单位严格遵守《安全生产法》及相关法律、法规和标准的要求。</w:t>
      </w:r>
    </w:p>
    <w:p w14:paraId="104A2A44">
      <w:pPr>
        <w:widowControl/>
        <w:wordWrap w:val="0"/>
        <w:spacing w:line="425" w:lineRule="auto"/>
        <w:ind w:firstLine="632"/>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二、在本项目安全评价活动过程中，我单位作为第三方，未受到任何组织和个人的干预和影响，依法独立开展工作，保证了技术服务活动的客观公正性。</w:t>
      </w:r>
    </w:p>
    <w:p w14:paraId="084428CE">
      <w:pPr>
        <w:widowControl/>
        <w:wordWrap w:val="0"/>
        <w:spacing w:line="425" w:lineRule="auto"/>
        <w:ind w:firstLine="632"/>
        <w:rPr>
          <w:rFonts w:ascii="Times New Roman" w:hAnsi="Times New Roman" w:eastAsia="仿宋"/>
          <w:color w:val="000000" w:themeColor="text1"/>
          <w:sz w:val="32"/>
          <w:szCs w:val="32"/>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三、我单位按照实事求是的原则，对本项目进行安全评价，确保出具的报告均真实有效，报告所提出的措施具有针对性、有效性和可行性。</w:t>
      </w:r>
    </w:p>
    <w:p w14:paraId="39DE1FDB">
      <w:pPr>
        <w:widowControl/>
        <w:wordWrap w:val="0"/>
        <w:spacing w:line="425" w:lineRule="auto"/>
        <w:ind w:firstLine="632"/>
        <w:rPr>
          <w:rFonts w:hint="eastAsia" w:ascii="Times New Roman" w:hAnsi="Times New Roman" w:eastAsia="仿宋"/>
          <w:color w:val="000000" w:themeColor="text1"/>
          <w:sz w:val="32"/>
          <w:szCs w:val="32"/>
          <w:lang w:eastAsia="zh-CN"/>
          <w14:textFill>
            <w14:solidFill>
              <w14:schemeClr w14:val="tx1"/>
            </w14:solidFill>
          </w14:textFill>
        </w:rPr>
      </w:pPr>
      <w:r>
        <w:rPr>
          <w:rFonts w:ascii="Times New Roman" w:hAnsi="Times New Roman" w:eastAsia="仿宋"/>
          <w:color w:val="000000" w:themeColor="text1"/>
          <w:sz w:val="32"/>
          <w:szCs w:val="32"/>
          <w14:textFill>
            <w14:solidFill>
              <w14:schemeClr w14:val="tx1"/>
            </w14:solidFill>
          </w14:textFill>
        </w:rPr>
        <w:t>四、我单位对本项目安全评价报告中结论性内容承担法律责任。</w:t>
      </w:r>
    </w:p>
    <w:p w14:paraId="1978F72B">
      <w:pPr>
        <w:widowControl/>
        <w:wordWrap w:val="0"/>
        <w:spacing w:before="100" w:beforeAutospacing="1" w:after="100" w:afterAutospacing="1" w:line="425" w:lineRule="auto"/>
        <w:ind w:firstLine="632"/>
        <w:jc w:val="left"/>
        <w:rPr>
          <w:rFonts w:ascii="Times New Roman" w:hAnsi="Times New Roman"/>
          <w:color w:val="000000" w:themeColor="text1"/>
          <w:sz w:val="32"/>
          <w:szCs w:val="32"/>
          <w14:textFill>
            <w14:solidFill>
              <w14:schemeClr w14:val="tx1"/>
            </w14:solidFill>
          </w14:textFill>
        </w:rPr>
      </w:pPr>
    </w:p>
    <w:p w14:paraId="50AEE198">
      <w:pPr>
        <w:widowControl/>
        <w:wordWrap w:val="0"/>
        <w:spacing w:before="100" w:beforeAutospacing="1" w:after="100" w:afterAutospacing="1" w:line="425" w:lineRule="auto"/>
        <w:ind w:left="5183" w:leftChars="228" w:hanging="4554" w:hangingChars="1650"/>
        <w:jc w:val="right"/>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Cs w:val="28"/>
          <w14:textFill>
            <w14:solidFill>
              <w14:schemeClr w14:val="tx1"/>
            </w14:solidFill>
          </w14:textFill>
        </w:rPr>
        <w:t>江西赣安安全生产科学技术咨询服务中心</w:t>
      </w:r>
    </w:p>
    <w:p w14:paraId="60116E2A">
      <w:pPr>
        <w:ind w:firstLine="632"/>
        <w:jc w:val="right"/>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202</w:t>
      </w:r>
      <w:r>
        <w:rPr>
          <w:rFonts w:hint="eastAsia" w:ascii="Times New Roman" w:hAnsi="Times New Roman"/>
          <w:color w:val="000000" w:themeColor="text1"/>
          <w:sz w:val="32"/>
          <w:szCs w:val="32"/>
          <w:lang w:val="en-US" w:eastAsia="zh-CN"/>
          <w14:textFill>
            <w14:solidFill>
              <w14:schemeClr w14:val="tx1"/>
            </w14:solidFill>
          </w14:textFill>
        </w:rPr>
        <w:t>6</w:t>
      </w:r>
      <w:r>
        <w:rPr>
          <w:rFonts w:ascii="Times New Roman" w:hAnsi="Times New Roman"/>
          <w:color w:val="000000" w:themeColor="text1"/>
          <w:sz w:val="32"/>
          <w:szCs w:val="32"/>
          <w14:textFill>
            <w14:solidFill>
              <w14:schemeClr w14:val="tx1"/>
            </w14:solidFill>
          </w14:textFill>
        </w:rPr>
        <w:t>年</w:t>
      </w:r>
      <w:r>
        <w:rPr>
          <w:rFonts w:hint="eastAsia" w:ascii="Times New Roman" w:hAnsi="Times New Roman"/>
          <w:color w:val="000000" w:themeColor="text1"/>
          <w:sz w:val="32"/>
          <w:szCs w:val="32"/>
          <w:lang w:val="en-US" w:eastAsia="zh-CN"/>
          <w14:textFill>
            <w14:solidFill>
              <w14:schemeClr w14:val="tx1"/>
            </w14:solidFill>
          </w14:textFill>
        </w:rPr>
        <w:t>4</w:t>
      </w:r>
      <w:r>
        <w:rPr>
          <w:rFonts w:ascii="Times New Roman" w:hAnsi="Times New Roman"/>
          <w:color w:val="000000" w:themeColor="text1"/>
          <w:sz w:val="32"/>
          <w:szCs w:val="32"/>
          <w14:textFill>
            <w14:solidFill>
              <w14:schemeClr w14:val="tx1"/>
            </w14:solidFill>
          </w14:textFill>
        </w:rPr>
        <w:t>月</w:t>
      </w:r>
    </w:p>
    <w:p w14:paraId="17BC3B52">
      <w:pPr>
        <w:ind w:firstLine="632"/>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br w:type="page"/>
      </w:r>
    </w:p>
    <w:p w14:paraId="2BC75556">
      <w:pPr>
        <w:ind w:firstLine="0" w:firstLineChars="0"/>
        <w:rPr>
          <w:rFonts w:ascii="Times New Roman" w:hAnsi="Times New Roman"/>
          <w:color w:val="000000" w:themeColor="text1"/>
          <w:sz w:val="32"/>
          <w:szCs w:val="32"/>
          <w14:textFill>
            <w14:solidFill>
              <w14:schemeClr w14:val="tx1"/>
            </w14:solidFill>
          </w14:textFill>
        </w:rPr>
      </w:pPr>
      <w:r>
        <w:rPr>
          <w:rFonts w:ascii="Times New Roman" w:hAnsi="Times New Roman"/>
          <w:color w:val="000000" w:themeColor="text1"/>
          <w14:textFill>
            <w14:solidFill>
              <w14:schemeClr w14:val="tx1"/>
            </w14:solidFill>
          </w14:textFill>
        </w:rPr>
        <w:drawing>
          <wp:inline distT="0" distB="0" distL="0" distR="0">
            <wp:extent cx="6102350" cy="8693150"/>
            <wp:effectExtent l="0" t="0" r="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a:xfrm>
                      <a:off x="0" y="0"/>
                      <a:ext cx="6104226" cy="8696074"/>
                    </a:xfrm>
                    <a:prstGeom prst="rect">
                      <a:avLst/>
                    </a:prstGeom>
                    <a:noFill/>
                    <a:ln>
                      <a:noFill/>
                    </a:ln>
                  </pic:spPr>
                </pic:pic>
              </a:graphicData>
            </a:graphic>
          </wp:inline>
        </w:drawing>
      </w:r>
    </w:p>
    <w:p w14:paraId="67BAEDA0">
      <w:pPr>
        <w:spacing w:line="240" w:lineRule="auto"/>
        <w:ind w:firstLine="0" w:firstLineChars="0"/>
        <w:jc w:val="center"/>
        <w:rPr>
          <w:rFonts w:ascii="Times New Roman" w:hAnsi="Times New Roman"/>
          <w:color w:val="000000" w:themeColor="text1"/>
          <w:sz w:val="32"/>
          <w:szCs w:val="32"/>
          <w14:textFill>
            <w14:solidFill>
              <w14:schemeClr w14:val="tx1"/>
            </w14:solidFill>
          </w14:textFill>
        </w:rPr>
      </w:pPr>
    </w:p>
    <w:p w14:paraId="093B0612">
      <w:pPr>
        <w:spacing w:line="240" w:lineRule="auto"/>
        <w:ind w:firstLine="0" w:firstLineChars="0"/>
        <w:jc w:val="center"/>
        <w:rPr>
          <w:rFonts w:ascii="Times New Roman" w:hAnsi="Times New Roman"/>
          <w:color w:val="000000" w:themeColor="text1"/>
          <w:sz w:val="32"/>
          <w:szCs w:val="32"/>
          <w14:textFill>
            <w14:solidFill>
              <w14:schemeClr w14:val="tx1"/>
            </w14:solidFill>
          </w14:textFill>
        </w:rPr>
      </w:pPr>
    </w:p>
    <w:p w14:paraId="38648614">
      <w:pPr>
        <w:spacing w:line="240" w:lineRule="auto"/>
        <w:ind w:firstLine="0" w:firstLineChars="0"/>
        <w:jc w:val="center"/>
        <w:rPr>
          <w:rFonts w:ascii="Times New Roman" w:hAnsi="Times New Roman" w:eastAsia="黑体"/>
          <w:b/>
          <w:color w:val="000000" w:themeColor="text1"/>
          <w:sz w:val="32"/>
          <w:szCs w:val="32"/>
          <w14:textFill>
            <w14:solidFill>
              <w14:schemeClr w14:val="tx1"/>
            </w14:solidFill>
          </w14:textFill>
        </w:rPr>
      </w:pPr>
      <w:r>
        <w:rPr>
          <w:rFonts w:ascii="Times New Roman" w:hAnsi="Times New Roman" w:eastAsia="黑体"/>
          <w:b/>
          <w:color w:val="000000" w:themeColor="text1"/>
          <w:sz w:val="32"/>
          <w:szCs w:val="32"/>
          <w14:textFill>
            <w14:solidFill>
              <w14:schemeClr w14:val="tx1"/>
            </w14:solidFill>
          </w14:textFill>
        </w:rPr>
        <w:t>评价人员</w:t>
      </w:r>
    </w:p>
    <w:p w14:paraId="0EE256D0">
      <w:pPr>
        <w:spacing w:line="240" w:lineRule="auto"/>
        <w:ind w:firstLine="0" w:firstLineChars="0"/>
        <w:jc w:val="center"/>
        <w:rPr>
          <w:rFonts w:ascii="Times New Roman" w:hAnsi="Times New Roman" w:eastAsia="黑体"/>
          <w:b/>
          <w:color w:val="000000" w:themeColor="text1"/>
          <w:sz w:val="32"/>
          <w:szCs w:val="32"/>
          <w14:textFill>
            <w14:solidFill>
              <w14:schemeClr w14:val="tx1"/>
            </w14:solidFill>
          </w14:textFill>
        </w:rPr>
      </w:pPr>
    </w:p>
    <w:p w14:paraId="67FDC478">
      <w:pPr>
        <w:spacing w:line="240" w:lineRule="auto"/>
        <w:ind w:firstLine="0" w:firstLineChars="0"/>
        <w:jc w:val="center"/>
        <w:rPr>
          <w:rFonts w:ascii="Times New Roman" w:hAnsi="Times New Roman" w:eastAsia="黑体"/>
          <w:b/>
          <w:color w:val="000000" w:themeColor="text1"/>
          <w:sz w:val="32"/>
          <w:szCs w:val="32"/>
          <w14:textFill>
            <w14:solidFill>
              <w14:schemeClr w14:val="tx1"/>
            </w14:solidFill>
          </w14:textFill>
        </w:rPr>
      </w:pPr>
    </w:p>
    <w:p w14:paraId="6A9FB595">
      <w:pPr>
        <w:spacing w:line="240" w:lineRule="auto"/>
        <w:ind w:firstLine="0" w:firstLineChars="0"/>
        <w:jc w:val="center"/>
        <w:rPr>
          <w:rFonts w:ascii="Times New Roman" w:hAnsi="Times New Roman" w:eastAsia="黑体"/>
          <w:b/>
          <w:color w:val="000000" w:themeColor="text1"/>
          <w:sz w:val="32"/>
          <w:szCs w:val="32"/>
          <w14:textFill>
            <w14:solidFill>
              <w14:schemeClr w14:val="tx1"/>
            </w14:solidFill>
          </w14:textFill>
        </w:rPr>
      </w:pPr>
    </w:p>
    <w:tbl>
      <w:tblPr>
        <w:tblStyle w:val="35"/>
        <w:tblpPr w:leftFromText="180" w:rightFromText="180" w:vertAnchor="page" w:horzAnchor="page" w:tblpX="1273" w:tblpY="3101"/>
        <w:tblW w:w="971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492"/>
        <w:gridCol w:w="1023"/>
        <w:gridCol w:w="2905"/>
        <w:gridCol w:w="1488"/>
        <w:gridCol w:w="1193"/>
        <w:gridCol w:w="1616"/>
      </w:tblGrid>
      <w:tr w14:paraId="31058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3" w:hRule="atLeast"/>
        </w:trPr>
        <w:tc>
          <w:tcPr>
            <w:tcW w:w="1492" w:type="dxa"/>
            <w:tcBorders>
              <w:top w:val="single" w:color="auto" w:sz="4" w:space="0"/>
              <w:left w:val="single" w:color="auto" w:sz="4" w:space="0"/>
              <w:bottom w:val="single" w:color="auto" w:sz="4" w:space="0"/>
              <w:right w:val="single" w:color="auto" w:sz="4" w:space="0"/>
            </w:tcBorders>
            <w:vAlign w:val="center"/>
          </w:tcPr>
          <w:p w14:paraId="7565D15A">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5E1D72F6">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姓</w:t>
            </w:r>
            <w:r>
              <w:rPr>
                <w:rFonts w:hint="eastAsia" w:ascii="Times New Roman" w:hAnsi="Times New Roman"/>
                <w:color w:val="000000" w:themeColor="text1"/>
                <w:spacing w:val="0"/>
                <w:kern w:val="2"/>
                <w:sz w:val="24"/>
                <w:szCs w:val="24"/>
                <w:lang w:val="en-US" w:eastAsia="zh-CN"/>
                <w14:textFill>
                  <w14:solidFill>
                    <w14:schemeClr w14:val="tx1"/>
                  </w14:solidFill>
                </w14:textFill>
              </w:rPr>
              <w:t xml:space="preserve">  </w:t>
            </w:r>
            <w:r>
              <w:rPr>
                <w:rFonts w:ascii="Times New Roman" w:hAnsi="Times New Roman"/>
                <w:color w:val="000000" w:themeColor="text1"/>
                <w:spacing w:val="0"/>
                <w:kern w:val="2"/>
                <w:sz w:val="24"/>
                <w:szCs w:val="24"/>
                <w14:textFill>
                  <w14:solidFill>
                    <w14:schemeClr w14:val="tx1"/>
                  </w14:solidFill>
                </w14:textFill>
              </w:rPr>
              <w:t>名</w:t>
            </w:r>
          </w:p>
        </w:tc>
        <w:tc>
          <w:tcPr>
            <w:tcW w:w="2905" w:type="dxa"/>
            <w:tcBorders>
              <w:top w:val="single" w:color="auto" w:sz="4" w:space="0"/>
              <w:left w:val="single" w:color="auto" w:sz="4" w:space="0"/>
              <w:bottom w:val="single" w:color="auto" w:sz="4" w:space="0"/>
              <w:right w:val="single" w:color="auto" w:sz="4" w:space="0"/>
            </w:tcBorders>
            <w:vAlign w:val="center"/>
          </w:tcPr>
          <w:p w14:paraId="2AD03E94">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证书编号</w:t>
            </w:r>
          </w:p>
        </w:tc>
        <w:tc>
          <w:tcPr>
            <w:tcW w:w="1488" w:type="dxa"/>
            <w:tcBorders>
              <w:top w:val="single" w:color="auto" w:sz="4" w:space="0"/>
              <w:left w:val="single" w:color="auto" w:sz="4" w:space="0"/>
              <w:bottom w:val="single" w:color="auto" w:sz="4" w:space="0"/>
              <w:right w:val="single" w:color="auto" w:sz="4" w:space="0"/>
            </w:tcBorders>
            <w:vAlign w:val="center"/>
          </w:tcPr>
          <w:p w14:paraId="11FD8D3C">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从业登记号</w:t>
            </w:r>
          </w:p>
        </w:tc>
        <w:tc>
          <w:tcPr>
            <w:tcW w:w="1193" w:type="dxa"/>
            <w:tcBorders>
              <w:top w:val="single" w:color="auto" w:sz="4" w:space="0"/>
              <w:left w:val="single" w:color="auto" w:sz="4" w:space="0"/>
              <w:bottom w:val="single" w:color="auto" w:sz="4" w:space="0"/>
              <w:right w:val="single" w:color="auto" w:sz="4" w:space="0"/>
            </w:tcBorders>
            <w:vAlign w:val="center"/>
          </w:tcPr>
          <w:p w14:paraId="471FE5A1">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专</w:t>
            </w:r>
            <w:r>
              <w:rPr>
                <w:rFonts w:hint="eastAsia" w:ascii="Times New Roman" w:hAnsi="Times New Roman"/>
                <w:color w:val="000000" w:themeColor="text1"/>
                <w:spacing w:val="0"/>
                <w:kern w:val="2"/>
                <w:sz w:val="24"/>
                <w:szCs w:val="24"/>
                <w:lang w:val="en-US" w:eastAsia="zh-CN"/>
                <w14:textFill>
                  <w14:solidFill>
                    <w14:schemeClr w14:val="tx1"/>
                  </w14:solidFill>
                </w14:textFill>
              </w:rPr>
              <w:t xml:space="preserve">  </w:t>
            </w:r>
            <w:r>
              <w:rPr>
                <w:rFonts w:ascii="Times New Roman" w:hAnsi="Times New Roman"/>
                <w:color w:val="000000" w:themeColor="text1"/>
                <w:spacing w:val="0"/>
                <w:kern w:val="2"/>
                <w:sz w:val="24"/>
                <w:szCs w:val="24"/>
                <w14:textFill>
                  <w14:solidFill>
                    <w14:schemeClr w14:val="tx1"/>
                  </w14:solidFill>
                </w14:textFill>
              </w:rPr>
              <w:t>业</w:t>
            </w:r>
          </w:p>
        </w:tc>
        <w:tc>
          <w:tcPr>
            <w:tcW w:w="1616" w:type="dxa"/>
            <w:tcBorders>
              <w:top w:val="single" w:color="auto" w:sz="4" w:space="0"/>
              <w:left w:val="single" w:color="auto" w:sz="4" w:space="0"/>
              <w:bottom w:val="single" w:color="auto" w:sz="4" w:space="0"/>
              <w:right w:val="single" w:color="auto" w:sz="4" w:space="0"/>
            </w:tcBorders>
            <w:vAlign w:val="center"/>
          </w:tcPr>
          <w:p w14:paraId="2DB9191F">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签</w:t>
            </w:r>
            <w:r>
              <w:rPr>
                <w:rFonts w:hint="eastAsia" w:ascii="Times New Roman" w:hAnsi="Times New Roman"/>
                <w:color w:val="000000" w:themeColor="text1"/>
                <w:spacing w:val="0"/>
                <w:kern w:val="2"/>
                <w:sz w:val="24"/>
                <w:szCs w:val="24"/>
                <w:lang w:val="en-US" w:eastAsia="zh-CN"/>
                <w14:textFill>
                  <w14:solidFill>
                    <w14:schemeClr w14:val="tx1"/>
                  </w14:solidFill>
                </w14:textFill>
              </w:rPr>
              <w:t xml:space="preserve">  </w:t>
            </w:r>
            <w:r>
              <w:rPr>
                <w:rFonts w:ascii="Times New Roman" w:hAnsi="Times New Roman"/>
                <w:color w:val="000000" w:themeColor="text1"/>
                <w:spacing w:val="0"/>
                <w:kern w:val="2"/>
                <w:sz w:val="24"/>
                <w:szCs w:val="24"/>
                <w14:textFill>
                  <w14:solidFill>
                    <w14:schemeClr w14:val="tx1"/>
                  </w14:solidFill>
                </w14:textFill>
              </w:rPr>
              <w:t>字</w:t>
            </w:r>
          </w:p>
        </w:tc>
      </w:tr>
      <w:tr w14:paraId="0813C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92" w:type="dxa"/>
            <w:tcBorders>
              <w:top w:val="single" w:color="auto" w:sz="4" w:space="0"/>
              <w:left w:val="single" w:color="auto" w:sz="4" w:space="0"/>
              <w:bottom w:val="single" w:color="auto" w:sz="4" w:space="0"/>
              <w:right w:val="single" w:color="auto" w:sz="4" w:space="0"/>
            </w:tcBorders>
            <w:vAlign w:val="center"/>
          </w:tcPr>
          <w:p w14:paraId="3C0A1265">
            <w:pPr>
              <w:adjustRightInd/>
              <w:snapToGrid/>
              <w:spacing w:line="560" w:lineRule="exact"/>
              <w:ind w:firstLine="0" w:firstLineChars="0"/>
              <w:jc w:val="center"/>
              <w:textAlignment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项目负责人</w:t>
            </w:r>
          </w:p>
        </w:tc>
        <w:tc>
          <w:tcPr>
            <w:tcW w:w="1023" w:type="dxa"/>
            <w:tcBorders>
              <w:top w:val="single" w:color="auto" w:sz="4" w:space="0"/>
              <w:left w:val="single" w:color="auto" w:sz="4" w:space="0"/>
              <w:bottom w:val="single" w:color="auto" w:sz="4" w:space="0"/>
              <w:right w:val="single" w:color="auto" w:sz="4" w:space="0"/>
            </w:tcBorders>
            <w:vAlign w:val="center"/>
          </w:tcPr>
          <w:p w14:paraId="697092F7">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吴</w:t>
            </w:r>
            <w:r>
              <w:rPr>
                <w:rFonts w:hint="eastAsia" w:ascii="Times New Roman" w:hAnsi="Times New Roman"/>
                <w:color w:val="000000" w:themeColor="text1"/>
                <w:spacing w:val="0"/>
                <w:kern w:val="2"/>
                <w:sz w:val="24"/>
                <w:szCs w:val="24"/>
                <w:lang w:val="en-US" w:eastAsia="zh-CN"/>
                <w14:textFill>
                  <w14:solidFill>
                    <w14:schemeClr w14:val="tx1"/>
                  </w14:solidFill>
                </w14:textFill>
              </w:rPr>
              <w:t xml:space="preserve">  </w:t>
            </w:r>
            <w:r>
              <w:rPr>
                <w:rFonts w:ascii="Times New Roman" w:hAnsi="Times New Roman"/>
                <w:color w:val="000000" w:themeColor="text1"/>
                <w:spacing w:val="0"/>
                <w:kern w:val="2"/>
                <w:sz w:val="24"/>
                <w:szCs w:val="24"/>
                <w14:textFill>
                  <w14:solidFill>
                    <w14:schemeClr w14:val="tx1"/>
                  </w14:solidFill>
                </w14:textFill>
              </w:rPr>
              <w:t>华</w:t>
            </w:r>
          </w:p>
        </w:tc>
        <w:tc>
          <w:tcPr>
            <w:tcW w:w="2905" w:type="dxa"/>
            <w:tcBorders>
              <w:top w:val="single" w:color="auto" w:sz="4" w:space="0"/>
              <w:left w:val="single" w:color="auto" w:sz="4" w:space="0"/>
              <w:bottom w:val="single" w:color="auto" w:sz="4" w:space="0"/>
              <w:right w:val="single" w:color="auto" w:sz="4" w:space="0"/>
            </w:tcBorders>
            <w:vAlign w:val="center"/>
          </w:tcPr>
          <w:p w14:paraId="1EC30B9D">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CAWS530000230200949</w:t>
            </w:r>
          </w:p>
        </w:tc>
        <w:tc>
          <w:tcPr>
            <w:tcW w:w="1488" w:type="dxa"/>
            <w:tcBorders>
              <w:top w:val="single" w:color="auto" w:sz="4" w:space="0"/>
              <w:left w:val="single" w:color="auto" w:sz="4" w:space="0"/>
              <w:bottom w:val="single" w:color="auto" w:sz="4" w:space="0"/>
              <w:right w:val="single" w:color="auto" w:sz="4" w:space="0"/>
            </w:tcBorders>
            <w:vAlign w:val="center"/>
          </w:tcPr>
          <w:p w14:paraId="3BA13F81">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043387</w:t>
            </w:r>
          </w:p>
        </w:tc>
        <w:tc>
          <w:tcPr>
            <w:tcW w:w="1193" w:type="dxa"/>
            <w:tcBorders>
              <w:top w:val="single" w:color="auto" w:sz="4" w:space="0"/>
              <w:left w:val="single" w:color="auto" w:sz="4" w:space="0"/>
              <w:bottom w:val="single" w:color="auto" w:sz="4" w:space="0"/>
              <w:right w:val="single" w:color="auto" w:sz="4" w:space="0"/>
            </w:tcBorders>
            <w:vAlign w:val="center"/>
          </w:tcPr>
          <w:p w14:paraId="340E1DEB">
            <w:pPr>
              <w:adjustRightInd/>
              <w:snapToGrid/>
              <w:spacing w:line="400" w:lineRule="exact"/>
              <w:ind w:firstLine="0" w:firstLineChars="0"/>
              <w:jc w:val="center"/>
              <w:rPr>
                <w:rFonts w:hint="default" w:ascii="Times New Roman" w:hAnsi="Times New Roman" w:eastAsia="宋体"/>
                <w:color w:val="000000" w:themeColor="text1"/>
                <w:spacing w:val="0"/>
                <w:kern w:val="2"/>
                <w:sz w:val="24"/>
                <w:szCs w:val="24"/>
                <w:lang w:val="en-US" w:eastAsia="zh-CN"/>
                <w14:textFill>
                  <w14:solidFill>
                    <w14:schemeClr w14:val="tx1"/>
                  </w14:solidFill>
                </w14:textFill>
              </w:rPr>
            </w:pPr>
            <w:r>
              <w:rPr>
                <w:rFonts w:hint="eastAsia" w:ascii="Times New Roman" w:hAnsi="Times New Roman"/>
                <w:color w:val="000000" w:themeColor="text1"/>
                <w:spacing w:val="0"/>
                <w:kern w:val="2"/>
                <w:sz w:val="24"/>
                <w:szCs w:val="24"/>
                <w:lang w:val="en-US" w:eastAsia="zh-CN"/>
                <w14:textFill>
                  <w14:solidFill>
                    <w14:schemeClr w14:val="tx1"/>
                  </w14:solidFill>
                </w14:textFill>
              </w:rPr>
              <w:t>地  质</w:t>
            </w:r>
          </w:p>
        </w:tc>
        <w:tc>
          <w:tcPr>
            <w:tcW w:w="1616" w:type="dxa"/>
            <w:tcBorders>
              <w:top w:val="single" w:color="auto" w:sz="4" w:space="0"/>
              <w:left w:val="single" w:color="auto" w:sz="4" w:space="0"/>
              <w:bottom w:val="single" w:color="auto" w:sz="4" w:space="0"/>
              <w:right w:val="single" w:color="auto" w:sz="4" w:space="0"/>
            </w:tcBorders>
            <w:vAlign w:val="center"/>
          </w:tcPr>
          <w:p w14:paraId="1C9E82FC">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76BD0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6" w:hRule="atLeast"/>
        </w:trPr>
        <w:tc>
          <w:tcPr>
            <w:tcW w:w="1492" w:type="dxa"/>
            <w:vMerge w:val="restart"/>
            <w:tcBorders>
              <w:left w:val="single" w:color="auto" w:sz="4" w:space="0"/>
              <w:right w:val="single" w:color="auto" w:sz="4" w:space="0"/>
            </w:tcBorders>
            <w:vAlign w:val="center"/>
          </w:tcPr>
          <w:p w14:paraId="793B452A">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项目组成员</w:t>
            </w:r>
          </w:p>
        </w:tc>
        <w:tc>
          <w:tcPr>
            <w:tcW w:w="1023" w:type="dxa"/>
            <w:tcBorders>
              <w:top w:val="single" w:color="auto" w:sz="4" w:space="0"/>
              <w:left w:val="single" w:color="auto" w:sz="4" w:space="0"/>
              <w:bottom w:val="single" w:color="auto" w:sz="4" w:space="0"/>
              <w:right w:val="single" w:color="auto" w:sz="4" w:space="0"/>
            </w:tcBorders>
            <w:vAlign w:val="center"/>
          </w:tcPr>
          <w:p w14:paraId="71D94FCB">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吴</w:t>
            </w:r>
            <w:r>
              <w:rPr>
                <w:rFonts w:hint="eastAsia" w:ascii="Times New Roman" w:hAnsi="Times New Roman"/>
                <w:color w:val="000000" w:themeColor="text1"/>
                <w:spacing w:val="0"/>
                <w:kern w:val="2"/>
                <w:sz w:val="24"/>
                <w:szCs w:val="24"/>
                <w:lang w:val="en-US" w:eastAsia="zh-CN"/>
                <w14:textFill>
                  <w14:solidFill>
                    <w14:schemeClr w14:val="tx1"/>
                  </w14:solidFill>
                </w14:textFill>
              </w:rPr>
              <w:t xml:space="preserve">  </w:t>
            </w:r>
            <w:r>
              <w:rPr>
                <w:rFonts w:ascii="Times New Roman" w:hAnsi="Times New Roman"/>
                <w:color w:val="000000" w:themeColor="text1"/>
                <w:spacing w:val="0"/>
                <w:kern w:val="2"/>
                <w:sz w:val="24"/>
                <w:szCs w:val="24"/>
                <w14:textFill>
                  <w14:solidFill>
                    <w14:schemeClr w14:val="tx1"/>
                  </w14:solidFill>
                </w14:textFill>
              </w:rPr>
              <w:t>华</w:t>
            </w:r>
          </w:p>
        </w:tc>
        <w:tc>
          <w:tcPr>
            <w:tcW w:w="2905" w:type="dxa"/>
            <w:tcBorders>
              <w:top w:val="single" w:color="auto" w:sz="4" w:space="0"/>
              <w:left w:val="single" w:color="auto" w:sz="4" w:space="0"/>
              <w:bottom w:val="single" w:color="auto" w:sz="4" w:space="0"/>
              <w:right w:val="single" w:color="auto" w:sz="4" w:space="0"/>
            </w:tcBorders>
            <w:vAlign w:val="center"/>
          </w:tcPr>
          <w:p w14:paraId="38D7228C">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CAWS530000230200949</w:t>
            </w:r>
          </w:p>
        </w:tc>
        <w:tc>
          <w:tcPr>
            <w:tcW w:w="1488" w:type="dxa"/>
            <w:tcBorders>
              <w:top w:val="single" w:color="auto" w:sz="4" w:space="0"/>
              <w:left w:val="single" w:color="auto" w:sz="4" w:space="0"/>
              <w:bottom w:val="single" w:color="auto" w:sz="4" w:space="0"/>
              <w:right w:val="single" w:color="auto" w:sz="4" w:space="0"/>
            </w:tcBorders>
            <w:vAlign w:val="center"/>
          </w:tcPr>
          <w:p w14:paraId="30551BD1">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043387</w:t>
            </w:r>
          </w:p>
        </w:tc>
        <w:tc>
          <w:tcPr>
            <w:tcW w:w="1193" w:type="dxa"/>
            <w:tcBorders>
              <w:top w:val="single" w:color="auto" w:sz="4" w:space="0"/>
              <w:left w:val="single" w:color="auto" w:sz="4" w:space="0"/>
              <w:bottom w:val="single" w:color="auto" w:sz="4" w:space="0"/>
              <w:right w:val="single" w:color="auto" w:sz="4" w:space="0"/>
            </w:tcBorders>
            <w:vAlign w:val="center"/>
          </w:tcPr>
          <w:p w14:paraId="4C18FB4A">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hint="eastAsia" w:ascii="Times New Roman" w:hAnsi="Times New Roman"/>
                <w:color w:val="000000" w:themeColor="text1"/>
                <w:spacing w:val="0"/>
                <w:kern w:val="2"/>
                <w:sz w:val="24"/>
                <w:szCs w:val="24"/>
                <w:lang w:val="en-US" w:eastAsia="zh-CN"/>
                <w14:textFill>
                  <w14:solidFill>
                    <w14:schemeClr w14:val="tx1"/>
                  </w14:solidFill>
                </w14:textFill>
              </w:rPr>
              <w:t>地  质</w:t>
            </w:r>
          </w:p>
        </w:tc>
        <w:tc>
          <w:tcPr>
            <w:tcW w:w="1616" w:type="dxa"/>
            <w:tcBorders>
              <w:top w:val="single" w:color="auto" w:sz="4" w:space="0"/>
              <w:left w:val="single" w:color="auto" w:sz="4" w:space="0"/>
              <w:bottom w:val="single" w:color="auto" w:sz="4" w:space="0"/>
              <w:right w:val="single" w:color="auto" w:sz="4" w:space="0"/>
            </w:tcBorders>
            <w:vAlign w:val="center"/>
          </w:tcPr>
          <w:p w14:paraId="756D21F7">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6C0A00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0" w:hRule="atLeast"/>
        </w:trPr>
        <w:tc>
          <w:tcPr>
            <w:tcW w:w="1492" w:type="dxa"/>
            <w:vMerge w:val="continue"/>
            <w:tcBorders>
              <w:left w:val="single" w:color="auto" w:sz="4" w:space="0"/>
              <w:right w:val="single" w:color="auto" w:sz="4" w:space="0"/>
            </w:tcBorders>
            <w:vAlign w:val="center"/>
          </w:tcPr>
          <w:p w14:paraId="4D3572D9">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1683C860">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吴映琴</w:t>
            </w:r>
          </w:p>
        </w:tc>
        <w:tc>
          <w:tcPr>
            <w:tcW w:w="2905" w:type="dxa"/>
            <w:tcBorders>
              <w:top w:val="single" w:color="auto" w:sz="4" w:space="0"/>
              <w:left w:val="single" w:color="auto" w:sz="4" w:space="0"/>
              <w:bottom w:val="single" w:color="auto" w:sz="4" w:space="0"/>
              <w:right w:val="single" w:color="auto" w:sz="4" w:space="0"/>
            </w:tcBorders>
            <w:vAlign w:val="center"/>
          </w:tcPr>
          <w:p w14:paraId="58AAC0AC">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1800000000301265</w:t>
            </w:r>
          </w:p>
        </w:tc>
        <w:tc>
          <w:tcPr>
            <w:tcW w:w="1488" w:type="dxa"/>
            <w:tcBorders>
              <w:top w:val="single" w:color="auto" w:sz="4" w:space="0"/>
              <w:left w:val="single" w:color="auto" w:sz="4" w:space="0"/>
              <w:bottom w:val="single" w:color="auto" w:sz="4" w:space="0"/>
              <w:right w:val="single" w:color="auto" w:sz="4" w:space="0"/>
            </w:tcBorders>
            <w:vAlign w:val="center"/>
          </w:tcPr>
          <w:p w14:paraId="29AE705C">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033760</w:t>
            </w:r>
          </w:p>
        </w:tc>
        <w:tc>
          <w:tcPr>
            <w:tcW w:w="1193" w:type="dxa"/>
            <w:tcBorders>
              <w:top w:val="single" w:color="auto" w:sz="4" w:space="0"/>
              <w:left w:val="single" w:color="auto" w:sz="4" w:space="0"/>
              <w:bottom w:val="single" w:color="auto" w:sz="4" w:space="0"/>
              <w:right w:val="single" w:color="auto" w:sz="4" w:space="0"/>
            </w:tcBorders>
            <w:vAlign w:val="center"/>
          </w:tcPr>
          <w:p w14:paraId="24194627">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安全工程</w:t>
            </w:r>
          </w:p>
        </w:tc>
        <w:tc>
          <w:tcPr>
            <w:tcW w:w="1616" w:type="dxa"/>
            <w:tcBorders>
              <w:top w:val="single" w:color="auto" w:sz="4" w:space="0"/>
              <w:left w:val="single" w:color="auto" w:sz="4" w:space="0"/>
              <w:right w:val="single" w:color="auto" w:sz="4" w:space="0"/>
            </w:tcBorders>
            <w:vAlign w:val="center"/>
          </w:tcPr>
          <w:p w14:paraId="78A4F9A4">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045BC0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2" w:hRule="atLeast"/>
        </w:trPr>
        <w:tc>
          <w:tcPr>
            <w:tcW w:w="1492" w:type="dxa"/>
            <w:vMerge w:val="continue"/>
            <w:tcBorders>
              <w:left w:val="single" w:color="auto" w:sz="4" w:space="0"/>
              <w:right w:val="single" w:color="auto" w:sz="4" w:space="0"/>
            </w:tcBorders>
            <w:vAlign w:val="center"/>
          </w:tcPr>
          <w:p w14:paraId="56C66093">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1373C3A4">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lang w:val="en-US" w:eastAsia="zh-CN"/>
                <w14:textFill>
                  <w14:solidFill>
                    <w14:schemeClr w14:val="tx1"/>
                  </w14:solidFill>
                </w14:textFill>
              </w:rPr>
              <w:t>钱局东</w:t>
            </w:r>
          </w:p>
        </w:tc>
        <w:tc>
          <w:tcPr>
            <w:tcW w:w="2905" w:type="dxa"/>
            <w:tcBorders>
              <w:top w:val="single" w:color="auto" w:sz="4" w:space="0"/>
              <w:left w:val="single" w:color="auto" w:sz="4" w:space="0"/>
              <w:bottom w:val="single" w:color="auto" w:sz="4" w:space="0"/>
              <w:right w:val="single" w:color="auto" w:sz="4" w:space="0"/>
            </w:tcBorders>
            <w:vAlign w:val="center"/>
          </w:tcPr>
          <w:p w14:paraId="5B25350E">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lang w:val="en-US" w:eastAsia="zh-CN"/>
                <w14:textFill>
                  <w14:solidFill>
                    <w14:schemeClr w14:val="tx1"/>
                  </w14:solidFill>
                </w14:textFill>
              </w:rPr>
              <w:t>S011053000110202001891</w:t>
            </w:r>
          </w:p>
        </w:tc>
        <w:tc>
          <w:tcPr>
            <w:tcW w:w="1488" w:type="dxa"/>
            <w:tcBorders>
              <w:top w:val="single" w:color="auto" w:sz="4" w:space="0"/>
              <w:left w:val="single" w:color="auto" w:sz="4" w:space="0"/>
              <w:bottom w:val="single" w:color="auto" w:sz="4" w:space="0"/>
              <w:right w:val="single" w:color="auto" w:sz="4" w:space="0"/>
            </w:tcBorders>
            <w:vAlign w:val="center"/>
          </w:tcPr>
          <w:p w14:paraId="3D71490E">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lang w:val="en-US" w:eastAsia="zh-CN"/>
                <w14:textFill>
                  <w14:solidFill>
                    <w14:schemeClr w14:val="tx1"/>
                  </w14:solidFill>
                </w14:textFill>
              </w:rPr>
              <w:t>026369</w:t>
            </w:r>
          </w:p>
        </w:tc>
        <w:tc>
          <w:tcPr>
            <w:tcW w:w="1193" w:type="dxa"/>
            <w:tcBorders>
              <w:top w:val="single" w:color="auto" w:sz="4" w:space="0"/>
              <w:left w:val="single" w:color="auto" w:sz="4" w:space="0"/>
              <w:bottom w:val="single" w:color="auto" w:sz="4" w:space="0"/>
              <w:right w:val="single" w:color="auto" w:sz="4" w:space="0"/>
            </w:tcBorders>
            <w:vAlign w:val="center"/>
          </w:tcPr>
          <w:p w14:paraId="3E0C784D">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lang w:val="en-US" w:eastAsia="zh-CN"/>
                <w14:textFill>
                  <w14:solidFill>
                    <w14:schemeClr w14:val="tx1"/>
                  </w14:solidFill>
                </w14:textFill>
              </w:rPr>
              <w:t>电气工程</w:t>
            </w:r>
          </w:p>
        </w:tc>
        <w:tc>
          <w:tcPr>
            <w:tcW w:w="1616" w:type="dxa"/>
            <w:tcBorders>
              <w:left w:val="single" w:color="auto" w:sz="4" w:space="0"/>
              <w:bottom w:val="single" w:color="auto" w:sz="4" w:space="0"/>
              <w:right w:val="single" w:color="auto" w:sz="4" w:space="0"/>
            </w:tcBorders>
            <w:vAlign w:val="center"/>
          </w:tcPr>
          <w:p w14:paraId="7F6FF01F">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0DB4F2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41" w:hRule="atLeast"/>
        </w:trPr>
        <w:tc>
          <w:tcPr>
            <w:tcW w:w="1492" w:type="dxa"/>
            <w:vMerge w:val="continue"/>
            <w:tcBorders>
              <w:left w:val="single" w:color="auto" w:sz="4" w:space="0"/>
              <w:right w:val="single" w:color="auto" w:sz="4" w:space="0"/>
            </w:tcBorders>
            <w:vAlign w:val="center"/>
          </w:tcPr>
          <w:p w14:paraId="4EF14C64">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1A0C86C6">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14:textFill>
                  <w14:solidFill>
                    <w14:schemeClr w14:val="tx1"/>
                  </w14:solidFill>
                </w14:textFill>
              </w:rPr>
              <w:t>曾华玉</w:t>
            </w:r>
          </w:p>
        </w:tc>
        <w:tc>
          <w:tcPr>
            <w:tcW w:w="2905" w:type="dxa"/>
            <w:tcBorders>
              <w:top w:val="single" w:color="auto" w:sz="4" w:space="0"/>
              <w:left w:val="single" w:color="auto" w:sz="4" w:space="0"/>
              <w:bottom w:val="single" w:color="auto" w:sz="4" w:space="0"/>
              <w:right w:val="single" w:color="auto" w:sz="4" w:space="0"/>
            </w:tcBorders>
            <w:vAlign w:val="center"/>
          </w:tcPr>
          <w:p w14:paraId="6D9B29BA">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14:textFill>
                  <w14:solidFill>
                    <w14:schemeClr w14:val="tx1"/>
                  </w14:solidFill>
                </w14:textFill>
              </w:rPr>
              <w:t>0800000000203970</w:t>
            </w:r>
          </w:p>
        </w:tc>
        <w:tc>
          <w:tcPr>
            <w:tcW w:w="1488" w:type="dxa"/>
            <w:tcBorders>
              <w:top w:val="single" w:color="auto" w:sz="4" w:space="0"/>
              <w:left w:val="single" w:color="auto" w:sz="4" w:space="0"/>
              <w:bottom w:val="single" w:color="auto" w:sz="4" w:space="0"/>
              <w:right w:val="single" w:color="auto" w:sz="4" w:space="0"/>
            </w:tcBorders>
            <w:vAlign w:val="center"/>
          </w:tcPr>
          <w:p w14:paraId="749CAF91">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14:textFill>
                  <w14:solidFill>
                    <w14:schemeClr w14:val="tx1"/>
                  </w14:solidFill>
                </w14:textFill>
              </w:rPr>
              <w:t>007037</w:t>
            </w:r>
          </w:p>
        </w:tc>
        <w:tc>
          <w:tcPr>
            <w:tcW w:w="1193" w:type="dxa"/>
            <w:tcBorders>
              <w:top w:val="single" w:color="auto" w:sz="4" w:space="0"/>
              <w:left w:val="single" w:color="auto" w:sz="4" w:space="0"/>
              <w:bottom w:val="single" w:color="auto" w:sz="4" w:space="0"/>
              <w:right w:val="single" w:color="auto" w:sz="4" w:space="0"/>
            </w:tcBorders>
            <w:vAlign w:val="center"/>
          </w:tcPr>
          <w:p w14:paraId="68142B5A">
            <w:pPr>
              <w:adjustRightInd/>
              <w:snapToGrid/>
              <w:spacing w:line="400" w:lineRule="exact"/>
              <w:ind w:firstLine="0" w:firstLineChars="0"/>
              <w:jc w:val="center"/>
              <w:rPr>
                <w:rFonts w:ascii="Times New Roman" w:hAnsi="Times New Roman" w:eastAsia="宋体"/>
                <w:color w:val="000000" w:themeColor="text1"/>
                <w:spacing w:val="0"/>
                <w:kern w:val="2"/>
                <w:sz w:val="24"/>
                <w:szCs w:val="24"/>
                <w14:textFill>
                  <w14:solidFill>
                    <w14:schemeClr w14:val="tx1"/>
                  </w14:solidFill>
                </w14:textFill>
              </w:rPr>
            </w:pPr>
            <w:r>
              <w:rPr>
                <w:rFonts w:hint="eastAsia" w:ascii="Times New Roman" w:hAnsi="Times New Roman" w:eastAsia="宋体"/>
                <w:color w:val="000000" w:themeColor="text1"/>
                <w:spacing w:val="0"/>
                <w:kern w:val="2"/>
                <w:sz w:val="24"/>
                <w:szCs w:val="24"/>
                <w14:textFill>
                  <w14:solidFill>
                    <w14:schemeClr w14:val="tx1"/>
                  </w14:solidFill>
                </w14:textFill>
              </w:rPr>
              <w:t>机</w:t>
            </w:r>
            <w:r>
              <w:rPr>
                <w:rFonts w:hint="eastAsia" w:ascii="Times New Roman" w:hAnsi="Times New Roman" w:eastAsia="宋体"/>
                <w:color w:val="000000" w:themeColor="text1"/>
                <w:spacing w:val="0"/>
                <w:kern w:val="2"/>
                <w:sz w:val="24"/>
                <w:szCs w:val="24"/>
                <w:lang w:val="en-US" w:eastAsia="zh-CN"/>
                <w14:textFill>
                  <w14:solidFill>
                    <w14:schemeClr w14:val="tx1"/>
                  </w14:solidFill>
                </w14:textFill>
              </w:rPr>
              <w:t xml:space="preserve">  </w:t>
            </w:r>
            <w:r>
              <w:rPr>
                <w:rFonts w:hint="eastAsia" w:ascii="Times New Roman" w:hAnsi="Times New Roman" w:eastAsia="宋体"/>
                <w:color w:val="000000" w:themeColor="text1"/>
                <w:spacing w:val="0"/>
                <w:kern w:val="2"/>
                <w:sz w:val="24"/>
                <w:szCs w:val="24"/>
                <w14:textFill>
                  <w14:solidFill>
                    <w14:schemeClr w14:val="tx1"/>
                  </w14:solidFill>
                </w14:textFill>
              </w:rPr>
              <w:t>械</w:t>
            </w:r>
          </w:p>
        </w:tc>
        <w:tc>
          <w:tcPr>
            <w:tcW w:w="1616" w:type="dxa"/>
            <w:tcBorders>
              <w:top w:val="single" w:color="auto" w:sz="4" w:space="0"/>
              <w:left w:val="single" w:color="auto" w:sz="4" w:space="0"/>
              <w:bottom w:val="single" w:color="auto" w:sz="4" w:space="0"/>
              <w:right w:val="single" w:color="auto" w:sz="4" w:space="0"/>
            </w:tcBorders>
            <w:vAlign w:val="center"/>
          </w:tcPr>
          <w:p w14:paraId="68CFF9F4">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67AD74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2" w:hRule="atLeast"/>
        </w:trPr>
        <w:tc>
          <w:tcPr>
            <w:tcW w:w="1492" w:type="dxa"/>
            <w:vMerge w:val="continue"/>
            <w:tcBorders>
              <w:left w:val="single" w:color="auto" w:sz="4" w:space="0"/>
              <w:right w:val="single" w:color="auto" w:sz="4" w:space="0"/>
            </w:tcBorders>
            <w:vAlign w:val="center"/>
          </w:tcPr>
          <w:p w14:paraId="71D3E1FD">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68918B3D">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黄伯扬</w:t>
            </w:r>
          </w:p>
        </w:tc>
        <w:tc>
          <w:tcPr>
            <w:tcW w:w="2905" w:type="dxa"/>
            <w:tcBorders>
              <w:top w:val="single" w:color="auto" w:sz="4" w:space="0"/>
              <w:left w:val="single" w:color="auto" w:sz="4" w:space="0"/>
              <w:bottom w:val="single" w:color="auto" w:sz="4" w:space="0"/>
              <w:right w:val="single" w:color="auto" w:sz="4" w:space="0"/>
            </w:tcBorders>
            <w:vAlign w:val="center"/>
          </w:tcPr>
          <w:p w14:paraId="32978564">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1800000000300643</w:t>
            </w:r>
          </w:p>
        </w:tc>
        <w:tc>
          <w:tcPr>
            <w:tcW w:w="1488" w:type="dxa"/>
            <w:tcBorders>
              <w:top w:val="single" w:color="auto" w:sz="4" w:space="0"/>
              <w:left w:val="single" w:color="auto" w:sz="4" w:space="0"/>
              <w:bottom w:val="single" w:color="auto" w:sz="4" w:space="0"/>
              <w:right w:val="single" w:color="auto" w:sz="4" w:space="0"/>
            </w:tcBorders>
            <w:vAlign w:val="center"/>
          </w:tcPr>
          <w:p w14:paraId="79E52C2F">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032737</w:t>
            </w:r>
          </w:p>
        </w:tc>
        <w:tc>
          <w:tcPr>
            <w:tcW w:w="1193" w:type="dxa"/>
            <w:tcBorders>
              <w:top w:val="single" w:color="auto" w:sz="4" w:space="0"/>
              <w:left w:val="single" w:color="auto" w:sz="4" w:space="0"/>
              <w:bottom w:val="single" w:color="auto" w:sz="4" w:space="0"/>
              <w:right w:val="single" w:color="auto" w:sz="4" w:space="0"/>
            </w:tcBorders>
            <w:vAlign w:val="center"/>
          </w:tcPr>
          <w:p w14:paraId="67DD05A0">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采矿工程</w:t>
            </w:r>
          </w:p>
        </w:tc>
        <w:tc>
          <w:tcPr>
            <w:tcW w:w="1616" w:type="dxa"/>
            <w:tcBorders>
              <w:top w:val="single" w:color="auto" w:sz="4" w:space="0"/>
              <w:left w:val="single" w:color="auto" w:sz="4" w:space="0"/>
              <w:bottom w:val="single" w:color="auto" w:sz="4" w:space="0"/>
              <w:right w:val="single" w:color="auto" w:sz="4" w:space="0"/>
            </w:tcBorders>
            <w:vAlign w:val="center"/>
          </w:tcPr>
          <w:p w14:paraId="252DC363">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3C6FAD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1" w:hRule="atLeast"/>
        </w:trPr>
        <w:tc>
          <w:tcPr>
            <w:tcW w:w="1492" w:type="dxa"/>
            <w:vMerge w:val="restart"/>
            <w:tcBorders>
              <w:top w:val="single" w:color="auto" w:sz="4" w:space="0"/>
              <w:left w:val="single" w:color="auto" w:sz="4" w:space="0"/>
              <w:right w:val="single" w:color="auto" w:sz="4" w:space="0"/>
            </w:tcBorders>
            <w:vAlign w:val="center"/>
          </w:tcPr>
          <w:p w14:paraId="046A5D6C">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报告编制人</w:t>
            </w:r>
          </w:p>
        </w:tc>
        <w:tc>
          <w:tcPr>
            <w:tcW w:w="1023" w:type="dxa"/>
            <w:tcBorders>
              <w:top w:val="single" w:color="auto" w:sz="4" w:space="0"/>
              <w:left w:val="single" w:color="auto" w:sz="4" w:space="0"/>
              <w:bottom w:val="single" w:color="auto" w:sz="4" w:space="0"/>
              <w:right w:val="single" w:color="auto" w:sz="4" w:space="0"/>
            </w:tcBorders>
            <w:vAlign w:val="center"/>
          </w:tcPr>
          <w:p w14:paraId="7F8E9EBE">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吴</w:t>
            </w:r>
            <w:r>
              <w:rPr>
                <w:rFonts w:hint="eastAsia" w:ascii="Times New Roman" w:hAnsi="Times New Roman"/>
                <w:color w:val="000000" w:themeColor="text1"/>
                <w:spacing w:val="0"/>
                <w:kern w:val="2"/>
                <w:sz w:val="24"/>
                <w:szCs w:val="24"/>
                <w:lang w:val="en-US" w:eastAsia="zh-CN"/>
                <w14:textFill>
                  <w14:solidFill>
                    <w14:schemeClr w14:val="tx1"/>
                  </w14:solidFill>
                </w14:textFill>
              </w:rPr>
              <w:t xml:space="preserve">  </w:t>
            </w:r>
            <w:r>
              <w:rPr>
                <w:rFonts w:ascii="Times New Roman" w:hAnsi="Times New Roman"/>
                <w:color w:val="000000" w:themeColor="text1"/>
                <w:spacing w:val="0"/>
                <w:kern w:val="2"/>
                <w:sz w:val="24"/>
                <w:szCs w:val="24"/>
                <w14:textFill>
                  <w14:solidFill>
                    <w14:schemeClr w14:val="tx1"/>
                  </w14:solidFill>
                </w14:textFill>
              </w:rPr>
              <w:t>华</w:t>
            </w:r>
          </w:p>
        </w:tc>
        <w:tc>
          <w:tcPr>
            <w:tcW w:w="2905" w:type="dxa"/>
            <w:tcBorders>
              <w:top w:val="single" w:color="auto" w:sz="4" w:space="0"/>
              <w:left w:val="single" w:color="auto" w:sz="4" w:space="0"/>
              <w:bottom w:val="single" w:color="auto" w:sz="4" w:space="0"/>
              <w:right w:val="single" w:color="auto" w:sz="4" w:space="0"/>
            </w:tcBorders>
            <w:vAlign w:val="center"/>
          </w:tcPr>
          <w:p w14:paraId="1D6CED2A">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CAWS530000230200949</w:t>
            </w:r>
          </w:p>
        </w:tc>
        <w:tc>
          <w:tcPr>
            <w:tcW w:w="1488" w:type="dxa"/>
            <w:tcBorders>
              <w:top w:val="single" w:color="auto" w:sz="4" w:space="0"/>
              <w:left w:val="single" w:color="auto" w:sz="4" w:space="0"/>
              <w:bottom w:val="single" w:color="auto" w:sz="4" w:space="0"/>
              <w:right w:val="single" w:color="auto" w:sz="4" w:space="0"/>
            </w:tcBorders>
            <w:vAlign w:val="center"/>
          </w:tcPr>
          <w:p w14:paraId="76D32DC2">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043387</w:t>
            </w:r>
          </w:p>
        </w:tc>
        <w:tc>
          <w:tcPr>
            <w:tcW w:w="1193" w:type="dxa"/>
            <w:tcBorders>
              <w:top w:val="single" w:color="auto" w:sz="4" w:space="0"/>
              <w:left w:val="single" w:color="auto" w:sz="4" w:space="0"/>
              <w:bottom w:val="single" w:color="auto" w:sz="4" w:space="0"/>
              <w:right w:val="single" w:color="auto" w:sz="4" w:space="0"/>
            </w:tcBorders>
            <w:vAlign w:val="center"/>
          </w:tcPr>
          <w:p w14:paraId="1E8F72F3">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hint="eastAsia" w:ascii="Times New Roman" w:hAnsi="Times New Roman"/>
                <w:color w:val="000000" w:themeColor="text1"/>
                <w:spacing w:val="0"/>
                <w:kern w:val="2"/>
                <w:sz w:val="24"/>
                <w:szCs w:val="24"/>
                <w:lang w:val="en-US" w:eastAsia="zh-CN"/>
                <w14:textFill>
                  <w14:solidFill>
                    <w14:schemeClr w14:val="tx1"/>
                  </w14:solidFill>
                </w14:textFill>
              </w:rPr>
              <w:t>地质</w:t>
            </w:r>
          </w:p>
        </w:tc>
        <w:tc>
          <w:tcPr>
            <w:tcW w:w="1616" w:type="dxa"/>
            <w:tcBorders>
              <w:top w:val="single" w:color="auto" w:sz="4" w:space="0"/>
              <w:left w:val="single" w:color="auto" w:sz="4" w:space="0"/>
              <w:bottom w:val="single" w:color="auto" w:sz="4" w:space="0"/>
              <w:right w:val="single" w:color="auto" w:sz="4" w:space="0"/>
            </w:tcBorders>
            <w:vAlign w:val="center"/>
          </w:tcPr>
          <w:p w14:paraId="00399758">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4609E0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4" w:hRule="atLeast"/>
        </w:trPr>
        <w:tc>
          <w:tcPr>
            <w:tcW w:w="1492" w:type="dxa"/>
            <w:vMerge w:val="continue"/>
            <w:tcBorders>
              <w:left w:val="single" w:color="auto" w:sz="4" w:space="0"/>
              <w:right w:val="single" w:color="auto" w:sz="4" w:space="0"/>
            </w:tcBorders>
            <w:vAlign w:val="center"/>
          </w:tcPr>
          <w:p w14:paraId="236EA9AC">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676FE2EE">
            <w:pPr>
              <w:adjustRightInd/>
              <w:snapToGrid/>
              <w:spacing w:line="400" w:lineRule="exact"/>
              <w:ind w:firstLine="0" w:firstLineChars="0"/>
              <w:jc w:val="center"/>
              <w:textAlignment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吴映琴</w:t>
            </w:r>
          </w:p>
        </w:tc>
        <w:tc>
          <w:tcPr>
            <w:tcW w:w="2905" w:type="dxa"/>
            <w:tcBorders>
              <w:top w:val="single" w:color="auto" w:sz="4" w:space="0"/>
              <w:left w:val="single" w:color="auto" w:sz="4" w:space="0"/>
              <w:bottom w:val="single" w:color="auto" w:sz="4" w:space="0"/>
              <w:right w:val="single" w:color="auto" w:sz="4" w:space="0"/>
            </w:tcBorders>
            <w:vAlign w:val="center"/>
          </w:tcPr>
          <w:p w14:paraId="4A61AE2F">
            <w:pPr>
              <w:adjustRightInd/>
              <w:snapToGrid/>
              <w:spacing w:line="400" w:lineRule="exact"/>
              <w:ind w:firstLine="0" w:firstLineChars="0"/>
              <w:jc w:val="center"/>
              <w:textAlignment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1800000000301265</w:t>
            </w:r>
          </w:p>
        </w:tc>
        <w:tc>
          <w:tcPr>
            <w:tcW w:w="1488" w:type="dxa"/>
            <w:tcBorders>
              <w:top w:val="single" w:color="auto" w:sz="4" w:space="0"/>
              <w:left w:val="single" w:color="auto" w:sz="4" w:space="0"/>
              <w:bottom w:val="single" w:color="auto" w:sz="4" w:space="0"/>
              <w:right w:val="single" w:color="auto" w:sz="4" w:space="0"/>
            </w:tcBorders>
            <w:vAlign w:val="center"/>
          </w:tcPr>
          <w:p w14:paraId="2064263B">
            <w:pPr>
              <w:adjustRightInd/>
              <w:snapToGrid/>
              <w:spacing w:line="400" w:lineRule="exact"/>
              <w:ind w:firstLine="0" w:firstLineChars="0"/>
              <w:jc w:val="center"/>
              <w:textAlignment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033760</w:t>
            </w:r>
          </w:p>
        </w:tc>
        <w:tc>
          <w:tcPr>
            <w:tcW w:w="1193" w:type="dxa"/>
            <w:tcBorders>
              <w:top w:val="single" w:color="auto" w:sz="4" w:space="0"/>
              <w:left w:val="single" w:color="auto" w:sz="4" w:space="0"/>
              <w:bottom w:val="single" w:color="auto" w:sz="4" w:space="0"/>
              <w:right w:val="single" w:color="auto" w:sz="4" w:space="0"/>
            </w:tcBorders>
            <w:vAlign w:val="center"/>
          </w:tcPr>
          <w:p w14:paraId="3D1B6127">
            <w:pPr>
              <w:adjustRightInd/>
              <w:snapToGrid/>
              <w:spacing w:line="400" w:lineRule="exact"/>
              <w:ind w:firstLine="0" w:firstLineChars="0"/>
              <w:jc w:val="center"/>
              <w:textAlignment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安全工程</w:t>
            </w:r>
          </w:p>
        </w:tc>
        <w:tc>
          <w:tcPr>
            <w:tcW w:w="1616" w:type="dxa"/>
            <w:tcBorders>
              <w:top w:val="single" w:color="auto" w:sz="4" w:space="0"/>
              <w:left w:val="single" w:color="auto" w:sz="4" w:space="0"/>
              <w:right w:val="single" w:color="auto" w:sz="4" w:space="0"/>
            </w:tcBorders>
            <w:vAlign w:val="center"/>
          </w:tcPr>
          <w:p w14:paraId="5E6AE617">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0B77F2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0" w:hRule="atLeast"/>
        </w:trPr>
        <w:tc>
          <w:tcPr>
            <w:tcW w:w="1492" w:type="dxa"/>
            <w:vMerge w:val="continue"/>
            <w:tcBorders>
              <w:left w:val="single" w:color="auto" w:sz="4" w:space="0"/>
              <w:right w:val="single" w:color="auto" w:sz="4" w:space="0"/>
            </w:tcBorders>
            <w:vAlign w:val="center"/>
          </w:tcPr>
          <w:p w14:paraId="04017676">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c>
          <w:tcPr>
            <w:tcW w:w="1023" w:type="dxa"/>
            <w:tcBorders>
              <w:top w:val="single" w:color="auto" w:sz="4" w:space="0"/>
              <w:left w:val="single" w:color="auto" w:sz="4" w:space="0"/>
              <w:bottom w:val="single" w:color="auto" w:sz="4" w:space="0"/>
              <w:right w:val="single" w:color="auto" w:sz="4" w:space="0"/>
            </w:tcBorders>
            <w:vAlign w:val="center"/>
          </w:tcPr>
          <w:p w14:paraId="472A2E83">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hint="eastAsia" w:ascii="Times New Roman" w:hAnsi="Times New Roman" w:eastAsia="宋体" w:cs="Times New Roman"/>
                <w:color w:val="000000" w:themeColor="text1"/>
                <w:spacing w:val="0"/>
                <w:kern w:val="2"/>
                <w:sz w:val="24"/>
                <w:szCs w:val="24"/>
                <w:lang w:val="en-US" w:eastAsia="zh-CN"/>
                <w14:textFill>
                  <w14:solidFill>
                    <w14:schemeClr w14:val="tx1"/>
                  </w14:solidFill>
                </w14:textFill>
              </w:rPr>
              <w:t>杜</w:t>
            </w:r>
            <w:r>
              <w:rPr>
                <w:rFonts w:hint="eastAsia" w:ascii="Times New Roman" w:hAnsi="Times New Roman" w:eastAsia="宋体" w:cs="Times New Roman"/>
                <w:color w:val="000000" w:themeColor="text1"/>
                <w:spacing w:val="0"/>
                <w:kern w:val="2"/>
                <w:sz w:val="24"/>
                <w:szCs w:val="24"/>
                <w14:textFill>
                  <w14:solidFill>
                    <w14:schemeClr w14:val="tx1"/>
                  </w14:solidFill>
                </w14:textFill>
              </w:rPr>
              <w:t>达衡</w:t>
            </w:r>
          </w:p>
        </w:tc>
        <w:tc>
          <w:tcPr>
            <w:tcW w:w="2905" w:type="dxa"/>
            <w:tcBorders>
              <w:top w:val="single" w:color="auto" w:sz="4" w:space="0"/>
              <w:left w:val="single" w:color="auto" w:sz="4" w:space="0"/>
              <w:bottom w:val="single" w:color="auto" w:sz="4" w:space="0"/>
              <w:right w:val="single" w:color="auto" w:sz="4" w:space="0"/>
            </w:tcBorders>
            <w:vAlign w:val="center"/>
          </w:tcPr>
          <w:p w14:paraId="3847206C">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hint="eastAsia" w:ascii="Times New Roman" w:hAnsi="Times New Roman" w:eastAsia="宋体" w:cs="Times New Roman"/>
                <w:color w:val="000000" w:themeColor="text1"/>
                <w:spacing w:val="0"/>
                <w:kern w:val="2"/>
                <w:sz w:val="24"/>
                <w:szCs w:val="24"/>
                <w14:textFill>
                  <w14:solidFill>
                    <w14:schemeClr w14:val="tx1"/>
                  </w14:solidFill>
                </w14:textFill>
              </w:rPr>
              <w:t>S011053000110203001735</w:t>
            </w:r>
          </w:p>
        </w:tc>
        <w:tc>
          <w:tcPr>
            <w:tcW w:w="1488" w:type="dxa"/>
            <w:tcBorders>
              <w:top w:val="single" w:color="auto" w:sz="4" w:space="0"/>
              <w:left w:val="single" w:color="auto" w:sz="4" w:space="0"/>
              <w:bottom w:val="single" w:color="auto" w:sz="4" w:space="0"/>
              <w:right w:val="single" w:color="auto" w:sz="4" w:space="0"/>
            </w:tcBorders>
            <w:vAlign w:val="center"/>
          </w:tcPr>
          <w:p w14:paraId="1BB397FE">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hint="eastAsia" w:ascii="Times New Roman" w:hAnsi="Times New Roman" w:eastAsia="宋体" w:cs="Times New Roman"/>
                <w:color w:val="000000" w:themeColor="text1"/>
                <w:spacing w:val="0"/>
                <w:kern w:val="2"/>
                <w:sz w:val="24"/>
                <w:szCs w:val="24"/>
                <w14:textFill>
                  <w14:solidFill>
                    <w14:schemeClr w14:val="tx1"/>
                  </w14:solidFill>
                </w14:textFill>
              </w:rPr>
              <w:t>041638</w:t>
            </w:r>
          </w:p>
        </w:tc>
        <w:tc>
          <w:tcPr>
            <w:tcW w:w="1193" w:type="dxa"/>
            <w:tcBorders>
              <w:top w:val="single" w:color="auto" w:sz="4" w:space="0"/>
              <w:left w:val="single" w:color="auto" w:sz="4" w:space="0"/>
              <w:bottom w:val="single" w:color="auto" w:sz="4" w:space="0"/>
              <w:right w:val="single" w:color="auto" w:sz="4" w:space="0"/>
            </w:tcBorders>
            <w:vAlign w:val="center"/>
          </w:tcPr>
          <w:p w14:paraId="53DAAD0F">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hint="eastAsia" w:ascii="Times New Roman" w:hAnsi="Times New Roman" w:eastAsia="宋体" w:cs="Times New Roman"/>
                <w:color w:val="000000" w:themeColor="text1"/>
                <w:spacing w:val="0"/>
                <w:kern w:val="2"/>
                <w:sz w:val="24"/>
                <w:szCs w:val="24"/>
                <w14:textFill>
                  <w14:solidFill>
                    <w14:schemeClr w14:val="tx1"/>
                  </w14:solidFill>
                </w14:textFill>
              </w:rPr>
              <w:t>安全工程</w:t>
            </w:r>
          </w:p>
        </w:tc>
        <w:tc>
          <w:tcPr>
            <w:tcW w:w="1616" w:type="dxa"/>
            <w:tcBorders>
              <w:left w:val="single" w:color="auto" w:sz="4" w:space="0"/>
              <w:bottom w:val="single" w:color="auto" w:sz="4" w:space="0"/>
              <w:right w:val="single" w:color="auto" w:sz="4" w:space="0"/>
            </w:tcBorders>
            <w:vAlign w:val="center"/>
          </w:tcPr>
          <w:p w14:paraId="072E04B9">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515D67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92" w:type="dxa"/>
            <w:tcBorders>
              <w:top w:val="single" w:color="auto" w:sz="4" w:space="0"/>
              <w:left w:val="single" w:color="auto" w:sz="4" w:space="0"/>
              <w:bottom w:val="single" w:color="auto" w:sz="4" w:space="0"/>
              <w:right w:val="single" w:color="auto" w:sz="4" w:space="0"/>
            </w:tcBorders>
            <w:vAlign w:val="center"/>
          </w:tcPr>
          <w:p w14:paraId="13A82C15">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报告审核人</w:t>
            </w:r>
          </w:p>
        </w:tc>
        <w:tc>
          <w:tcPr>
            <w:tcW w:w="1023" w:type="dxa"/>
            <w:tcBorders>
              <w:top w:val="single" w:color="auto" w:sz="4" w:space="0"/>
              <w:left w:val="single" w:color="auto" w:sz="4" w:space="0"/>
              <w:bottom w:val="single" w:color="auto" w:sz="4" w:space="0"/>
              <w:right w:val="single" w:color="auto" w:sz="4" w:space="0"/>
            </w:tcBorders>
            <w:vAlign w:val="center"/>
          </w:tcPr>
          <w:p w14:paraId="35AFD8ED">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bookmarkStart w:id="0" w:name="OLE_LINK78"/>
            <w:r>
              <w:rPr>
                <w:rFonts w:ascii="Times New Roman" w:hAnsi="Times New Roman"/>
                <w:color w:val="000000" w:themeColor="text1"/>
                <w:spacing w:val="0"/>
                <w:kern w:val="2"/>
                <w:sz w:val="24"/>
                <w:szCs w:val="24"/>
                <w14:textFill>
                  <w14:solidFill>
                    <w14:schemeClr w14:val="tx1"/>
                  </w14:solidFill>
                </w14:textFill>
              </w:rPr>
              <w:t>郑</w:t>
            </w:r>
            <w:r>
              <w:rPr>
                <w:rFonts w:hint="eastAsia" w:ascii="Times New Roman" w:hAnsi="Times New Roman"/>
                <w:color w:val="000000" w:themeColor="text1"/>
                <w:spacing w:val="0"/>
                <w:kern w:val="2"/>
                <w:sz w:val="24"/>
                <w:szCs w:val="24"/>
                <w:lang w:val="en-US" w:eastAsia="zh-CN"/>
                <w14:textFill>
                  <w14:solidFill>
                    <w14:schemeClr w14:val="tx1"/>
                  </w14:solidFill>
                </w14:textFill>
              </w:rPr>
              <w:t xml:space="preserve">  </w:t>
            </w:r>
            <w:r>
              <w:rPr>
                <w:rFonts w:ascii="Times New Roman" w:hAnsi="Times New Roman"/>
                <w:color w:val="000000" w:themeColor="text1"/>
                <w:spacing w:val="0"/>
                <w:kern w:val="2"/>
                <w:sz w:val="24"/>
                <w:szCs w:val="24"/>
                <w14:textFill>
                  <w14:solidFill>
                    <w14:schemeClr w14:val="tx1"/>
                  </w14:solidFill>
                </w14:textFill>
              </w:rPr>
              <w:t>强</w:t>
            </w:r>
            <w:bookmarkEnd w:id="0"/>
          </w:p>
        </w:tc>
        <w:tc>
          <w:tcPr>
            <w:tcW w:w="2905" w:type="dxa"/>
            <w:tcBorders>
              <w:top w:val="single" w:color="auto" w:sz="4" w:space="0"/>
              <w:left w:val="single" w:color="auto" w:sz="4" w:space="0"/>
              <w:bottom w:val="single" w:color="auto" w:sz="4" w:space="0"/>
              <w:right w:val="single" w:color="auto" w:sz="4" w:space="0"/>
            </w:tcBorders>
            <w:vAlign w:val="center"/>
          </w:tcPr>
          <w:p w14:paraId="3621D7E3">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0800000000101605</w:t>
            </w:r>
          </w:p>
        </w:tc>
        <w:tc>
          <w:tcPr>
            <w:tcW w:w="1488" w:type="dxa"/>
            <w:tcBorders>
              <w:top w:val="single" w:color="auto" w:sz="4" w:space="0"/>
              <w:left w:val="single" w:color="auto" w:sz="4" w:space="0"/>
              <w:bottom w:val="single" w:color="auto" w:sz="4" w:space="0"/>
              <w:right w:val="single" w:color="auto" w:sz="4" w:space="0"/>
            </w:tcBorders>
            <w:vAlign w:val="center"/>
          </w:tcPr>
          <w:p w14:paraId="4B63E67F">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001851</w:t>
            </w:r>
          </w:p>
        </w:tc>
        <w:tc>
          <w:tcPr>
            <w:tcW w:w="1193" w:type="dxa"/>
            <w:tcBorders>
              <w:top w:val="single" w:color="auto" w:sz="4" w:space="0"/>
              <w:left w:val="single" w:color="auto" w:sz="4" w:space="0"/>
              <w:bottom w:val="single" w:color="auto" w:sz="4" w:space="0"/>
              <w:right w:val="single" w:color="auto" w:sz="4" w:space="0"/>
            </w:tcBorders>
            <w:vAlign w:val="center"/>
          </w:tcPr>
          <w:p w14:paraId="528E7778">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安全工程</w:t>
            </w:r>
          </w:p>
        </w:tc>
        <w:tc>
          <w:tcPr>
            <w:tcW w:w="1616" w:type="dxa"/>
            <w:tcBorders>
              <w:top w:val="single" w:color="auto" w:sz="4" w:space="0"/>
              <w:left w:val="single" w:color="auto" w:sz="4" w:space="0"/>
              <w:bottom w:val="single" w:color="auto" w:sz="4" w:space="0"/>
              <w:right w:val="single" w:color="auto" w:sz="4" w:space="0"/>
            </w:tcBorders>
            <w:vAlign w:val="center"/>
          </w:tcPr>
          <w:p w14:paraId="3E8A0E8F">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6FDB2A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80" w:hRule="atLeast"/>
        </w:trPr>
        <w:tc>
          <w:tcPr>
            <w:tcW w:w="1492" w:type="dxa"/>
            <w:tcBorders>
              <w:top w:val="single" w:color="auto" w:sz="4" w:space="0"/>
              <w:left w:val="single" w:color="auto" w:sz="4" w:space="0"/>
              <w:bottom w:val="single" w:color="auto" w:sz="4" w:space="0"/>
              <w:right w:val="single" w:color="auto" w:sz="4" w:space="0"/>
            </w:tcBorders>
            <w:vAlign w:val="center"/>
          </w:tcPr>
          <w:p w14:paraId="074E0FC3">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过程控制</w:t>
            </w:r>
          </w:p>
          <w:p w14:paraId="58BF70B3">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负责人</w:t>
            </w:r>
          </w:p>
        </w:tc>
        <w:tc>
          <w:tcPr>
            <w:tcW w:w="1023" w:type="dxa"/>
            <w:tcBorders>
              <w:top w:val="single" w:color="auto" w:sz="4" w:space="0"/>
              <w:left w:val="single" w:color="auto" w:sz="4" w:space="0"/>
              <w:bottom w:val="single" w:color="auto" w:sz="4" w:space="0"/>
              <w:right w:val="single" w:color="auto" w:sz="4" w:space="0"/>
            </w:tcBorders>
            <w:vAlign w:val="center"/>
          </w:tcPr>
          <w:p w14:paraId="43535A18">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bookmarkStart w:id="1" w:name="OLE_LINK77"/>
            <w:r>
              <w:rPr>
                <w:rFonts w:ascii="Times New Roman" w:hAnsi="Times New Roman"/>
                <w:color w:val="000000" w:themeColor="text1"/>
                <w:spacing w:val="0"/>
                <w:kern w:val="2"/>
                <w:sz w:val="24"/>
                <w:szCs w:val="24"/>
                <w14:textFill>
                  <w14:solidFill>
                    <w14:schemeClr w14:val="tx1"/>
                  </w14:solidFill>
                </w14:textFill>
              </w:rPr>
              <w:t>黄香港</w:t>
            </w:r>
            <w:bookmarkEnd w:id="1"/>
          </w:p>
        </w:tc>
        <w:tc>
          <w:tcPr>
            <w:tcW w:w="2905" w:type="dxa"/>
            <w:tcBorders>
              <w:top w:val="single" w:color="auto" w:sz="4" w:space="0"/>
              <w:left w:val="single" w:color="auto" w:sz="4" w:space="0"/>
              <w:bottom w:val="single" w:color="auto" w:sz="4" w:space="0"/>
              <w:right w:val="single" w:color="auto" w:sz="4" w:space="0"/>
            </w:tcBorders>
            <w:vAlign w:val="center"/>
          </w:tcPr>
          <w:p w14:paraId="6FB4271A">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S011035000110191000617</w:t>
            </w:r>
          </w:p>
        </w:tc>
        <w:tc>
          <w:tcPr>
            <w:tcW w:w="1488" w:type="dxa"/>
            <w:tcBorders>
              <w:top w:val="single" w:color="auto" w:sz="4" w:space="0"/>
              <w:left w:val="single" w:color="auto" w:sz="4" w:space="0"/>
              <w:bottom w:val="single" w:color="auto" w:sz="4" w:space="0"/>
              <w:right w:val="single" w:color="auto" w:sz="4" w:space="0"/>
            </w:tcBorders>
            <w:vAlign w:val="center"/>
          </w:tcPr>
          <w:p w14:paraId="6D4D0F39">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024436</w:t>
            </w:r>
          </w:p>
        </w:tc>
        <w:tc>
          <w:tcPr>
            <w:tcW w:w="1193" w:type="dxa"/>
            <w:tcBorders>
              <w:top w:val="single" w:color="auto" w:sz="4" w:space="0"/>
              <w:left w:val="single" w:color="auto" w:sz="4" w:space="0"/>
              <w:bottom w:val="single" w:color="auto" w:sz="4" w:space="0"/>
              <w:right w:val="single" w:color="auto" w:sz="4" w:space="0"/>
            </w:tcBorders>
            <w:vAlign w:val="center"/>
          </w:tcPr>
          <w:p w14:paraId="404DE46F">
            <w:pPr>
              <w:adjustRightInd/>
              <w:snapToGrid/>
              <w:spacing w:line="400" w:lineRule="exact"/>
              <w:ind w:firstLine="0" w:firstLineChars="0"/>
              <w:jc w:val="center"/>
              <w:rPr>
                <w:rFonts w:hint="eastAsia" w:ascii="Times New Roman" w:hAnsi="Times New Roman" w:eastAsia="宋体"/>
                <w:color w:val="000000" w:themeColor="text1"/>
                <w:spacing w:val="0"/>
                <w:kern w:val="2"/>
                <w:sz w:val="24"/>
                <w:szCs w:val="24"/>
                <w:lang w:eastAsia="zh-CN"/>
                <w14:textFill>
                  <w14:solidFill>
                    <w14:schemeClr w14:val="tx1"/>
                  </w14:solidFill>
                </w14:textFill>
              </w:rPr>
            </w:pPr>
            <w:r>
              <w:rPr>
                <w:rFonts w:hint="eastAsia" w:ascii="Times New Roman" w:hAnsi="Times New Roman"/>
                <w:color w:val="000000" w:themeColor="text1"/>
                <w:spacing w:val="0"/>
                <w:kern w:val="2"/>
                <w:sz w:val="24"/>
                <w:szCs w:val="24"/>
                <w:lang w:val="en-US" w:eastAsia="zh-CN"/>
                <w14:textFill>
                  <w14:solidFill>
                    <w14:schemeClr w14:val="tx1"/>
                  </w14:solidFill>
                </w14:textFill>
              </w:rPr>
              <w:t>机电</w:t>
            </w:r>
          </w:p>
        </w:tc>
        <w:tc>
          <w:tcPr>
            <w:tcW w:w="1616" w:type="dxa"/>
            <w:tcBorders>
              <w:top w:val="single" w:color="auto" w:sz="4" w:space="0"/>
              <w:left w:val="single" w:color="auto" w:sz="4" w:space="0"/>
              <w:bottom w:val="single" w:color="auto" w:sz="4" w:space="0"/>
              <w:right w:val="single" w:color="auto" w:sz="4" w:space="0"/>
            </w:tcBorders>
            <w:vAlign w:val="center"/>
          </w:tcPr>
          <w:p w14:paraId="0741515E">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r w14:paraId="5C903E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2" w:hRule="atLeast"/>
        </w:trPr>
        <w:tc>
          <w:tcPr>
            <w:tcW w:w="1492" w:type="dxa"/>
            <w:tcBorders>
              <w:top w:val="single" w:color="auto" w:sz="4" w:space="0"/>
              <w:left w:val="single" w:color="auto" w:sz="4" w:space="0"/>
              <w:bottom w:val="single" w:color="auto" w:sz="4" w:space="0"/>
              <w:right w:val="single" w:color="auto" w:sz="4" w:space="0"/>
            </w:tcBorders>
            <w:vAlign w:val="center"/>
          </w:tcPr>
          <w:p w14:paraId="46081E1A">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技术负责人</w:t>
            </w:r>
          </w:p>
        </w:tc>
        <w:tc>
          <w:tcPr>
            <w:tcW w:w="1023" w:type="dxa"/>
            <w:tcBorders>
              <w:top w:val="single" w:color="auto" w:sz="4" w:space="0"/>
              <w:left w:val="single" w:color="auto" w:sz="4" w:space="0"/>
              <w:bottom w:val="single" w:color="auto" w:sz="4" w:space="0"/>
              <w:right w:val="single" w:color="auto" w:sz="4" w:space="0"/>
            </w:tcBorders>
            <w:vAlign w:val="center"/>
          </w:tcPr>
          <w:p w14:paraId="40779FBD">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管自强</w:t>
            </w:r>
          </w:p>
        </w:tc>
        <w:tc>
          <w:tcPr>
            <w:tcW w:w="2905" w:type="dxa"/>
            <w:tcBorders>
              <w:top w:val="single" w:color="auto" w:sz="4" w:space="0"/>
              <w:left w:val="single" w:color="auto" w:sz="4" w:space="0"/>
              <w:bottom w:val="single" w:color="auto" w:sz="4" w:space="0"/>
              <w:right w:val="single" w:color="auto" w:sz="4" w:space="0"/>
            </w:tcBorders>
            <w:vAlign w:val="center"/>
          </w:tcPr>
          <w:p w14:paraId="4837FCC3">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S011035000110191000614</w:t>
            </w:r>
          </w:p>
        </w:tc>
        <w:tc>
          <w:tcPr>
            <w:tcW w:w="1488" w:type="dxa"/>
            <w:tcBorders>
              <w:top w:val="single" w:color="auto" w:sz="4" w:space="0"/>
              <w:left w:val="single" w:color="auto" w:sz="4" w:space="0"/>
              <w:bottom w:val="single" w:color="auto" w:sz="4" w:space="0"/>
              <w:right w:val="single" w:color="auto" w:sz="4" w:space="0"/>
            </w:tcBorders>
            <w:vAlign w:val="center"/>
          </w:tcPr>
          <w:p w14:paraId="26E89C48">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020516</w:t>
            </w:r>
          </w:p>
        </w:tc>
        <w:tc>
          <w:tcPr>
            <w:tcW w:w="1193" w:type="dxa"/>
            <w:tcBorders>
              <w:top w:val="single" w:color="auto" w:sz="4" w:space="0"/>
              <w:left w:val="single" w:color="auto" w:sz="4" w:space="0"/>
              <w:bottom w:val="single" w:color="auto" w:sz="4" w:space="0"/>
              <w:right w:val="single" w:color="auto" w:sz="4" w:space="0"/>
            </w:tcBorders>
            <w:vAlign w:val="center"/>
          </w:tcPr>
          <w:p w14:paraId="44C04F05">
            <w:pPr>
              <w:adjustRightInd/>
              <w:snapToGrid/>
              <w:spacing w:line="40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r>
              <w:rPr>
                <w:rFonts w:ascii="Times New Roman" w:hAnsi="Times New Roman"/>
                <w:color w:val="000000" w:themeColor="text1"/>
                <w:spacing w:val="0"/>
                <w:kern w:val="2"/>
                <w:sz w:val="24"/>
                <w:szCs w:val="24"/>
                <w14:textFill>
                  <w14:solidFill>
                    <w14:schemeClr w14:val="tx1"/>
                  </w14:solidFill>
                </w14:textFill>
              </w:rPr>
              <w:t>水工结构</w:t>
            </w:r>
          </w:p>
        </w:tc>
        <w:tc>
          <w:tcPr>
            <w:tcW w:w="1616" w:type="dxa"/>
            <w:tcBorders>
              <w:top w:val="single" w:color="auto" w:sz="4" w:space="0"/>
              <w:left w:val="single" w:color="auto" w:sz="4" w:space="0"/>
              <w:bottom w:val="single" w:color="auto" w:sz="4" w:space="0"/>
              <w:right w:val="single" w:color="auto" w:sz="4" w:space="0"/>
            </w:tcBorders>
            <w:vAlign w:val="center"/>
          </w:tcPr>
          <w:p w14:paraId="20A45CFE">
            <w:pPr>
              <w:adjustRightInd/>
              <w:snapToGrid/>
              <w:spacing w:line="560" w:lineRule="exact"/>
              <w:ind w:firstLine="0" w:firstLineChars="0"/>
              <w:jc w:val="center"/>
              <w:rPr>
                <w:rFonts w:ascii="Times New Roman" w:hAnsi="Times New Roman"/>
                <w:color w:val="000000" w:themeColor="text1"/>
                <w:spacing w:val="0"/>
                <w:kern w:val="2"/>
                <w:sz w:val="24"/>
                <w:szCs w:val="24"/>
                <w14:textFill>
                  <w14:solidFill>
                    <w14:schemeClr w14:val="tx1"/>
                  </w14:solidFill>
                </w14:textFill>
              </w:rPr>
            </w:pPr>
          </w:p>
        </w:tc>
      </w:tr>
    </w:tbl>
    <w:p w14:paraId="65D3061F">
      <w:pPr>
        <w:rPr>
          <w:rFonts w:ascii="Times New Roman" w:hAnsi="Times New Roman"/>
          <w:color w:val="000000" w:themeColor="text1"/>
          <w:sz w:val="32"/>
          <w:szCs w:val="32"/>
          <w14:textFill>
            <w14:solidFill>
              <w14:schemeClr w14:val="tx1"/>
            </w14:solidFill>
          </w14:textFill>
        </w:rPr>
      </w:pPr>
      <w:bookmarkStart w:id="2" w:name="OLE_LINK52"/>
      <w:r>
        <w:rPr>
          <w:rFonts w:ascii="Times New Roman" w:hAnsi="Times New Roman"/>
          <w:color w:val="000000" w:themeColor="text1"/>
          <w:sz w:val="32"/>
          <w:szCs w:val="32"/>
          <w14:textFill>
            <w14:solidFill>
              <w14:schemeClr w14:val="tx1"/>
            </w14:solidFill>
          </w14:textFill>
        </w:rPr>
        <w:br w:type="page"/>
      </w:r>
    </w:p>
    <w:p w14:paraId="47AE6D1A">
      <w:pPr>
        <w:keepNext w:val="0"/>
        <w:keepLines w:val="0"/>
        <w:pageBreakBefore w:val="0"/>
        <w:widowControl w:val="0"/>
        <w:tabs>
          <w:tab w:val="left" w:pos="2662"/>
          <w:tab w:val="center" w:pos="4252"/>
        </w:tabs>
        <w:kinsoku/>
        <w:wordWrap/>
        <w:overflowPunct/>
        <w:topLinePunct w:val="0"/>
        <w:autoSpaceDE/>
        <w:autoSpaceDN/>
        <w:bidi w:val="0"/>
        <w:adjustRightInd w:val="0"/>
        <w:snapToGrid w:val="0"/>
        <w:spacing w:before="313" w:beforeLines="100" w:after="0"/>
        <w:ind w:left="0" w:leftChars="0" w:firstLine="0" w:firstLineChars="0"/>
        <w:jc w:val="center"/>
        <w:textAlignment w:val="auto"/>
        <w:rPr>
          <w:rFonts w:ascii="Times New Roman" w:hAnsi="Times New Roman"/>
          <w:color w:val="000000" w:themeColor="text1"/>
          <w:sz w:val="32"/>
          <w:szCs w:val="32"/>
          <w14:textFill>
            <w14:solidFill>
              <w14:schemeClr w14:val="tx1"/>
            </w14:solidFill>
          </w14:textFill>
        </w:rPr>
      </w:pPr>
    </w:p>
    <w:p w14:paraId="56473834">
      <w:pPr>
        <w:keepNext w:val="0"/>
        <w:keepLines w:val="0"/>
        <w:pageBreakBefore w:val="0"/>
        <w:widowControl w:val="0"/>
        <w:tabs>
          <w:tab w:val="left" w:pos="2662"/>
          <w:tab w:val="center" w:pos="4252"/>
        </w:tabs>
        <w:kinsoku/>
        <w:wordWrap/>
        <w:overflowPunct/>
        <w:topLinePunct w:val="0"/>
        <w:autoSpaceDE/>
        <w:autoSpaceDN/>
        <w:bidi w:val="0"/>
        <w:adjustRightInd w:val="0"/>
        <w:snapToGrid w:val="0"/>
        <w:spacing w:before="313" w:beforeLines="100" w:after="0"/>
        <w:ind w:left="0" w:leftChars="0" w:firstLine="0" w:firstLineChars="0"/>
        <w:jc w:val="center"/>
        <w:textAlignment w:val="auto"/>
        <w:rPr>
          <w:rFonts w:ascii="Times New Roman" w:hAnsi="Times New Roman"/>
          <w:b w:val="0"/>
          <w:color w:val="000000" w:themeColor="text1"/>
          <w:sz w:val="32"/>
          <w:szCs w:val="32"/>
          <w14:textFill>
            <w14:solidFill>
              <w14:schemeClr w14:val="tx1"/>
            </w14:solidFill>
          </w14:textFill>
        </w:rPr>
      </w:pPr>
      <w:r>
        <w:rPr>
          <w:rFonts w:ascii="Times New Roman" w:hAnsi="Times New Roman"/>
          <w:color w:val="000000" w:themeColor="text1"/>
          <w:sz w:val="32"/>
          <w:szCs w:val="32"/>
          <w14:textFill>
            <w14:solidFill>
              <w14:schemeClr w14:val="tx1"/>
            </w14:solidFill>
          </w14:textFill>
        </w:rPr>
        <w:t>前</w:t>
      </w:r>
      <w:r>
        <w:rPr>
          <w:rFonts w:hint="eastAsia" w:ascii="Times New Roman" w:hAnsi="Times New Roman"/>
          <w:color w:val="000000" w:themeColor="text1"/>
          <w:sz w:val="32"/>
          <w:szCs w:val="32"/>
          <w:lang w:val="en-US" w:eastAsia="zh-CN"/>
          <w14:textFill>
            <w14:solidFill>
              <w14:schemeClr w14:val="tx1"/>
            </w14:solidFill>
          </w14:textFill>
        </w:rPr>
        <w:t xml:space="preserve">  </w:t>
      </w:r>
      <w:r>
        <w:rPr>
          <w:rFonts w:ascii="Times New Roman" w:hAnsi="Times New Roman"/>
          <w:color w:val="000000" w:themeColor="text1"/>
          <w:sz w:val="32"/>
          <w:szCs w:val="32"/>
          <w14:textFill>
            <w14:solidFill>
              <w14:schemeClr w14:val="tx1"/>
            </w14:solidFill>
          </w14:textFill>
        </w:rPr>
        <w:t>言</w:t>
      </w:r>
    </w:p>
    <w:p w14:paraId="51D6F0D6">
      <w:pPr>
        <w:pStyle w:val="15"/>
        <w:spacing w:before="225" w:line="358" w:lineRule="auto"/>
        <w:ind w:left="68" w:right="24" w:firstLine="530"/>
        <w:rPr>
          <w:color w:val="auto"/>
        </w:rPr>
      </w:pPr>
      <w:r>
        <w:rPr>
          <w:rFonts w:hint="eastAsia" w:ascii="Times New Roman" w:hAnsi="Times New Roman" w:eastAsia="宋体" w:cs="Times New Roman"/>
          <w:color w:val="auto"/>
          <w:sz w:val="28"/>
          <w:szCs w:val="28"/>
          <w:lang w:eastAsia="zh-CN"/>
        </w:rPr>
        <w:t>广南县麦地大山建筑石料用石灰岩矿</w:t>
      </w:r>
      <w:r>
        <w:rPr>
          <w:rFonts w:hint="eastAsia"/>
          <w:color w:val="auto"/>
          <w:spacing w:val="-3"/>
          <w:lang w:val="en-US" w:eastAsia="zh-CN"/>
        </w:rPr>
        <w:t>50万t/a露天采矿工程</w:t>
      </w:r>
      <w:r>
        <w:rPr>
          <w:color w:val="auto"/>
          <w:spacing w:val="-3"/>
        </w:rPr>
        <w:t>建设性质为</w:t>
      </w:r>
      <w:r>
        <w:rPr>
          <w:rFonts w:hint="eastAsia"/>
          <w:color w:val="auto"/>
          <w:spacing w:val="-3"/>
          <w:lang w:eastAsia="zh-CN"/>
        </w:rPr>
        <w:t>“</w:t>
      </w:r>
      <w:r>
        <w:rPr>
          <w:rFonts w:hint="eastAsia"/>
          <w:color w:val="auto"/>
          <w:spacing w:val="-3"/>
          <w:lang w:val="en-US" w:eastAsia="zh-CN"/>
        </w:rPr>
        <w:t>扩</w:t>
      </w:r>
      <w:r>
        <w:rPr>
          <w:color w:val="auto"/>
          <w:spacing w:val="-3"/>
        </w:rPr>
        <w:t>建</w:t>
      </w:r>
      <w:r>
        <w:rPr>
          <w:rFonts w:hint="eastAsia"/>
          <w:color w:val="auto"/>
          <w:spacing w:val="-3"/>
          <w:lang w:eastAsia="zh-CN"/>
        </w:rPr>
        <w:t>”</w:t>
      </w:r>
      <w:r>
        <w:rPr>
          <w:color w:val="auto"/>
          <w:spacing w:val="-3"/>
        </w:rPr>
        <w:t>，矿区</w:t>
      </w:r>
      <w:r>
        <w:rPr>
          <w:rFonts w:hint="default" w:ascii="Times New Roman" w:hAnsi="Times New Roman" w:eastAsia="宋体" w:cs="Times New Roman"/>
          <w:color w:val="auto"/>
          <w:sz w:val="28"/>
          <w:szCs w:val="28"/>
        </w:rPr>
        <w:t>位于广南县城</w:t>
      </w:r>
      <w:r>
        <w:rPr>
          <w:rFonts w:hint="default" w:ascii="Times New Roman" w:hAnsi="Times New Roman" w:eastAsia="宋体" w:cs="Times New Roman"/>
          <w:color w:val="auto"/>
          <w:sz w:val="28"/>
          <w:szCs w:val="28"/>
          <w:lang w:val="en-US" w:eastAsia="zh-CN"/>
        </w:rPr>
        <w:t>195</w:t>
      </w:r>
      <w:r>
        <w:rPr>
          <w:rFonts w:hint="default" w:ascii="Times New Roman" w:hAnsi="Times New Roman" w:eastAsia="宋体" w:cs="Times New Roman"/>
          <w:color w:val="auto"/>
          <w:sz w:val="28"/>
          <w:szCs w:val="28"/>
        </w:rPr>
        <w:t>°方向，直距</w:t>
      </w:r>
      <w:r>
        <w:rPr>
          <w:rFonts w:hint="default" w:ascii="Times New Roman" w:hAnsi="Times New Roman" w:eastAsia="宋体" w:cs="Times New Roman"/>
          <w:color w:val="auto"/>
          <w:sz w:val="28"/>
          <w:szCs w:val="28"/>
          <w:lang w:val="en-US" w:eastAsia="zh-CN"/>
        </w:rPr>
        <w:t>28km</w:t>
      </w:r>
      <w:r>
        <w:rPr>
          <w:rFonts w:hint="default" w:ascii="Times New Roman" w:hAnsi="Times New Roman" w:eastAsia="宋体" w:cs="Times New Roman"/>
          <w:color w:val="auto"/>
          <w:sz w:val="28"/>
          <w:szCs w:val="28"/>
        </w:rPr>
        <w:t>。地理坐标：</w:t>
      </w:r>
      <w:r>
        <w:rPr>
          <w:rFonts w:hint="default" w:ascii="Times New Roman" w:hAnsi="Times New Roman" w:eastAsia="宋体" w:cs="Times New Roman"/>
          <w:color w:val="auto"/>
          <w:sz w:val="28"/>
          <w:szCs w:val="28"/>
          <w:lang w:eastAsia="zh-CN"/>
        </w:rPr>
        <w:t>东经104°54′46.39″-104°56′3.89″，北纬23°38′31″-23°41′58.27″</w:t>
      </w:r>
      <w:r>
        <w:rPr>
          <w:rFonts w:hint="default" w:ascii="Times New Roman" w:hAnsi="Times New Roman" w:eastAsia="宋体" w:cs="Times New Roman"/>
          <w:color w:val="auto"/>
          <w:sz w:val="28"/>
          <w:szCs w:val="28"/>
        </w:rPr>
        <w:t>，采矿权面积</w:t>
      </w:r>
      <w:r>
        <w:rPr>
          <w:rFonts w:hint="default" w:ascii="Times New Roman" w:hAnsi="Times New Roman" w:eastAsia="宋体" w:cs="Times New Roman"/>
          <w:color w:val="auto"/>
          <w:sz w:val="28"/>
          <w:szCs w:val="28"/>
          <w:lang w:eastAsia="zh-CN"/>
        </w:rPr>
        <w:t>0.0</w:t>
      </w:r>
      <w:r>
        <w:rPr>
          <w:rFonts w:hint="eastAsia" w:ascii="Times New Roman" w:hAnsi="Times New Roman" w:eastAsia="宋体" w:cs="Times New Roman"/>
          <w:color w:val="auto"/>
          <w:sz w:val="28"/>
          <w:szCs w:val="28"/>
          <w:lang w:val="en-US" w:eastAsia="zh-CN"/>
        </w:rPr>
        <w:t>266</w:t>
      </w:r>
      <w:r>
        <w:rPr>
          <w:rFonts w:hint="default" w:ascii="Times New Roman" w:hAnsi="Times New Roman" w:eastAsia="宋体" w:cs="Times New Roman"/>
          <w:color w:val="auto"/>
          <w:sz w:val="28"/>
          <w:szCs w:val="28"/>
          <w:lang w:val="en-US" w:eastAsia="zh-CN"/>
        </w:rPr>
        <w:t>km</w:t>
      </w:r>
      <w:r>
        <w:rPr>
          <w:rFonts w:hint="eastAsia" w:eastAsia="宋体" w:cs="Times New Roman"/>
          <w:color w:val="auto"/>
          <w:sz w:val="28"/>
          <w:szCs w:val="28"/>
          <w:vertAlign w:val="superscript"/>
          <w:lang w:val="en-US" w:eastAsia="zh-CN"/>
        </w:rPr>
        <w:t>2</w:t>
      </w:r>
      <w:r>
        <w:rPr>
          <w:rFonts w:hint="eastAsia"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lang w:eastAsia="zh-CN"/>
        </w:rPr>
        <w:t>开采标高：</w:t>
      </w:r>
      <w:r>
        <w:rPr>
          <w:rFonts w:hint="eastAsia" w:ascii="Times New Roman" w:hAnsi="Times New Roman" w:eastAsia="宋体" w:cs="Times New Roman"/>
          <w:color w:val="auto"/>
          <w:sz w:val="28"/>
          <w:szCs w:val="28"/>
          <w:lang w:val="en-US" w:eastAsia="zh-CN"/>
        </w:rPr>
        <w:t>1724m～1607m</w:t>
      </w:r>
      <w:r>
        <w:rPr>
          <w:rFonts w:hint="default" w:ascii="Times New Roman" w:hAnsi="Times New Roman" w:eastAsia="宋体" w:cs="Times New Roman"/>
          <w:color w:val="auto"/>
          <w:sz w:val="28"/>
          <w:szCs w:val="28"/>
          <w:lang w:eastAsia="zh-CN"/>
        </w:rPr>
        <w:t>。行政区划</w:t>
      </w:r>
      <w:r>
        <w:rPr>
          <w:rFonts w:hint="default" w:ascii="Times New Roman" w:hAnsi="Times New Roman" w:eastAsia="宋体" w:cs="Times New Roman"/>
          <w:color w:val="auto"/>
          <w:sz w:val="28"/>
          <w:szCs w:val="28"/>
        </w:rPr>
        <w:t>属广南县</w:t>
      </w:r>
      <w:r>
        <w:rPr>
          <w:rFonts w:hint="default" w:ascii="Times New Roman" w:hAnsi="Times New Roman" w:eastAsia="宋体" w:cs="Times New Roman"/>
          <w:color w:val="auto"/>
          <w:sz w:val="28"/>
          <w:szCs w:val="28"/>
          <w:lang w:val="en-US" w:eastAsia="zh-CN"/>
        </w:rPr>
        <w:t>珠街镇新发寨村委会</w:t>
      </w:r>
      <w:r>
        <w:rPr>
          <w:rFonts w:hint="default" w:ascii="Times New Roman" w:hAnsi="Times New Roman" w:eastAsia="宋体" w:cs="Times New Roman"/>
          <w:color w:val="auto"/>
          <w:sz w:val="28"/>
          <w:szCs w:val="28"/>
        </w:rPr>
        <w:t>管辖。</w:t>
      </w:r>
      <w:r>
        <w:rPr>
          <w:rFonts w:hint="default" w:ascii="Times New Roman" w:hAnsi="Times New Roman" w:eastAsia="宋体" w:cs="Times New Roman"/>
          <w:color w:val="auto"/>
          <w:sz w:val="28"/>
          <w:szCs w:val="28"/>
          <w:lang w:eastAsia="zh-CN"/>
        </w:rPr>
        <w:t>矿区</w:t>
      </w:r>
      <w:r>
        <w:rPr>
          <w:rFonts w:hint="default" w:ascii="Times New Roman" w:hAnsi="Times New Roman" w:eastAsia="宋体" w:cs="Times New Roman"/>
          <w:color w:val="auto"/>
          <w:sz w:val="28"/>
          <w:szCs w:val="28"/>
        </w:rPr>
        <w:t>至</w:t>
      </w:r>
      <w:r>
        <w:rPr>
          <w:rFonts w:hint="default" w:ascii="Times New Roman" w:hAnsi="Times New Roman" w:eastAsia="宋体" w:cs="Times New Roman"/>
          <w:color w:val="auto"/>
          <w:sz w:val="28"/>
          <w:szCs w:val="28"/>
          <w:lang w:eastAsia="zh-CN"/>
        </w:rPr>
        <w:t>矿区</w:t>
      </w:r>
      <w:r>
        <w:rPr>
          <w:rFonts w:hint="default" w:ascii="Times New Roman" w:hAnsi="Times New Roman" w:eastAsia="宋体" w:cs="Times New Roman"/>
          <w:color w:val="auto"/>
          <w:sz w:val="28"/>
          <w:szCs w:val="28"/>
        </w:rPr>
        <w:t>至</w:t>
      </w:r>
      <w:r>
        <w:rPr>
          <w:rFonts w:hint="default" w:ascii="Times New Roman" w:hAnsi="Times New Roman" w:eastAsia="宋体" w:cs="Times New Roman"/>
          <w:color w:val="auto"/>
          <w:sz w:val="28"/>
          <w:szCs w:val="28"/>
          <w:lang w:val="en-US" w:eastAsia="zh-CN"/>
        </w:rPr>
        <w:t>珠西公路约有100m左右的矿山道路；沿珠西公路向南4.3km到达国道G323；沿国道G323向西约4.9km到达广南县珠街镇镇政府驻地；珠街镇可以连通广砚高速（G80）。矿山沿珠西公路向北到达</w:t>
      </w:r>
      <w:r>
        <w:rPr>
          <w:rFonts w:hint="default" w:ascii="Times New Roman" w:hAnsi="Times New Roman" w:eastAsia="宋体" w:cs="Times New Roman"/>
          <w:color w:val="auto"/>
          <w:sz w:val="28"/>
          <w:szCs w:val="28"/>
          <w:lang w:eastAsia="zh-CN"/>
        </w:rPr>
        <w:t>广南县城，运距</w:t>
      </w:r>
      <w:r>
        <w:rPr>
          <w:rFonts w:hint="default" w:ascii="Times New Roman" w:hAnsi="Times New Roman" w:eastAsia="宋体" w:cs="Times New Roman"/>
          <w:color w:val="auto"/>
          <w:sz w:val="28"/>
          <w:szCs w:val="28"/>
        </w:rPr>
        <w:t>约</w:t>
      </w:r>
      <w:r>
        <w:rPr>
          <w:rFonts w:hint="default" w:ascii="Times New Roman" w:hAnsi="Times New Roman" w:eastAsia="宋体" w:cs="Times New Roman"/>
          <w:color w:val="auto"/>
          <w:sz w:val="28"/>
          <w:szCs w:val="28"/>
          <w:lang w:val="en-US" w:eastAsia="zh-CN"/>
        </w:rPr>
        <w:t>44km</w:t>
      </w:r>
      <w:r>
        <w:rPr>
          <w:rFonts w:hint="default" w:ascii="Times New Roman" w:hAnsi="Times New Roman" w:eastAsia="宋体" w:cs="Times New Roman"/>
          <w:color w:val="auto"/>
          <w:sz w:val="28"/>
          <w:szCs w:val="28"/>
        </w:rPr>
        <w:t>，</w:t>
      </w:r>
      <w:r>
        <w:rPr>
          <w:rFonts w:hint="default" w:ascii="Times New Roman" w:hAnsi="Times New Roman" w:eastAsia="宋体" w:cs="Times New Roman"/>
          <w:color w:val="auto"/>
          <w:sz w:val="28"/>
          <w:szCs w:val="28"/>
          <w:lang w:eastAsia="zh-CN"/>
        </w:rPr>
        <w:t>广南县距州府文山市约</w:t>
      </w:r>
      <w:r>
        <w:rPr>
          <w:rFonts w:hint="default" w:ascii="Times New Roman" w:hAnsi="Times New Roman" w:eastAsia="宋体" w:cs="Times New Roman"/>
          <w:color w:val="auto"/>
          <w:sz w:val="28"/>
          <w:szCs w:val="28"/>
          <w:lang w:val="en-US" w:eastAsia="zh-CN"/>
        </w:rPr>
        <w:t>180km，文山市距省会昆明约300km</w:t>
      </w:r>
      <w:r>
        <w:rPr>
          <w:rFonts w:hint="eastAsia"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交通条件较为便利</w:t>
      </w:r>
      <w:r>
        <w:rPr>
          <w:rFonts w:hint="eastAsia" w:ascii="Times New Roman" w:hAnsi="Times New Roman"/>
          <w:caps w:val="0"/>
          <w:smallCaps w:val="0"/>
          <w:color w:val="auto"/>
          <w:sz w:val="28"/>
          <w:szCs w:val="28"/>
          <w:highlight w:val="none"/>
          <w:lang w:val="en-US" w:eastAsia="zh-CN"/>
        </w:rPr>
        <w:t>。</w:t>
      </w:r>
    </w:p>
    <w:p w14:paraId="68A55C80">
      <w:pPr>
        <w:bidi w:val="0"/>
        <w:rPr>
          <w:rFonts w:hint="default"/>
          <w:lang w:val="en-US" w:eastAsia="zh-CN"/>
        </w:rPr>
      </w:pPr>
      <w:r>
        <w:rPr>
          <w:rFonts w:hint="eastAsia"/>
          <w:lang w:val="en-US" w:eastAsia="zh-CN"/>
        </w:rPr>
        <w:t>广南县城硕矿业有限公司</w:t>
      </w:r>
      <w:r>
        <w:t>成立于202</w:t>
      </w:r>
      <w:r>
        <w:rPr>
          <w:rFonts w:hint="eastAsia"/>
          <w:lang w:val="en-US" w:eastAsia="zh-CN"/>
        </w:rPr>
        <w:t>4</w:t>
      </w:r>
      <w:r>
        <w:t>年0</w:t>
      </w:r>
      <w:r>
        <w:rPr>
          <w:rFonts w:hint="eastAsia"/>
          <w:lang w:val="en-US" w:eastAsia="zh-CN"/>
        </w:rPr>
        <w:t>5</w:t>
      </w:r>
      <w:r>
        <w:t>月</w:t>
      </w:r>
      <w:r>
        <w:rPr>
          <w:rFonts w:hint="eastAsia"/>
          <w:lang w:val="en-US" w:eastAsia="zh-CN"/>
        </w:rPr>
        <w:t>24</w:t>
      </w:r>
      <w:r>
        <w:t>日，注册地位于云南省</w:t>
      </w:r>
      <w:r>
        <w:rPr>
          <w:rFonts w:hint="eastAsia"/>
          <w:lang w:val="en-US" w:eastAsia="zh-CN"/>
        </w:rPr>
        <w:t>文山壮族苗族自治州广南县珠街镇老卧村委会新发寨。2024</w:t>
      </w:r>
      <w:r>
        <w:t>年</w:t>
      </w:r>
      <w:r>
        <w:rPr>
          <w:rFonts w:hint="eastAsia"/>
          <w:lang w:val="en-US" w:eastAsia="zh-CN"/>
        </w:rPr>
        <w:t>10月22日</w:t>
      </w:r>
      <w:r>
        <w:t>依法取得</w:t>
      </w:r>
      <w:r>
        <w:rPr>
          <w:rFonts w:hint="eastAsia"/>
          <w:lang w:eastAsia="zh-CN"/>
        </w:rPr>
        <w:t>广南县麦地大山建筑石料用石灰岩矿</w:t>
      </w:r>
      <w:r>
        <w:t>采矿许可证，采矿许可证编号：</w:t>
      </w:r>
      <w:r>
        <w:rPr>
          <w:rFonts w:hint="eastAsia"/>
          <w:lang w:eastAsia="zh-CN"/>
        </w:rPr>
        <w:t>C5326272024127230157765</w:t>
      </w:r>
      <w:r>
        <w:t>；</w:t>
      </w:r>
      <w:r>
        <w:rPr>
          <w:rFonts w:hint="eastAsia"/>
        </w:rPr>
        <w:t>地址：广南县珠街镇老卧新发寨；矿山名称：广南县麦地大山建筑石料用石灰岩矿；生产规模：30万t/a；矿区面积：0.0266km</w:t>
      </w:r>
      <w:r>
        <w:rPr>
          <w:rFonts w:hint="eastAsia"/>
          <w:vertAlign w:val="superscript"/>
        </w:rPr>
        <w:t>2</w:t>
      </w:r>
      <w:r>
        <w:rPr>
          <w:rFonts w:hint="eastAsia"/>
        </w:rPr>
        <w:t>；开采深度：1724m～1607m；有限期限：陆年零贰月，自2024年12月20日～2031年2月20日。</w:t>
      </w:r>
    </w:p>
    <w:p w14:paraId="6F7D382E">
      <w:pPr>
        <w:pStyle w:val="15"/>
        <w:spacing w:before="7" w:line="359" w:lineRule="auto"/>
        <w:ind w:left="37" w:right="25" w:firstLine="564"/>
        <w:jc w:val="both"/>
        <w:rPr>
          <w:rFonts w:hint="eastAsia" w:eastAsia="宋体"/>
          <w:lang w:val="en-US" w:eastAsia="zh-CN"/>
        </w:rPr>
      </w:pPr>
      <w:r>
        <w:rPr>
          <w:rFonts w:hint="eastAsia"/>
          <w:color w:val="auto"/>
          <w:sz w:val="28"/>
          <w:szCs w:val="28"/>
        </w:rPr>
        <w:t>广南县麦地大山建筑石料用石灰岩矿</w:t>
      </w:r>
      <w:r>
        <w:rPr>
          <w:rFonts w:hint="eastAsia"/>
          <w:color w:val="auto"/>
          <w:sz w:val="28"/>
          <w:szCs w:val="28"/>
          <w:lang w:val="en-US" w:eastAsia="zh-CN"/>
        </w:rPr>
        <w:t>的前身是广南县珠街镇麦地大山石厂，经济类型为私营企业，主要负责人伏帮光。</w:t>
      </w:r>
      <w:r>
        <w:rPr>
          <w:rFonts w:hint="eastAsia"/>
          <w:lang w:val="en-US" w:eastAsia="zh-CN"/>
        </w:rPr>
        <w:t>2024</w:t>
      </w:r>
      <w:r>
        <w:t>年</w:t>
      </w:r>
      <w:r>
        <w:rPr>
          <w:rFonts w:hint="eastAsia"/>
          <w:lang w:val="en-US" w:eastAsia="zh-CN"/>
        </w:rPr>
        <w:t>10月22日变更为广南县城硕矿业有限公司，类型为有限责任公司（自然人投资或控股），法定代表人</w:t>
      </w:r>
      <w:r>
        <w:rPr>
          <w:rFonts w:hint="eastAsia"/>
          <w:color w:val="auto"/>
          <w:sz w:val="28"/>
          <w:szCs w:val="28"/>
          <w:lang w:val="en-US" w:eastAsia="zh-CN"/>
        </w:rPr>
        <w:t>伏帮光。变更后</w:t>
      </w:r>
      <w:r>
        <w:rPr>
          <w:rFonts w:hint="eastAsia"/>
          <w:color w:val="auto"/>
          <w:sz w:val="28"/>
          <w:szCs w:val="28"/>
        </w:rPr>
        <w:t>广南县麦地大山建筑石料用石灰岩矿</w:t>
      </w:r>
      <w:r>
        <w:rPr>
          <w:rFonts w:hint="eastAsia"/>
          <w:lang w:val="zh-CN"/>
        </w:rPr>
        <w:t>矿区范围，矿区面积由原0.</w:t>
      </w:r>
      <w:r>
        <w:rPr>
          <w:rFonts w:hint="eastAsia"/>
        </w:rPr>
        <w:t>0067km</w:t>
      </w:r>
      <w:r>
        <w:rPr>
          <w:rFonts w:hint="eastAsia"/>
          <w:vertAlign w:val="superscript"/>
        </w:rPr>
        <w:t>2</w:t>
      </w:r>
      <w:r>
        <w:rPr>
          <w:rFonts w:hint="eastAsia"/>
          <w:lang w:val="zh-CN"/>
        </w:rPr>
        <w:t>变更为0.</w:t>
      </w:r>
      <w:r>
        <w:rPr>
          <w:rFonts w:hint="eastAsia"/>
        </w:rPr>
        <w:t>0266km</w:t>
      </w:r>
      <w:r>
        <w:rPr>
          <w:rFonts w:hint="eastAsia"/>
          <w:vertAlign w:val="superscript"/>
        </w:rPr>
        <w:t>2</w:t>
      </w:r>
      <w:r>
        <w:rPr>
          <w:rFonts w:hint="eastAsia"/>
          <w:lang w:val="zh-CN"/>
        </w:rPr>
        <w:t>，标高由</w:t>
      </w:r>
      <w:r>
        <w:rPr>
          <w:rFonts w:hint="eastAsia"/>
        </w:rPr>
        <w:t>1709m</w:t>
      </w:r>
      <w:r>
        <w:rPr>
          <w:rFonts w:hint="eastAsia"/>
          <w:lang w:eastAsia="zh-CN"/>
        </w:rPr>
        <w:t>—</w:t>
      </w:r>
      <w:r>
        <w:rPr>
          <w:rFonts w:hint="eastAsia"/>
        </w:rPr>
        <w:t>1644m</w:t>
      </w:r>
      <w:r>
        <w:rPr>
          <w:rFonts w:hint="eastAsia"/>
          <w:lang w:val="zh-CN"/>
        </w:rPr>
        <w:t>变更为</w:t>
      </w:r>
      <w:r>
        <w:rPr>
          <w:rFonts w:hint="eastAsia"/>
        </w:rPr>
        <w:t>1724m</w:t>
      </w:r>
      <w:r>
        <w:rPr>
          <w:rFonts w:hint="eastAsia"/>
          <w:lang w:eastAsia="zh-CN"/>
        </w:rPr>
        <w:t>—</w:t>
      </w:r>
      <w:r>
        <w:rPr>
          <w:rFonts w:hint="eastAsia"/>
        </w:rPr>
        <w:t>1607m</w:t>
      </w:r>
      <w:r>
        <w:rPr>
          <w:rFonts w:hint="eastAsia"/>
          <w:lang w:val="zh-CN"/>
        </w:rPr>
        <w:t>，生产规模由1</w:t>
      </w:r>
      <w:r>
        <w:rPr>
          <w:rFonts w:hint="eastAsia"/>
        </w:rPr>
        <w:t>0</w:t>
      </w:r>
      <w:r>
        <w:rPr>
          <w:rFonts w:hint="eastAsia"/>
          <w:lang w:val="zh-CN"/>
        </w:rPr>
        <w:t>万</w:t>
      </w:r>
      <w:r>
        <w:rPr>
          <w:rFonts w:hint="eastAsia"/>
        </w:rPr>
        <w:t>t</w:t>
      </w:r>
      <w:r>
        <w:rPr>
          <w:rFonts w:hint="eastAsia"/>
          <w:lang w:val="zh-CN"/>
        </w:rPr>
        <w:t>/</w:t>
      </w:r>
      <w:r>
        <w:rPr>
          <w:rFonts w:hint="eastAsia"/>
        </w:rPr>
        <w:t>a</w:t>
      </w:r>
      <w:r>
        <w:rPr>
          <w:rFonts w:hint="eastAsia"/>
          <w:lang w:val="zh-CN"/>
        </w:rPr>
        <w:t>变更为</w:t>
      </w:r>
      <w:r>
        <w:rPr>
          <w:rFonts w:hint="eastAsia"/>
        </w:rPr>
        <w:t>30</w:t>
      </w:r>
      <w:r>
        <w:rPr>
          <w:rFonts w:hint="eastAsia"/>
          <w:lang w:val="zh-CN"/>
        </w:rPr>
        <w:t>万</w:t>
      </w:r>
      <w:r>
        <w:rPr>
          <w:rFonts w:hint="eastAsia"/>
        </w:rPr>
        <w:t>t</w:t>
      </w:r>
      <w:r>
        <w:rPr>
          <w:rFonts w:hint="eastAsia"/>
          <w:lang w:val="zh-CN"/>
        </w:rPr>
        <w:t>/</w:t>
      </w:r>
      <w:r>
        <w:rPr>
          <w:rFonts w:hint="eastAsia"/>
        </w:rPr>
        <w:t>a</w:t>
      </w:r>
      <w:r>
        <w:rPr>
          <w:rFonts w:hint="eastAsia"/>
          <w:lang w:eastAsia="zh-CN"/>
        </w:rPr>
        <w:t>。</w:t>
      </w:r>
    </w:p>
    <w:p w14:paraId="3BF54F67">
      <w:pPr>
        <w:pStyle w:val="15"/>
        <w:spacing w:before="7" w:line="359" w:lineRule="auto"/>
        <w:ind w:left="37" w:right="25" w:firstLine="564"/>
        <w:jc w:val="both"/>
        <w:rPr>
          <w:rFonts w:hint="eastAsia"/>
          <w:color w:val="auto"/>
        </w:rPr>
      </w:pPr>
      <w:r>
        <w:rPr>
          <w:rFonts w:hint="eastAsia"/>
          <w:color w:val="auto"/>
          <w:sz w:val="28"/>
          <w:szCs w:val="28"/>
          <w:lang w:val="en-US" w:eastAsia="zh-CN"/>
        </w:rPr>
        <w:t>在</w:t>
      </w:r>
      <w:r>
        <w:rPr>
          <w:rFonts w:hint="eastAsia"/>
        </w:rPr>
        <w:t>30</w:t>
      </w:r>
      <w:r>
        <w:rPr>
          <w:rFonts w:hint="eastAsia"/>
          <w:lang w:val="zh-CN"/>
        </w:rPr>
        <w:t>万</w:t>
      </w:r>
      <w:r>
        <w:rPr>
          <w:rFonts w:hint="eastAsia"/>
        </w:rPr>
        <w:t>t</w:t>
      </w:r>
      <w:r>
        <w:rPr>
          <w:rFonts w:hint="eastAsia"/>
          <w:lang w:val="zh-CN"/>
        </w:rPr>
        <w:t>/</w:t>
      </w:r>
      <w:r>
        <w:rPr>
          <w:rFonts w:hint="eastAsia"/>
        </w:rPr>
        <w:t>a</w:t>
      </w:r>
      <w:r>
        <w:rPr>
          <w:rFonts w:hint="eastAsia"/>
          <w:lang w:val="en-US" w:eastAsia="zh-CN"/>
        </w:rPr>
        <w:t>生产规模建设过程中，尚未取得</w:t>
      </w:r>
      <w:r>
        <w:rPr>
          <w:rFonts w:hint="eastAsia"/>
        </w:rPr>
        <w:t>30</w:t>
      </w:r>
      <w:r>
        <w:rPr>
          <w:rFonts w:hint="eastAsia"/>
          <w:lang w:val="zh-CN"/>
        </w:rPr>
        <w:t>万</w:t>
      </w:r>
      <w:r>
        <w:rPr>
          <w:rFonts w:hint="eastAsia"/>
        </w:rPr>
        <w:t>t</w:t>
      </w:r>
      <w:r>
        <w:rPr>
          <w:rFonts w:hint="eastAsia"/>
          <w:lang w:val="zh-CN"/>
        </w:rPr>
        <w:t>/</w:t>
      </w:r>
      <w:r>
        <w:rPr>
          <w:rFonts w:hint="eastAsia"/>
        </w:rPr>
        <w:t>a</w:t>
      </w:r>
      <w:r>
        <w:rPr>
          <w:rFonts w:hint="eastAsia"/>
          <w:lang w:val="en-US" w:eastAsia="zh-CN"/>
        </w:rPr>
        <w:t>生产规模《安全生产许可证》前</w:t>
      </w:r>
      <w:r>
        <w:rPr>
          <w:rFonts w:hint="eastAsia"/>
          <w:color w:val="000000" w:themeColor="text1"/>
          <w:lang w:val="en-US" w:eastAsia="zh-CN"/>
          <w14:textFill>
            <w14:solidFill>
              <w14:schemeClr w14:val="tx1"/>
            </w14:solidFill>
          </w14:textFill>
        </w:rPr>
        <w:t>，</w:t>
      </w:r>
      <w:r>
        <w:rPr>
          <w:color w:val="auto"/>
        </w:rPr>
        <w:t>根据《云南省全面加强非煤矿山安全生产工作若干措施》</w:t>
      </w:r>
      <w:r>
        <w:rPr>
          <w:rFonts w:hint="eastAsia"/>
          <w:color w:val="auto"/>
          <w:lang w:eastAsia="zh-CN"/>
        </w:rPr>
        <w:t>（</w:t>
      </w:r>
      <w:r>
        <w:rPr>
          <w:color w:val="auto"/>
        </w:rPr>
        <w:t>云政办发〔2024〕44号</w:t>
      </w:r>
      <w:r>
        <w:rPr>
          <w:rFonts w:hint="eastAsia"/>
          <w:color w:val="auto"/>
          <w:lang w:eastAsia="zh-CN"/>
        </w:rPr>
        <w:t>）</w:t>
      </w:r>
      <w:r>
        <w:rPr>
          <w:rFonts w:hint="eastAsia"/>
          <w:color w:val="auto"/>
          <w:lang w:val="en-US" w:eastAsia="zh-CN"/>
        </w:rPr>
        <w:t>及《云南省非煤矿山安全生产治本攻坚三年行动方案（2024—2026年）》对建筑石料用灰岩矿开采及最小开采规模（≥50万t/a）的相关要求，</w:t>
      </w:r>
      <w:r>
        <w:rPr>
          <w:rFonts w:hint="eastAsia"/>
          <w:sz w:val="28"/>
          <w:szCs w:val="28"/>
          <w:lang w:eastAsia="zh-CN"/>
        </w:rPr>
        <w:t>广南县城硕矿业有限公司</w:t>
      </w:r>
      <w:r>
        <w:rPr>
          <w:rFonts w:hint="eastAsia"/>
          <w:color w:val="auto"/>
          <w:lang w:val="en-US" w:eastAsia="zh-CN"/>
        </w:rPr>
        <w:t>决定对</w:t>
      </w:r>
      <w:r>
        <w:rPr>
          <w:rFonts w:hint="eastAsia"/>
          <w:color w:val="auto"/>
          <w:sz w:val="28"/>
          <w:szCs w:val="28"/>
        </w:rPr>
        <w:t>广南县麦地大山建筑石料用石灰岩矿</w:t>
      </w:r>
      <w:r>
        <w:rPr>
          <w:rFonts w:hint="eastAsia"/>
          <w:color w:val="auto"/>
          <w:lang w:val="en-US" w:eastAsia="zh-CN"/>
        </w:rPr>
        <w:t>进行扩建，将</w:t>
      </w:r>
      <w:r>
        <w:rPr>
          <w:color w:val="auto"/>
          <w:lang w:val="en-US" w:eastAsia="en-US"/>
        </w:rPr>
        <w:t>生产规模</w:t>
      </w:r>
      <w:r>
        <w:rPr>
          <w:rFonts w:hint="eastAsia"/>
          <w:color w:val="auto"/>
          <w:lang w:val="en-US" w:eastAsia="zh-CN"/>
        </w:rPr>
        <w:t>由</w:t>
      </w:r>
      <w:r>
        <w:rPr>
          <w:color w:val="auto"/>
          <w:lang w:val="en-US" w:eastAsia="en-US"/>
        </w:rPr>
        <w:t>30万t/a</w:t>
      </w:r>
      <w:r>
        <w:rPr>
          <w:rFonts w:hint="eastAsia"/>
          <w:color w:val="auto"/>
          <w:lang w:val="en-US" w:eastAsia="zh-CN"/>
        </w:rPr>
        <w:t>提升再至5</w:t>
      </w:r>
      <w:r>
        <w:rPr>
          <w:color w:val="auto"/>
          <w:lang w:val="en-US" w:eastAsia="en-US"/>
        </w:rPr>
        <w:t>0万t/a</w:t>
      </w:r>
      <w:r>
        <w:rPr>
          <w:rFonts w:hint="eastAsia"/>
          <w:color w:val="auto"/>
          <w:lang w:val="en-US" w:eastAsia="zh-CN"/>
        </w:rPr>
        <w:t>。2024年11月18日取得备案机关广南县发展和改革局原颁发的《</w:t>
      </w:r>
      <w:r>
        <w:rPr>
          <w:rFonts w:hint="default"/>
          <w:color w:val="auto"/>
          <w:lang w:val="en-US" w:eastAsia="zh-CN"/>
        </w:rPr>
        <w:t>投资项目备案证</w:t>
      </w:r>
      <w:r>
        <w:rPr>
          <w:rFonts w:hint="eastAsia"/>
          <w:color w:val="auto"/>
          <w:lang w:val="en-US" w:eastAsia="zh-CN"/>
        </w:rPr>
        <w:t>》（备案号</w:t>
      </w:r>
      <w:r>
        <w:rPr>
          <w:rFonts w:hint="eastAsia" w:ascii="宋体" w:hAnsi="宋体" w:eastAsia="宋体" w:cs="宋体"/>
          <w:color w:val="auto"/>
          <w:lang w:val="en-US" w:eastAsia="zh-CN"/>
        </w:rPr>
        <w:t>[</w:t>
      </w:r>
      <w:r>
        <w:rPr>
          <w:rFonts w:hint="eastAsia"/>
          <w:color w:val="auto"/>
          <w:lang w:val="en-US" w:eastAsia="zh-CN"/>
        </w:rPr>
        <w:t>项目代码</w:t>
      </w:r>
      <w:r>
        <w:rPr>
          <w:rFonts w:hint="eastAsia" w:ascii="宋体" w:hAnsi="宋体" w:eastAsia="宋体" w:cs="宋体"/>
          <w:color w:val="auto"/>
          <w:lang w:val="en-US" w:eastAsia="zh-CN"/>
        </w:rPr>
        <w:t>]</w:t>
      </w:r>
      <w:r>
        <w:rPr>
          <w:rFonts w:hint="eastAsia"/>
          <w:color w:val="auto"/>
          <w:lang w:val="en-US" w:eastAsia="zh-CN"/>
        </w:rPr>
        <w:t>：</w:t>
      </w:r>
      <w:r>
        <w:rPr>
          <w:rFonts w:hint="eastAsia" w:ascii="Times New Roman" w:hAnsi="Times New Roman"/>
          <w:bCs/>
          <w:color w:val="auto"/>
          <w:sz w:val="28"/>
          <w:szCs w:val="28"/>
        </w:rPr>
        <w:t>2016-532627-12-03-259499</w:t>
      </w:r>
      <w:r>
        <w:rPr>
          <w:rFonts w:hint="eastAsia"/>
          <w:color w:val="auto"/>
          <w:lang w:val="en-US" w:eastAsia="zh-CN"/>
        </w:rPr>
        <w:t>）</w:t>
      </w:r>
      <w:r>
        <w:rPr>
          <w:rFonts w:hint="eastAsia"/>
          <w:color w:val="auto"/>
        </w:rPr>
        <w:t>。</w:t>
      </w:r>
    </w:p>
    <w:p w14:paraId="5FEBDB4D">
      <w:pPr>
        <w:pStyle w:val="15"/>
        <w:spacing w:before="7" w:line="359" w:lineRule="auto"/>
        <w:ind w:left="37" w:right="25" w:firstLine="564"/>
        <w:jc w:val="both"/>
      </w:pPr>
      <w:r>
        <w:rPr>
          <w:rFonts w:hint="eastAsia"/>
          <w:bCs/>
          <w:color w:val="auto"/>
          <w:sz w:val="28"/>
          <w:szCs w:val="28"/>
        </w:rPr>
        <w:t>根据</w:t>
      </w:r>
      <w:r>
        <w:rPr>
          <w:bCs/>
          <w:color w:val="auto"/>
          <w:sz w:val="28"/>
          <w:szCs w:val="28"/>
          <w:lang w:val="zh-TW" w:eastAsia="zh-TW"/>
        </w:rPr>
        <w:t>《建设项目安全设施</w:t>
      </w:r>
      <w:r>
        <w:rPr>
          <w:rFonts w:hint="eastAsia"/>
          <w:bCs/>
          <w:color w:val="auto"/>
          <w:sz w:val="28"/>
          <w:szCs w:val="28"/>
          <w:lang w:val="zh-TW"/>
        </w:rPr>
        <w:t>“</w:t>
      </w:r>
      <w:r>
        <w:rPr>
          <w:bCs/>
          <w:color w:val="auto"/>
          <w:sz w:val="28"/>
          <w:szCs w:val="28"/>
          <w:lang w:val="zh-TW" w:eastAsia="zh-TW"/>
        </w:rPr>
        <w:t>三同时</w:t>
      </w:r>
      <w:r>
        <w:rPr>
          <w:rFonts w:hint="eastAsia"/>
          <w:bCs/>
          <w:color w:val="auto"/>
          <w:sz w:val="28"/>
          <w:szCs w:val="28"/>
          <w:lang w:val="zh-TW"/>
        </w:rPr>
        <w:t>”</w:t>
      </w:r>
      <w:r>
        <w:rPr>
          <w:bCs/>
          <w:color w:val="auto"/>
          <w:sz w:val="28"/>
          <w:szCs w:val="28"/>
          <w:lang w:val="zh-TW" w:eastAsia="zh-TW"/>
        </w:rPr>
        <w:t>监督管理办法》</w:t>
      </w:r>
      <w:r>
        <w:rPr>
          <w:bCs/>
          <w:color w:val="auto"/>
          <w:sz w:val="28"/>
          <w:szCs w:val="28"/>
          <w:lang w:val="zh-TW"/>
        </w:rPr>
        <w:t>规</w:t>
      </w:r>
      <w:r>
        <w:rPr>
          <w:bCs/>
          <w:color w:val="auto"/>
          <w:szCs w:val="28"/>
          <w:lang w:val="zh-TW"/>
        </w:rPr>
        <w:t>定</w:t>
      </w:r>
      <w:r>
        <w:rPr>
          <w:bCs/>
          <w:color w:val="auto"/>
          <w:szCs w:val="28"/>
        </w:rPr>
        <w:t>，需完善建设项目</w:t>
      </w:r>
      <w:r>
        <w:rPr>
          <w:rFonts w:hint="eastAsia"/>
          <w:bCs/>
          <w:color w:val="auto"/>
          <w:szCs w:val="28"/>
        </w:rPr>
        <w:t>“</w:t>
      </w:r>
      <w:r>
        <w:rPr>
          <w:bCs/>
          <w:color w:val="auto"/>
          <w:szCs w:val="28"/>
        </w:rPr>
        <w:t>三同时</w:t>
      </w:r>
      <w:r>
        <w:rPr>
          <w:rFonts w:hint="eastAsia"/>
          <w:bCs/>
          <w:color w:val="auto"/>
          <w:szCs w:val="28"/>
        </w:rPr>
        <w:t>”</w:t>
      </w:r>
      <w:r>
        <w:rPr>
          <w:bCs/>
          <w:color w:val="auto"/>
          <w:szCs w:val="28"/>
        </w:rPr>
        <w:t>工作。</w:t>
      </w:r>
      <w:r>
        <w:rPr>
          <w:rFonts w:cs="Times New Roman"/>
          <w:color w:val="auto"/>
          <w:szCs w:val="28"/>
        </w:rPr>
        <w:t>202</w:t>
      </w:r>
      <w:r>
        <w:rPr>
          <w:rFonts w:hint="eastAsia" w:cs="Times New Roman"/>
          <w:color w:val="auto"/>
          <w:szCs w:val="28"/>
        </w:rPr>
        <w:t>5</w:t>
      </w:r>
      <w:r>
        <w:rPr>
          <w:rFonts w:cs="Times New Roman"/>
          <w:color w:val="auto"/>
          <w:szCs w:val="28"/>
        </w:rPr>
        <w:t>年</w:t>
      </w:r>
      <w:r>
        <w:rPr>
          <w:rFonts w:hint="eastAsia" w:cs="Times New Roman"/>
          <w:color w:val="auto"/>
          <w:szCs w:val="28"/>
          <w:lang w:val="en-US" w:eastAsia="zh-CN"/>
        </w:rPr>
        <w:t>1</w:t>
      </w:r>
      <w:r>
        <w:rPr>
          <w:rFonts w:cs="Times New Roman"/>
          <w:color w:val="auto"/>
          <w:szCs w:val="28"/>
        </w:rPr>
        <w:t>月</w:t>
      </w:r>
      <w:r>
        <w:rPr>
          <w:rFonts w:hint="eastAsia" w:cs="Times New Roman"/>
          <w:color w:val="auto"/>
          <w:szCs w:val="28"/>
          <w:lang w:eastAsia="zh-CN"/>
        </w:rPr>
        <w:t>，</w:t>
      </w:r>
      <w:r>
        <w:rPr>
          <w:rFonts w:hint="eastAsia"/>
          <w:color w:val="auto"/>
          <w:highlight w:val="none"/>
          <w:lang w:eastAsia="zh-CN"/>
        </w:rPr>
        <w:t>江西赣安安全生产科学技术咨询服务中心</w:t>
      </w:r>
      <w:r>
        <w:rPr>
          <w:rFonts w:cs="Times New Roman"/>
          <w:color w:val="auto"/>
          <w:szCs w:val="28"/>
          <w:lang w:val="zh-TW"/>
        </w:rPr>
        <w:t>编制</w:t>
      </w:r>
      <w:r>
        <w:rPr>
          <w:rFonts w:hint="eastAsia" w:cs="Times New Roman"/>
          <w:color w:val="auto"/>
          <w:szCs w:val="28"/>
          <w:lang w:val="en-US" w:eastAsia="zh-CN"/>
        </w:rPr>
        <w:t>完成</w:t>
      </w:r>
      <w:r>
        <w:rPr>
          <w:rFonts w:hint="eastAsia"/>
          <w:color w:val="auto"/>
          <w:highlight w:val="none"/>
        </w:rPr>
        <w:t>《</w:t>
      </w:r>
      <w:r>
        <w:rPr>
          <w:rFonts w:hint="eastAsia"/>
          <w:color w:val="auto"/>
          <w:highlight w:val="none"/>
          <w:lang w:eastAsia="zh-CN"/>
        </w:rPr>
        <w:t>广南县麦地大山建筑石料用石灰岩矿50万t/a露天采矿工程</w:t>
      </w:r>
      <w:r>
        <w:rPr>
          <w:color w:val="auto"/>
          <w:highlight w:val="none"/>
        </w:rPr>
        <w:t>安全预评价</w:t>
      </w:r>
      <w:r>
        <w:rPr>
          <w:rFonts w:hint="eastAsia"/>
          <w:color w:val="auto"/>
          <w:highlight w:val="none"/>
        </w:rPr>
        <w:t>报告</w:t>
      </w:r>
      <w:r>
        <w:rPr>
          <w:color w:val="auto"/>
          <w:highlight w:val="none"/>
        </w:rPr>
        <w:t>》</w:t>
      </w:r>
      <w:r>
        <w:rPr>
          <w:rFonts w:hint="eastAsia"/>
          <w:color w:val="auto"/>
          <w:highlight w:val="none"/>
          <w:lang w:eastAsia="zh-CN"/>
        </w:rPr>
        <w:t>，</w:t>
      </w:r>
      <w:r>
        <w:rPr>
          <w:rFonts w:cs="Times New Roman"/>
          <w:color w:val="auto"/>
          <w:szCs w:val="28"/>
        </w:rPr>
        <w:t>202</w:t>
      </w:r>
      <w:r>
        <w:rPr>
          <w:rFonts w:hint="eastAsia" w:cs="Times New Roman"/>
          <w:color w:val="auto"/>
          <w:szCs w:val="28"/>
        </w:rPr>
        <w:t>5</w:t>
      </w:r>
      <w:r>
        <w:rPr>
          <w:rFonts w:cs="Times New Roman"/>
          <w:color w:val="auto"/>
          <w:szCs w:val="28"/>
        </w:rPr>
        <w:t>年</w:t>
      </w:r>
      <w:r>
        <w:rPr>
          <w:rFonts w:hint="eastAsia" w:cs="Times New Roman"/>
          <w:color w:val="auto"/>
          <w:szCs w:val="28"/>
          <w:lang w:val="en-US" w:eastAsia="zh-CN"/>
        </w:rPr>
        <w:t>2</w:t>
      </w:r>
      <w:r>
        <w:rPr>
          <w:rFonts w:cs="Times New Roman"/>
          <w:color w:val="auto"/>
          <w:szCs w:val="28"/>
        </w:rPr>
        <w:t>月云南增股工程勘察设计有限公司</w:t>
      </w:r>
      <w:r>
        <w:rPr>
          <w:rFonts w:cs="Times New Roman"/>
          <w:color w:val="auto"/>
          <w:szCs w:val="28"/>
          <w:lang w:val="zh-TW"/>
        </w:rPr>
        <w:t>编制</w:t>
      </w:r>
      <w:r>
        <w:rPr>
          <w:rFonts w:hint="eastAsia" w:cs="Times New Roman"/>
          <w:color w:val="auto"/>
          <w:szCs w:val="28"/>
          <w:lang w:val="en-US" w:eastAsia="zh-CN"/>
        </w:rPr>
        <w:t>完成</w:t>
      </w:r>
      <w:r>
        <w:rPr>
          <w:rFonts w:cs="Times New Roman"/>
          <w:color w:val="auto"/>
          <w:szCs w:val="28"/>
          <w:lang w:val="zh-TW"/>
        </w:rPr>
        <w:t>《</w:t>
      </w:r>
      <w:r>
        <w:rPr>
          <w:rFonts w:hint="eastAsia" w:cs="Times New Roman"/>
          <w:color w:val="000000"/>
          <w:szCs w:val="28"/>
        </w:rPr>
        <w:t>广南县麦地大山建筑石料用石灰岩矿50万t/a露天采矿工程</w:t>
      </w:r>
      <w:r>
        <w:rPr>
          <w:rFonts w:cs="Times New Roman"/>
          <w:color w:val="000000"/>
          <w:szCs w:val="28"/>
        </w:rPr>
        <w:t>初步设计</w:t>
      </w:r>
      <w:r>
        <w:rPr>
          <w:rFonts w:cs="Times New Roman"/>
          <w:color w:val="000000"/>
          <w:szCs w:val="28"/>
          <w:lang w:val="zh-TW"/>
        </w:rPr>
        <w:t>》</w:t>
      </w:r>
      <w:r>
        <w:rPr>
          <w:rFonts w:cs="Times New Roman"/>
          <w:color w:val="000000"/>
          <w:szCs w:val="28"/>
        </w:rPr>
        <w:t>及</w:t>
      </w:r>
      <w:r>
        <w:rPr>
          <w:rFonts w:cs="Times New Roman"/>
          <w:color w:val="000000"/>
          <w:szCs w:val="28"/>
          <w:lang w:val="zh-TW"/>
        </w:rPr>
        <w:t>《</w:t>
      </w:r>
      <w:r>
        <w:rPr>
          <w:rFonts w:hint="eastAsia" w:cs="Times New Roman"/>
          <w:color w:val="000000"/>
          <w:szCs w:val="28"/>
        </w:rPr>
        <w:t>广南县麦地大山建筑石料用石灰岩矿50万t/a露天采矿工程</w:t>
      </w:r>
      <w:r>
        <w:rPr>
          <w:rFonts w:cs="Times New Roman"/>
          <w:color w:val="000000"/>
          <w:szCs w:val="28"/>
        </w:rPr>
        <w:t>安全设施设计</w:t>
      </w:r>
      <w:r>
        <w:rPr>
          <w:rFonts w:cs="Times New Roman"/>
          <w:color w:val="000000"/>
          <w:szCs w:val="28"/>
          <w:lang w:val="zh-TW"/>
        </w:rPr>
        <w:t>》</w:t>
      </w:r>
      <w:r>
        <w:rPr>
          <w:rFonts w:hint="eastAsia" w:cs="Times New Roman"/>
          <w:color w:val="000000"/>
          <w:szCs w:val="28"/>
          <w:lang w:val="zh-TW" w:eastAsia="zh-CN"/>
        </w:rPr>
        <w:t>，</w:t>
      </w:r>
      <w:r>
        <w:rPr>
          <w:spacing w:val="-2"/>
        </w:rPr>
        <w:t>202</w:t>
      </w:r>
      <w:r>
        <w:rPr>
          <w:rFonts w:hint="eastAsia"/>
          <w:spacing w:val="-2"/>
          <w:lang w:val="en-US" w:eastAsia="zh-CN"/>
        </w:rPr>
        <w:t>5</w:t>
      </w:r>
      <w:r>
        <w:rPr>
          <w:spacing w:val="-2"/>
        </w:rPr>
        <w:t>年</w:t>
      </w:r>
      <w:r>
        <w:rPr>
          <w:rFonts w:hint="eastAsia"/>
          <w:spacing w:val="-36"/>
          <w:lang w:val="en-US" w:eastAsia="zh-CN"/>
        </w:rPr>
        <w:t>3</w:t>
      </w:r>
      <w:r>
        <w:rPr>
          <w:spacing w:val="-2"/>
        </w:rPr>
        <w:t>月</w:t>
      </w:r>
      <w:r>
        <w:rPr>
          <w:spacing w:val="-5"/>
        </w:rPr>
        <w:t>通过专家评审。于202</w:t>
      </w:r>
      <w:r>
        <w:rPr>
          <w:rFonts w:hint="eastAsia"/>
          <w:spacing w:val="-5"/>
          <w:lang w:val="en-US" w:eastAsia="zh-CN"/>
        </w:rPr>
        <w:t>5</w:t>
      </w:r>
      <w:r>
        <w:rPr>
          <w:spacing w:val="-5"/>
        </w:rPr>
        <w:t>年</w:t>
      </w:r>
      <w:r>
        <w:rPr>
          <w:rFonts w:hint="eastAsia"/>
          <w:spacing w:val="-5"/>
          <w:lang w:val="en-US" w:eastAsia="zh-CN"/>
        </w:rPr>
        <w:t>4</w:t>
      </w:r>
      <w:r>
        <w:rPr>
          <w:spacing w:val="-5"/>
        </w:rPr>
        <w:t>月</w:t>
      </w:r>
      <w:r>
        <w:rPr>
          <w:rFonts w:hint="eastAsia"/>
          <w:spacing w:val="-5"/>
          <w:lang w:val="en-US" w:eastAsia="zh-CN"/>
        </w:rPr>
        <w:t>23</w:t>
      </w:r>
      <w:r>
        <w:rPr>
          <w:spacing w:val="-5"/>
        </w:rPr>
        <w:t>日取得了</w:t>
      </w:r>
      <w:r>
        <w:rPr>
          <w:rFonts w:hint="eastAsia"/>
          <w:spacing w:val="-5"/>
          <w:lang w:eastAsia="zh-CN"/>
        </w:rPr>
        <w:t>《</w:t>
      </w:r>
      <w:r>
        <w:t>云南</w:t>
      </w:r>
      <w:r>
        <w:rPr>
          <w:rFonts w:ascii="Times New Roman" w:hAnsi="Times New Roman"/>
          <w:color w:val="000000" w:themeColor="text1"/>
          <w:szCs w:val="28"/>
          <w14:textFill>
            <w14:solidFill>
              <w14:schemeClr w14:val="tx1"/>
            </w14:solidFill>
          </w14:textFill>
        </w:rPr>
        <w:t>省建设项目安全设施设计审批书</w:t>
      </w:r>
      <w:r>
        <w:rPr>
          <w:rFonts w:hint="eastAsia" w:ascii="Times New Roman" w:hAnsi="Times New Roman"/>
          <w:color w:val="000000" w:themeColor="text1"/>
          <w:lang w:eastAsia="zh-CN"/>
          <w14:textFill>
            <w14:solidFill>
              <w14:schemeClr w14:val="tx1"/>
            </w14:solidFill>
          </w14:textFill>
        </w:rPr>
        <w:t>》</w:t>
      </w:r>
      <w:r>
        <w:rPr>
          <w:rFonts w:hint="eastAsia"/>
          <w:color w:val="000000" w:themeColor="text1"/>
          <w:lang w:val="en-US" w:eastAsia="zh-CN"/>
          <w14:textFill>
            <w14:solidFill>
              <w14:schemeClr w14:val="tx1"/>
            </w14:solidFill>
          </w14:textFill>
        </w:rPr>
        <w:t>和</w:t>
      </w:r>
      <w:r>
        <w:rPr>
          <w:spacing w:val="-5"/>
        </w:rPr>
        <w:t>202</w:t>
      </w:r>
      <w:r>
        <w:rPr>
          <w:rFonts w:hint="eastAsia"/>
          <w:spacing w:val="-5"/>
          <w:lang w:val="en-US" w:eastAsia="zh-CN"/>
        </w:rPr>
        <w:t>5</w:t>
      </w:r>
      <w:r>
        <w:rPr>
          <w:spacing w:val="-5"/>
        </w:rPr>
        <w:t>年</w:t>
      </w:r>
      <w:r>
        <w:rPr>
          <w:rFonts w:hint="eastAsia"/>
          <w:spacing w:val="-5"/>
          <w:lang w:val="en-US" w:eastAsia="zh-CN"/>
        </w:rPr>
        <w:t>6</w:t>
      </w:r>
      <w:r>
        <w:rPr>
          <w:spacing w:val="-5"/>
        </w:rPr>
        <w:t>月</w:t>
      </w:r>
      <w:r>
        <w:rPr>
          <w:rFonts w:hint="eastAsia"/>
          <w:spacing w:val="-5"/>
          <w:lang w:val="en-US" w:eastAsia="zh-CN"/>
        </w:rPr>
        <w:t>19</w:t>
      </w:r>
      <w:r>
        <w:rPr>
          <w:spacing w:val="-5"/>
        </w:rPr>
        <w:t>日</w:t>
      </w:r>
      <w:r>
        <w:rPr>
          <w:rFonts w:hint="eastAsia"/>
          <w:spacing w:val="-5"/>
          <w:lang w:val="en-US" w:eastAsia="zh-CN"/>
        </w:rPr>
        <w:t>广南县应急管理局</w:t>
      </w:r>
      <w:r>
        <w:rPr>
          <w:rFonts w:hint="eastAsia"/>
          <w:color w:val="000000" w:themeColor="text1"/>
          <w:lang w:val="en-US" w:eastAsia="zh-CN"/>
          <w14:textFill>
            <w14:solidFill>
              <w14:schemeClr w14:val="tx1"/>
            </w14:solidFill>
          </w14:textFill>
        </w:rPr>
        <w:t>同意施工申请批复，同意</w:t>
      </w:r>
      <w:r>
        <w:rPr>
          <w:rFonts w:hint="eastAsia" w:cs="Times New Roman"/>
          <w:color w:val="000000"/>
          <w:szCs w:val="28"/>
        </w:rPr>
        <w:t>广南县麦地大山建筑石料用石灰岩矿50万t/a露天采矿工程</w:t>
      </w:r>
      <w:r>
        <w:rPr>
          <w:rFonts w:hint="eastAsia" w:cs="Times New Roman"/>
          <w:color w:val="000000"/>
          <w:szCs w:val="28"/>
          <w:lang w:val="en-US" w:eastAsia="zh-CN"/>
        </w:rPr>
        <w:t>基建期为2025年6月19日至2025年12月19日</w:t>
      </w:r>
      <w:r>
        <w:rPr>
          <w:spacing w:val="2"/>
        </w:rPr>
        <w:t>。</w:t>
      </w:r>
    </w:p>
    <w:p w14:paraId="0E43DA5A">
      <w:pPr>
        <w:pStyle w:val="15"/>
        <w:spacing w:before="1" w:line="359" w:lineRule="auto"/>
        <w:ind w:left="39" w:right="23" w:firstLine="557"/>
        <w:jc w:val="both"/>
        <w:rPr>
          <w:rFonts w:hint="default"/>
          <w:color w:val="auto"/>
          <w:spacing w:val="-6"/>
          <w:lang w:val="en-US" w:eastAsia="zh-CN"/>
        </w:rPr>
      </w:pPr>
      <w:r>
        <w:rPr>
          <w:rFonts w:hint="eastAsia"/>
          <w:spacing w:val="-2"/>
          <w:lang w:val="en-US" w:eastAsia="zh-CN"/>
        </w:rPr>
        <w:t>2025年6月</w:t>
      </w:r>
      <w:r>
        <w:rPr>
          <w:spacing w:val="-4"/>
        </w:rPr>
        <w:t>建设单位</w:t>
      </w:r>
      <w:r>
        <w:rPr>
          <w:spacing w:val="-2"/>
        </w:rPr>
        <w:t>成立</w:t>
      </w:r>
      <w:r>
        <w:rPr>
          <w:rFonts w:hint="eastAsia"/>
          <w:spacing w:val="-2"/>
          <w:lang w:val="en-US" w:eastAsia="zh-CN"/>
        </w:rPr>
        <w:t>基建工程</w:t>
      </w:r>
      <w:r>
        <w:rPr>
          <w:spacing w:val="-2"/>
        </w:rPr>
        <w:t>施工小组</w:t>
      </w:r>
      <w:r>
        <w:rPr>
          <w:rFonts w:hint="eastAsia"/>
          <w:spacing w:val="-2"/>
          <w:lang w:eastAsia="zh-CN"/>
        </w:rPr>
        <w:t>，</w:t>
      </w:r>
      <w:r>
        <w:rPr>
          <w:rFonts w:hint="eastAsia"/>
          <w:spacing w:val="-2"/>
          <w:lang w:val="en-US" w:eastAsia="zh-CN"/>
        </w:rPr>
        <w:t>委托</w:t>
      </w:r>
      <w:r>
        <w:rPr>
          <w:rFonts w:cs="Times New Roman"/>
          <w:color w:val="auto"/>
          <w:szCs w:val="28"/>
        </w:rPr>
        <w:t>云南增股工程勘察设计有限公司</w:t>
      </w:r>
      <w:r>
        <w:rPr>
          <w:spacing w:val="-2"/>
        </w:rPr>
        <w:t>进行施工建设</w:t>
      </w:r>
      <w:r>
        <w:rPr>
          <w:rFonts w:hint="eastAsia"/>
          <w:spacing w:val="-2"/>
          <w:lang w:val="en-US" w:eastAsia="zh-CN"/>
        </w:rPr>
        <w:t>和监理</w:t>
      </w:r>
      <w:r>
        <w:rPr>
          <w:rFonts w:hint="eastAsia"/>
          <w:spacing w:val="-2"/>
          <w:lang w:eastAsia="zh-CN"/>
        </w:rPr>
        <w:t>。</w:t>
      </w:r>
      <w:r>
        <w:rPr>
          <w:rFonts w:hint="eastAsia"/>
          <w:spacing w:val="-2"/>
          <w:lang w:val="en-US" w:eastAsia="zh-CN"/>
        </w:rPr>
        <w:t>2025年6月19日，施工小组和监理进入施工现场开始基建工程。由于林地占用手续影响，根据《广南县应急管理局关于广南县麦地大山建筑石灰岩矿50万t/a露天矿工程安全设施基础建设延期的批复》（广南县应急管理局文件广应急复</w:t>
      </w:r>
      <w:r>
        <w:rPr>
          <w:color w:val="auto"/>
        </w:rPr>
        <w:t>〔2024〕</w:t>
      </w:r>
      <w:r>
        <w:rPr>
          <w:rFonts w:hint="eastAsia"/>
          <w:spacing w:val="-2"/>
          <w:lang w:val="en-US" w:eastAsia="zh-CN"/>
        </w:rPr>
        <w:t>1号），同意延长广南县麦地大山建筑石灰岩矿基建期。原批复基建期为2025年6月19日至2025年12月19日，现延长至2026年5月6日，延长时限为4个月。</w:t>
      </w:r>
      <w:r>
        <w:rPr>
          <w:spacing w:val="-6"/>
        </w:rPr>
        <w:t>矿山于202</w:t>
      </w:r>
      <w:r>
        <w:rPr>
          <w:rFonts w:hint="eastAsia"/>
          <w:spacing w:val="-6"/>
          <w:lang w:val="en-US" w:eastAsia="zh-CN"/>
        </w:rPr>
        <w:t>6</w:t>
      </w:r>
      <w:r>
        <w:rPr>
          <w:spacing w:val="-6"/>
        </w:rPr>
        <w:t>年</w:t>
      </w:r>
      <w:r>
        <w:rPr>
          <w:rFonts w:hint="eastAsia"/>
          <w:spacing w:val="-6"/>
          <w:lang w:val="en-US" w:eastAsia="zh-CN"/>
        </w:rPr>
        <w:t>2</w:t>
      </w:r>
      <w:r>
        <w:rPr>
          <w:spacing w:val="-6"/>
        </w:rPr>
        <w:t>月</w:t>
      </w:r>
      <w:r>
        <w:rPr>
          <w:rFonts w:hint="eastAsia"/>
          <w:spacing w:val="-6"/>
          <w:lang w:val="en-US" w:eastAsia="zh-CN"/>
        </w:rPr>
        <w:t>14</w:t>
      </w:r>
      <w:r>
        <w:rPr>
          <w:spacing w:val="-6"/>
        </w:rPr>
        <w:t>日完成了矿山基建工程建设</w:t>
      </w:r>
      <w:r>
        <w:rPr>
          <w:rFonts w:hint="eastAsia"/>
          <w:spacing w:val="-6"/>
          <w:lang w:eastAsia="zh-CN"/>
        </w:rPr>
        <w:t>。</w:t>
      </w:r>
      <w:r>
        <w:rPr>
          <w:rFonts w:hint="eastAsia"/>
          <w:color w:val="auto"/>
          <w:spacing w:val="-6"/>
          <w:lang w:val="en-US" w:eastAsia="zh-CN"/>
        </w:rPr>
        <w:t>本次建设施工内容包括从破碎站堆矿场至采场1660m采矿平台的开拓运输道路及道路外侧车挡和内侧排水沟的建设和改造，采场1660m采矿平台至1720m挖掘机道路建设，1705m、1690m安全平台和1675m清扫平台的建设，1660m采矿平台和1645m铲装平台的建设以及道路安全警示标志及矿界安全围栏的修复和完善。矿山供配电、穿孔、采剥、铲装、运输、除尘、破碎装置设备均为利旧使用。</w:t>
      </w:r>
    </w:p>
    <w:p w14:paraId="7AB2C120">
      <w:pPr>
        <w:pStyle w:val="15"/>
        <w:spacing w:before="1" w:line="359" w:lineRule="auto"/>
        <w:ind w:left="39" w:right="23" w:firstLine="557"/>
        <w:jc w:val="both"/>
        <w:rPr>
          <w:spacing w:val="-8"/>
        </w:rPr>
      </w:pPr>
      <w:r>
        <w:rPr>
          <w:spacing w:val="-6"/>
        </w:rPr>
        <w:t>202</w:t>
      </w:r>
      <w:r>
        <w:rPr>
          <w:rFonts w:hint="eastAsia"/>
          <w:spacing w:val="-6"/>
          <w:lang w:val="en-US" w:eastAsia="zh-CN"/>
        </w:rPr>
        <w:t>6</w:t>
      </w:r>
      <w:r>
        <w:rPr>
          <w:spacing w:val="-8"/>
        </w:rPr>
        <w:t>年</w:t>
      </w:r>
      <w:r>
        <w:rPr>
          <w:rFonts w:hint="eastAsia"/>
          <w:spacing w:val="-8"/>
          <w:lang w:val="en-US" w:eastAsia="zh-CN"/>
        </w:rPr>
        <w:t>3</w:t>
      </w:r>
      <w:r>
        <w:rPr>
          <w:spacing w:val="-8"/>
        </w:rPr>
        <w:t>月</w:t>
      </w:r>
      <w:r>
        <w:rPr>
          <w:rFonts w:hint="eastAsia"/>
          <w:spacing w:val="-8"/>
          <w:lang w:val="en-US" w:eastAsia="zh-CN"/>
        </w:rPr>
        <w:t>3日</w:t>
      </w:r>
      <w:r>
        <w:rPr>
          <w:spacing w:val="-8"/>
        </w:rPr>
        <w:t>—202</w:t>
      </w:r>
      <w:r>
        <w:rPr>
          <w:rFonts w:hint="eastAsia"/>
          <w:spacing w:val="-8"/>
          <w:lang w:val="en-US" w:eastAsia="zh-CN"/>
        </w:rPr>
        <w:t>6</w:t>
      </w:r>
      <w:r>
        <w:rPr>
          <w:spacing w:val="-8"/>
        </w:rPr>
        <w:t>年</w:t>
      </w:r>
      <w:r>
        <w:rPr>
          <w:rFonts w:hint="eastAsia"/>
          <w:spacing w:val="-31"/>
          <w:lang w:val="en-US" w:eastAsia="zh-CN"/>
        </w:rPr>
        <w:t>4</w:t>
      </w:r>
      <w:r>
        <w:rPr>
          <w:spacing w:val="-8"/>
        </w:rPr>
        <w:t>月</w:t>
      </w:r>
      <w:r>
        <w:rPr>
          <w:rFonts w:hint="eastAsia"/>
          <w:spacing w:val="-8"/>
          <w:lang w:val="en-US" w:eastAsia="zh-CN"/>
        </w:rPr>
        <w:t>1</w:t>
      </w:r>
      <w:r>
        <w:rPr>
          <w:spacing w:val="-8"/>
        </w:rPr>
        <w:t>日进行试运行。</w:t>
      </w:r>
    </w:p>
    <w:p w14:paraId="019B9A53">
      <w:pPr>
        <w:pStyle w:val="15"/>
        <w:spacing w:before="1" w:line="359" w:lineRule="auto"/>
        <w:ind w:left="39" w:right="23" w:firstLine="557"/>
        <w:jc w:val="both"/>
      </w:pPr>
      <w:r>
        <w:rPr>
          <w:spacing w:val="2"/>
        </w:rPr>
        <w:t>企业根据</w:t>
      </w:r>
      <w:r>
        <w:rPr>
          <w:spacing w:val="1"/>
        </w:rPr>
        <w:t>《建设项目安全设施</w:t>
      </w:r>
      <w:r>
        <w:rPr>
          <w:rFonts w:hint="eastAsia"/>
          <w:spacing w:val="1"/>
          <w:lang w:eastAsia="zh-CN"/>
        </w:rPr>
        <w:t>“</w:t>
      </w:r>
      <w:r>
        <w:rPr>
          <w:spacing w:val="1"/>
        </w:rPr>
        <w:t>三同时</w:t>
      </w:r>
      <w:r>
        <w:rPr>
          <w:rFonts w:hint="eastAsia"/>
          <w:spacing w:val="1"/>
          <w:lang w:eastAsia="zh-CN"/>
        </w:rPr>
        <w:t>”</w:t>
      </w:r>
      <w:r>
        <w:rPr>
          <w:spacing w:val="1"/>
        </w:rPr>
        <w:t>监督管理办法》的规定，委托</w:t>
      </w:r>
      <w:r>
        <w:rPr>
          <w:rFonts w:hint="eastAsia" w:ascii="宋体" w:hAnsi="宋体" w:eastAsia="宋体" w:cs="宋体"/>
          <w:color w:val="auto"/>
          <w:sz w:val="28"/>
          <w:szCs w:val="28"/>
          <w:lang w:val="en-US" w:eastAsia="zh-CN"/>
        </w:rPr>
        <w:t>江西赣安安全生产科学技术咨询服务中心</w:t>
      </w:r>
      <w:r>
        <w:rPr>
          <w:spacing w:val="-1"/>
        </w:rPr>
        <w:t>编制安全设施验收评价报告。</w:t>
      </w:r>
    </w:p>
    <w:p w14:paraId="7B6936F6">
      <w:pPr>
        <w:pStyle w:val="15"/>
        <w:spacing w:before="1" w:line="345" w:lineRule="auto"/>
        <w:ind w:left="41" w:right="26" w:firstLine="557"/>
        <w:jc w:val="both"/>
      </w:pPr>
      <w:r>
        <w:rPr>
          <w:spacing w:val="7"/>
        </w:rPr>
        <w:t>在接受</w:t>
      </w:r>
      <w:r>
        <w:rPr>
          <w:rFonts w:hint="eastAsia"/>
          <w:sz w:val="28"/>
          <w:szCs w:val="28"/>
          <w:lang w:eastAsia="zh-CN"/>
        </w:rPr>
        <w:t>广南县城硕矿业有限公司</w:t>
      </w:r>
      <w:r>
        <w:rPr>
          <w:spacing w:val="7"/>
        </w:rPr>
        <w:t>的委托后，我单位遵照相关规定</w:t>
      </w:r>
      <w:r>
        <w:rPr>
          <w:spacing w:val="-5"/>
        </w:rPr>
        <w:t>和公司作业指导书，组建了安全评价组。评价组于202</w:t>
      </w:r>
      <w:r>
        <w:rPr>
          <w:rFonts w:hint="eastAsia"/>
          <w:spacing w:val="-5"/>
          <w:lang w:val="en-US" w:eastAsia="zh-CN"/>
        </w:rPr>
        <w:t>6</w:t>
      </w:r>
      <w:r>
        <w:rPr>
          <w:rFonts w:hint="eastAsia"/>
          <w:spacing w:val="-45"/>
          <w:lang w:val="en-US" w:eastAsia="zh-CN"/>
        </w:rPr>
        <w:t>年</w:t>
      </w:r>
      <w:r>
        <w:rPr>
          <w:rFonts w:hint="eastAsia"/>
          <w:spacing w:val="-5"/>
          <w:lang w:val="en-US" w:eastAsia="zh-CN"/>
        </w:rPr>
        <w:t>2</w:t>
      </w:r>
      <w:r>
        <w:rPr>
          <w:spacing w:val="-5"/>
        </w:rPr>
        <w:t>月</w:t>
      </w:r>
      <w:r>
        <w:rPr>
          <w:rFonts w:hint="eastAsia"/>
          <w:spacing w:val="-5"/>
          <w:lang w:val="en-US" w:eastAsia="zh-CN"/>
        </w:rPr>
        <w:t>3</w:t>
      </w:r>
      <w:r>
        <w:rPr>
          <w:spacing w:val="-5"/>
        </w:rPr>
        <w:t>日首次到矿山勘察，202</w:t>
      </w:r>
      <w:r>
        <w:rPr>
          <w:rFonts w:hint="eastAsia"/>
          <w:spacing w:val="-5"/>
          <w:lang w:val="en-US" w:eastAsia="zh-CN"/>
        </w:rPr>
        <w:t>6</w:t>
      </w:r>
      <w:r>
        <w:rPr>
          <w:spacing w:val="-5"/>
        </w:rPr>
        <w:t>年</w:t>
      </w:r>
      <w:r>
        <w:rPr>
          <w:rFonts w:hint="eastAsia"/>
          <w:spacing w:val="-5"/>
          <w:lang w:val="en-US" w:eastAsia="zh-CN"/>
        </w:rPr>
        <w:t>3</w:t>
      </w:r>
      <w:r>
        <w:rPr>
          <w:spacing w:val="-5"/>
        </w:rPr>
        <w:t>月</w:t>
      </w:r>
      <w:r>
        <w:rPr>
          <w:rFonts w:hint="eastAsia"/>
          <w:spacing w:val="-5"/>
          <w:lang w:val="en-US" w:eastAsia="zh-CN"/>
        </w:rPr>
        <w:t>23</w:t>
      </w:r>
      <w:r>
        <w:rPr>
          <w:spacing w:val="-5"/>
        </w:rPr>
        <w:t>日第二次到矿山进行了现场隐患整改复核。</w:t>
      </w:r>
    </w:p>
    <w:p w14:paraId="2BA4B080">
      <w:pPr>
        <w:adjustRightInd w:val="0"/>
        <w:snapToGrid w:val="0"/>
        <w:ind w:firstLine="56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在评价报告编写过程中得到了</w:t>
      </w:r>
      <w:r>
        <w:rPr>
          <w:rFonts w:hint="eastAsia" w:ascii="Times New Roman" w:hAnsi="Times New Roman"/>
          <w:color w:val="000000" w:themeColor="text1"/>
          <w:lang w:val="en-US" w:eastAsia="zh-CN"/>
          <w14:textFill>
            <w14:solidFill>
              <w14:schemeClr w14:val="tx1"/>
            </w14:solidFill>
          </w14:textFill>
        </w:rPr>
        <w:t>有</w:t>
      </w:r>
      <w:r>
        <w:rPr>
          <w:rFonts w:ascii="Times New Roman" w:hAnsi="Times New Roman"/>
          <w:color w:val="000000" w:themeColor="text1"/>
          <w14:textFill>
            <w14:solidFill>
              <w14:schemeClr w14:val="tx1"/>
            </w14:solidFill>
          </w14:textFill>
        </w:rPr>
        <w:t>关专家及</w:t>
      </w:r>
      <w:r>
        <w:rPr>
          <w:rFonts w:hint="eastAsia"/>
          <w:sz w:val="28"/>
          <w:szCs w:val="28"/>
          <w:lang w:eastAsia="zh-CN"/>
        </w:rPr>
        <w:t>广南县城硕矿业有限公司</w:t>
      </w:r>
      <w:r>
        <w:rPr>
          <w:rFonts w:ascii="Times New Roman" w:hAnsi="Times New Roman"/>
          <w:color w:val="000000" w:themeColor="text1"/>
          <w14:textFill>
            <w14:solidFill>
              <w14:schemeClr w14:val="tx1"/>
            </w14:solidFill>
          </w14:textFill>
        </w:rPr>
        <w:t>的大力支持，同时在报告中引用了一些专家学者的研究成果和技术资料，在此一并表示感谢。</w:t>
      </w:r>
      <w:bookmarkEnd w:id="2"/>
    </w:p>
    <w:p w14:paraId="6813D8CB">
      <w:pPr>
        <w:pStyle w:val="27"/>
        <w:bidi w:val="0"/>
        <w:sectPr>
          <w:headerReference r:id="rId11" w:type="default"/>
          <w:footerReference r:id="rId12" w:type="default"/>
          <w:pgSz w:w="11906" w:h="16838"/>
          <w:pgMar w:top="1418" w:right="1134" w:bottom="1418" w:left="1418" w:header="1077" w:footer="794" w:gutter="0"/>
          <w:pgBorders>
            <w:top w:val="none" w:sz="0" w:space="0"/>
            <w:left w:val="none" w:sz="0" w:space="0"/>
            <w:bottom w:val="none" w:sz="0" w:space="0"/>
            <w:right w:val="none" w:sz="0" w:space="0"/>
          </w:pgBorders>
          <w:pgNumType w:fmt="upperRoman" w:start="1"/>
          <w:cols w:space="720" w:num="1"/>
          <w:docGrid w:type="lines" w:linePitch="312" w:charSpace="0"/>
        </w:sectPr>
      </w:pPr>
    </w:p>
    <w:p w14:paraId="5C70C9B9">
      <w:pPr>
        <w:pStyle w:val="27"/>
        <w:bidi w:val="0"/>
      </w:pPr>
    </w:p>
    <w:sdt>
      <w:sdtPr>
        <w:rPr>
          <w:rFonts w:ascii="宋体" w:hAnsi="宋体" w:eastAsia="宋体" w:cs="Times New Roman"/>
          <w:spacing w:val="-2"/>
          <w:sz w:val="21"/>
          <w:lang w:val="en-US" w:eastAsia="zh-CN" w:bidi="ar-SA"/>
        </w:rPr>
        <w:id w:val="147469568"/>
        <w15:color w:val="DBDBDB"/>
        <w:docPartObj>
          <w:docPartGallery w:val="Table of Contents"/>
          <w:docPartUnique/>
        </w:docPartObj>
      </w:sdtPr>
      <w:sdtEndPr>
        <w:rPr>
          <w:rFonts w:ascii="宋体" w:hAnsi="宋体" w:eastAsia="宋体" w:cs="Times New Roman"/>
          <w:spacing w:val="-2"/>
          <w:sz w:val="21"/>
          <w:lang w:val="en-US" w:eastAsia="zh-CN" w:bidi="ar-SA"/>
        </w:rPr>
      </w:sdtEndPr>
      <w:sdtContent>
        <w:p w14:paraId="13AE734A">
          <w:pPr>
            <w:spacing w:before="0" w:beforeLines="0" w:after="0" w:afterLines="0" w:line="240" w:lineRule="auto"/>
            <w:ind w:left="0" w:leftChars="0" w:right="0" w:rightChars="0" w:firstLine="0" w:firstLineChars="0"/>
            <w:jc w:val="center"/>
            <w:rPr>
              <w:rFonts w:ascii="宋体" w:hAnsi="宋体" w:eastAsia="宋体"/>
              <w:sz w:val="32"/>
              <w:szCs w:val="32"/>
            </w:rPr>
          </w:pPr>
          <w:r>
            <w:rPr>
              <w:rFonts w:ascii="宋体" w:hAnsi="宋体" w:eastAsia="宋体"/>
              <w:sz w:val="32"/>
              <w:szCs w:val="32"/>
            </w:rPr>
            <w:t>目</w:t>
          </w:r>
          <w:r>
            <w:rPr>
              <w:rFonts w:hint="eastAsia" w:ascii="宋体" w:hAnsi="宋体"/>
              <w:sz w:val="32"/>
              <w:szCs w:val="32"/>
              <w:lang w:val="en-US" w:eastAsia="zh-CN"/>
            </w:rPr>
            <w:t xml:space="preserve">  </w:t>
          </w:r>
          <w:r>
            <w:rPr>
              <w:rFonts w:ascii="宋体" w:hAnsi="宋体" w:eastAsia="宋体"/>
              <w:sz w:val="32"/>
              <w:szCs w:val="32"/>
            </w:rPr>
            <w:t>录</w:t>
          </w:r>
        </w:p>
        <w:p w14:paraId="0BE5BF40">
          <w:pPr>
            <w:spacing w:before="0" w:beforeLines="0" w:after="0" w:afterLines="0" w:line="240" w:lineRule="auto"/>
            <w:ind w:left="0" w:leftChars="0" w:right="0" w:rightChars="0" w:firstLine="0" w:firstLineChars="0"/>
            <w:jc w:val="center"/>
            <w:rPr>
              <w:rFonts w:ascii="宋体" w:hAnsi="宋体" w:eastAsia="宋体"/>
              <w:sz w:val="32"/>
              <w:szCs w:val="32"/>
            </w:rPr>
          </w:pPr>
        </w:p>
        <w:p w14:paraId="28B32147">
          <w:pPr>
            <w:pStyle w:val="24"/>
            <w:tabs>
              <w:tab w:val="right" w:leader="dot" w:pos="9355"/>
            </w:tabs>
          </w:pPr>
          <w:r>
            <w:rPr>
              <w:rFonts w:ascii="Calibri" w:hAnsi="Calibri" w:eastAsia="宋体" w:cs="Times New Roman"/>
              <w:spacing w:val="-2"/>
              <w:sz w:val="28"/>
              <w:lang w:val="en-US" w:eastAsia="zh-CN" w:bidi="ar-SA"/>
            </w:rPr>
            <w:fldChar w:fldCharType="begin"/>
          </w:r>
          <w:r>
            <w:rPr>
              <w:rFonts w:ascii="Calibri" w:hAnsi="Calibri" w:eastAsia="宋体" w:cs="Times New Roman"/>
              <w:spacing w:val="-2"/>
              <w:sz w:val="28"/>
              <w:lang w:val="en-US" w:eastAsia="zh-CN" w:bidi="ar-SA"/>
            </w:rPr>
            <w:instrText xml:space="preserve">TOC \o "1-3" \h \u </w:instrText>
          </w:r>
          <w:r>
            <w:rPr>
              <w:rFonts w:ascii="Calibri" w:hAnsi="Calibri" w:eastAsia="宋体" w:cs="Times New Roman"/>
              <w:spacing w:val="-2"/>
              <w:sz w:val="28"/>
              <w:lang w:val="en-US" w:eastAsia="zh-CN" w:bidi="ar-SA"/>
            </w:rPr>
            <w:fldChar w:fldCharType="separate"/>
          </w:r>
          <w:r>
            <w:rPr>
              <w:rFonts w:ascii="Calibri" w:hAnsi="Calibri" w:eastAsia="宋体" w:cs="Times New Roman"/>
              <w:spacing w:val="-2"/>
              <w:lang w:val="en-US" w:eastAsia="zh-CN" w:bidi="ar-SA"/>
            </w:rPr>
            <w:fldChar w:fldCharType="begin"/>
          </w:r>
          <w:r>
            <w:rPr>
              <w:rFonts w:ascii="Calibri" w:hAnsi="Calibri" w:eastAsia="宋体" w:cs="Times New Roman"/>
              <w:spacing w:val="-2"/>
              <w:lang w:val="en-US" w:eastAsia="zh-CN" w:bidi="ar-SA"/>
            </w:rPr>
            <w:instrText xml:space="preserve"> HYPERLINK \l _Toc12371 </w:instrText>
          </w:r>
          <w:r>
            <w:rPr>
              <w:rFonts w:ascii="Calibri" w:hAnsi="Calibri" w:eastAsia="宋体" w:cs="Times New Roman"/>
              <w:spacing w:val="-2"/>
              <w:lang w:val="en-US" w:eastAsia="zh-CN" w:bidi="ar-SA"/>
            </w:rPr>
            <w:fldChar w:fldCharType="separate"/>
          </w:r>
          <w:r>
            <w:rPr>
              <w:rFonts w:hint="eastAsia"/>
              <w:lang w:val="en-US" w:eastAsia="zh-CN"/>
            </w:rPr>
            <w:t>1</w:t>
          </w:r>
          <w:r>
            <w:t>评价范围与依据</w:t>
          </w:r>
          <w:r>
            <w:tab/>
          </w:r>
          <w:r>
            <w:fldChar w:fldCharType="begin"/>
          </w:r>
          <w:r>
            <w:instrText xml:space="preserve"> PAGEREF _Toc12371 \h </w:instrText>
          </w:r>
          <w:r>
            <w:fldChar w:fldCharType="separate"/>
          </w:r>
          <w:r>
            <w:t>1</w:t>
          </w:r>
          <w:r>
            <w:fldChar w:fldCharType="end"/>
          </w:r>
          <w:r>
            <w:rPr>
              <w:rFonts w:ascii="Calibri" w:hAnsi="Calibri" w:eastAsia="宋体" w:cs="Times New Roman"/>
              <w:spacing w:val="-2"/>
              <w:lang w:val="en-US" w:eastAsia="zh-CN" w:bidi="ar-SA"/>
            </w:rPr>
            <w:fldChar w:fldCharType="end"/>
          </w:r>
        </w:p>
        <w:p w14:paraId="46083582">
          <w:pPr>
            <w:pStyle w:val="27"/>
            <w:tabs>
              <w:tab w:val="right" w:leader="dot" w:pos="9355"/>
            </w:tabs>
          </w:pPr>
          <w:r>
            <w:rPr>
              <w:lang w:val="en-US" w:eastAsia="zh-CN"/>
            </w:rPr>
            <w:fldChar w:fldCharType="begin"/>
          </w:r>
          <w:r>
            <w:rPr>
              <w:lang w:val="en-US" w:eastAsia="zh-CN"/>
            </w:rPr>
            <w:instrText xml:space="preserve"> HYPERLINK \l _Toc58 </w:instrText>
          </w:r>
          <w:r>
            <w:rPr>
              <w:lang w:val="en-US" w:eastAsia="zh-CN"/>
            </w:rPr>
            <w:fldChar w:fldCharType="separate"/>
          </w:r>
          <w:r>
            <w:t>1.1评价对象和范围</w:t>
          </w:r>
          <w:r>
            <w:tab/>
          </w:r>
          <w:r>
            <w:fldChar w:fldCharType="begin"/>
          </w:r>
          <w:r>
            <w:instrText xml:space="preserve"> PAGEREF _Toc58 \h </w:instrText>
          </w:r>
          <w:r>
            <w:fldChar w:fldCharType="separate"/>
          </w:r>
          <w:r>
            <w:t>1</w:t>
          </w:r>
          <w:r>
            <w:fldChar w:fldCharType="end"/>
          </w:r>
          <w:r>
            <w:rPr>
              <w:lang w:val="en-US" w:eastAsia="zh-CN"/>
            </w:rPr>
            <w:fldChar w:fldCharType="end"/>
          </w:r>
        </w:p>
        <w:p w14:paraId="4BA93E76">
          <w:pPr>
            <w:pStyle w:val="18"/>
            <w:tabs>
              <w:tab w:val="right" w:leader="dot" w:pos="9355"/>
            </w:tabs>
          </w:pPr>
          <w:r>
            <w:rPr>
              <w:lang w:val="en-US" w:eastAsia="zh-CN"/>
            </w:rPr>
            <w:fldChar w:fldCharType="begin"/>
          </w:r>
          <w:r>
            <w:rPr>
              <w:lang w:val="en-US" w:eastAsia="zh-CN"/>
            </w:rPr>
            <w:instrText xml:space="preserve"> HYPERLINK \l _Toc6896 </w:instrText>
          </w:r>
          <w:r>
            <w:rPr>
              <w:lang w:val="en-US" w:eastAsia="zh-CN"/>
            </w:rPr>
            <w:fldChar w:fldCharType="separate"/>
          </w:r>
          <w:r>
            <w:t>1.1.1评价对象</w:t>
          </w:r>
          <w:r>
            <w:tab/>
          </w:r>
          <w:r>
            <w:fldChar w:fldCharType="begin"/>
          </w:r>
          <w:r>
            <w:instrText xml:space="preserve"> PAGEREF _Toc6896 \h </w:instrText>
          </w:r>
          <w:r>
            <w:fldChar w:fldCharType="separate"/>
          </w:r>
          <w:r>
            <w:t>1</w:t>
          </w:r>
          <w:r>
            <w:fldChar w:fldCharType="end"/>
          </w:r>
          <w:r>
            <w:rPr>
              <w:lang w:val="en-US" w:eastAsia="zh-CN"/>
            </w:rPr>
            <w:fldChar w:fldCharType="end"/>
          </w:r>
        </w:p>
        <w:p w14:paraId="238C82FB">
          <w:pPr>
            <w:pStyle w:val="18"/>
            <w:tabs>
              <w:tab w:val="right" w:leader="dot" w:pos="9355"/>
            </w:tabs>
          </w:pPr>
          <w:r>
            <w:rPr>
              <w:lang w:val="en-US" w:eastAsia="zh-CN"/>
            </w:rPr>
            <w:fldChar w:fldCharType="begin"/>
          </w:r>
          <w:r>
            <w:rPr>
              <w:lang w:val="en-US" w:eastAsia="zh-CN"/>
            </w:rPr>
            <w:instrText xml:space="preserve"> HYPERLINK \l _Toc5370 </w:instrText>
          </w:r>
          <w:r>
            <w:rPr>
              <w:lang w:val="en-US" w:eastAsia="zh-CN"/>
            </w:rPr>
            <w:fldChar w:fldCharType="separate"/>
          </w:r>
          <w:r>
            <w:t>1.1.2评价范围</w:t>
          </w:r>
          <w:r>
            <w:tab/>
          </w:r>
          <w:r>
            <w:fldChar w:fldCharType="begin"/>
          </w:r>
          <w:r>
            <w:instrText xml:space="preserve"> PAGEREF _Toc5370 \h </w:instrText>
          </w:r>
          <w:r>
            <w:fldChar w:fldCharType="separate"/>
          </w:r>
          <w:r>
            <w:t>1</w:t>
          </w:r>
          <w:r>
            <w:fldChar w:fldCharType="end"/>
          </w:r>
          <w:r>
            <w:rPr>
              <w:lang w:val="en-US" w:eastAsia="zh-CN"/>
            </w:rPr>
            <w:fldChar w:fldCharType="end"/>
          </w:r>
        </w:p>
        <w:p w14:paraId="152AC552">
          <w:pPr>
            <w:pStyle w:val="27"/>
            <w:tabs>
              <w:tab w:val="right" w:leader="dot" w:pos="9355"/>
            </w:tabs>
          </w:pPr>
          <w:r>
            <w:rPr>
              <w:lang w:val="en-US" w:eastAsia="zh-CN"/>
            </w:rPr>
            <w:fldChar w:fldCharType="begin"/>
          </w:r>
          <w:r>
            <w:rPr>
              <w:lang w:val="en-US" w:eastAsia="zh-CN"/>
            </w:rPr>
            <w:instrText xml:space="preserve"> HYPERLINK \l _Toc19461 </w:instrText>
          </w:r>
          <w:r>
            <w:rPr>
              <w:lang w:val="en-US" w:eastAsia="zh-CN"/>
            </w:rPr>
            <w:fldChar w:fldCharType="separate"/>
          </w:r>
          <w:r>
            <w:t>1.2评价依据</w:t>
          </w:r>
          <w:r>
            <w:tab/>
          </w:r>
          <w:r>
            <w:fldChar w:fldCharType="begin"/>
          </w:r>
          <w:r>
            <w:instrText xml:space="preserve"> PAGEREF _Toc19461 \h </w:instrText>
          </w:r>
          <w:r>
            <w:fldChar w:fldCharType="separate"/>
          </w:r>
          <w:r>
            <w:t>4</w:t>
          </w:r>
          <w:r>
            <w:fldChar w:fldCharType="end"/>
          </w:r>
          <w:r>
            <w:rPr>
              <w:lang w:val="en-US" w:eastAsia="zh-CN"/>
            </w:rPr>
            <w:fldChar w:fldCharType="end"/>
          </w:r>
        </w:p>
        <w:p w14:paraId="161F7DF9">
          <w:pPr>
            <w:pStyle w:val="18"/>
            <w:tabs>
              <w:tab w:val="right" w:leader="dot" w:pos="9355"/>
            </w:tabs>
          </w:pPr>
          <w:r>
            <w:rPr>
              <w:lang w:val="en-US" w:eastAsia="zh-CN"/>
            </w:rPr>
            <w:fldChar w:fldCharType="begin"/>
          </w:r>
          <w:r>
            <w:rPr>
              <w:lang w:val="en-US" w:eastAsia="zh-CN"/>
            </w:rPr>
            <w:instrText xml:space="preserve"> HYPERLINK \l _Toc27739 </w:instrText>
          </w:r>
          <w:r>
            <w:rPr>
              <w:lang w:val="en-US" w:eastAsia="zh-CN"/>
            </w:rPr>
            <w:fldChar w:fldCharType="separate"/>
          </w:r>
          <w:r>
            <w:t>1.2.1法律法规</w:t>
          </w:r>
          <w:r>
            <w:tab/>
          </w:r>
          <w:r>
            <w:fldChar w:fldCharType="begin"/>
          </w:r>
          <w:r>
            <w:instrText xml:space="preserve"> PAGEREF _Toc27739 \h </w:instrText>
          </w:r>
          <w:r>
            <w:fldChar w:fldCharType="separate"/>
          </w:r>
          <w:r>
            <w:t>4</w:t>
          </w:r>
          <w:r>
            <w:fldChar w:fldCharType="end"/>
          </w:r>
          <w:r>
            <w:rPr>
              <w:lang w:val="en-US" w:eastAsia="zh-CN"/>
            </w:rPr>
            <w:fldChar w:fldCharType="end"/>
          </w:r>
        </w:p>
        <w:p w14:paraId="7DD5D1D5">
          <w:pPr>
            <w:pStyle w:val="18"/>
            <w:tabs>
              <w:tab w:val="right" w:leader="dot" w:pos="9355"/>
            </w:tabs>
          </w:pPr>
          <w:r>
            <w:rPr>
              <w:lang w:val="en-US" w:eastAsia="zh-CN"/>
            </w:rPr>
            <w:fldChar w:fldCharType="begin"/>
          </w:r>
          <w:r>
            <w:rPr>
              <w:lang w:val="en-US" w:eastAsia="zh-CN"/>
            </w:rPr>
            <w:instrText xml:space="preserve"> HYPERLINK \l _Toc23590 </w:instrText>
          </w:r>
          <w:r>
            <w:rPr>
              <w:lang w:val="en-US" w:eastAsia="zh-CN"/>
            </w:rPr>
            <w:fldChar w:fldCharType="separate"/>
          </w:r>
          <w:r>
            <w:t>1.2.2标准规范</w:t>
          </w:r>
          <w:r>
            <w:tab/>
          </w:r>
          <w:r>
            <w:fldChar w:fldCharType="begin"/>
          </w:r>
          <w:r>
            <w:instrText xml:space="preserve"> PAGEREF _Toc23590 \h </w:instrText>
          </w:r>
          <w:r>
            <w:fldChar w:fldCharType="separate"/>
          </w:r>
          <w:r>
            <w:t>11</w:t>
          </w:r>
          <w:r>
            <w:fldChar w:fldCharType="end"/>
          </w:r>
          <w:r>
            <w:rPr>
              <w:lang w:val="en-US" w:eastAsia="zh-CN"/>
            </w:rPr>
            <w:fldChar w:fldCharType="end"/>
          </w:r>
        </w:p>
        <w:p w14:paraId="326D9438">
          <w:pPr>
            <w:pStyle w:val="18"/>
            <w:tabs>
              <w:tab w:val="right" w:leader="dot" w:pos="9355"/>
            </w:tabs>
          </w:pPr>
          <w:r>
            <w:rPr>
              <w:lang w:val="en-US" w:eastAsia="zh-CN"/>
            </w:rPr>
            <w:fldChar w:fldCharType="begin"/>
          </w:r>
          <w:r>
            <w:rPr>
              <w:lang w:val="en-US" w:eastAsia="zh-CN"/>
            </w:rPr>
            <w:instrText xml:space="preserve"> HYPERLINK \l _Toc30415 </w:instrText>
          </w:r>
          <w:r>
            <w:rPr>
              <w:lang w:val="en-US" w:eastAsia="zh-CN"/>
            </w:rPr>
            <w:fldChar w:fldCharType="separate"/>
          </w:r>
          <w:r>
            <w:t>1.2.3建设项目合法证明文件</w:t>
          </w:r>
          <w:r>
            <w:tab/>
          </w:r>
          <w:r>
            <w:fldChar w:fldCharType="begin"/>
          </w:r>
          <w:r>
            <w:instrText xml:space="preserve"> PAGEREF _Toc30415 \h </w:instrText>
          </w:r>
          <w:r>
            <w:fldChar w:fldCharType="separate"/>
          </w:r>
          <w:r>
            <w:t>15</w:t>
          </w:r>
          <w:r>
            <w:fldChar w:fldCharType="end"/>
          </w:r>
          <w:r>
            <w:rPr>
              <w:lang w:val="en-US" w:eastAsia="zh-CN"/>
            </w:rPr>
            <w:fldChar w:fldCharType="end"/>
          </w:r>
        </w:p>
        <w:p w14:paraId="6ABB6587">
          <w:pPr>
            <w:pStyle w:val="18"/>
            <w:tabs>
              <w:tab w:val="right" w:leader="dot" w:pos="9355"/>
            </w:tabs>
          </w:pPr>
          <w:r>
            <w:rPr>
              <w:lang w:val="en-US" w:eastAsia="zh-CN"/>
            </w:rPr>
            <w:fldChar w:fldCharType="begin"/>
          </w:r>
          <w:r>
            <w:rPr>
              <w:lang w:val="en-US" w:eastAsia="zh-CN"/>
            </w:rPr>
            <w:instrText xml:space="preserve"> HYPERLINK \l _Toc4963 </w:instrText>
          </w:r>
          <w:r>
            <w:rPr>
              <w:lang w:val="en-US" w:eastAsia="zh-CN"/>
            </w:rPr>
            <w:fldChar w:fldCharType="separate"/>
          </w:r>
          <w:r>
            <w:t>1.2.4建设项目技术资料</w:t>
          </w:r>
          <w:r>
            <w:tab/>
          </w:r>
          <w:r>
            <w:fldChar w:fldCharType="begin"/>
          </w:r>
          <w:r>
            <w:instrText xml:space="preserve"> PAGEREF _Toc4963 \h </w:instrText>
          </w:r>
          <w:r>
            <w:fldChar w:fldCharType="separate"/>
          </w:r>
          <w:r>
            <w:t>15</w:t>
          </w:r>
          <w:r>
            <w:fldChar w:fldCharType="end"/>
          </w:r>
          <w:r>
            <w:rPr>
              <w:lang w:val="en-US" w:eastAsia="zh-CN"/>
            </w:rPr>
            <w:fldChar w:fldCharType="end"/>
          </w:r>
        </w:p>
        <w:p w14:paraId="1CE53606">
          <w:pPr>
            <w:pStyle w:val="18"/>
            <w:tabs>
              <w:tab w:val="right" w:leader="dot" w:pos="9355"/>
            </w:tabs>
          </w:pPr>
          <w:r>
            <w:rPr>
              <w:lang w:val="en-US" w:eastAsia="zh-CN"/>
            </w:rPr>
            <w:fldChar w:fldCharType="begin"/>
          </w:r>
          <w:r>
            <w:rPr>
              <w:lang w:val="en-US" w:eastAsia="zh-CN"/>
            </w:rPr>
            <w:instrText xml:space="preserve"> HYPERLINK \l _Toc14313 </w:instrText>
          </w:r>
          <w:r>
            <w:rPr>
              <w:lang w:val="en-US" w:eastAsia="zh-CN"/>
            </w:rPr>
            <w:fldChar w:fldCharType="separate"/>
          </w:r>
          <w:r>
            <w:t>1.2.5其他评价依据</w:t>
          </w:r>
          <w:r>
            <w:tab/>
          </w:r>
          <w:r>
            <w:fldChar w:fldCharType="begin"/>
          </w:r>
          <w:r>
            <w:instrText xml:space="preserve"> PAGEREF _Toc14313 \h </w:instrText>
          </w:r>
          <w:r>
            <w:fldChar w:fldCharType="separate"/>
          </w:r>
          <w:r>
            <w:t>16</w:t>
          </w:r>
          <w:r>
            <w:fldChar w:fldCharType="end"/>
          </w:r>
          <w:r>
            <w:rPr>
              <w:lang w:val="en-US" w:eastAsia="zh-CN"/>
            </w:rPr>
            <w:fldChar w:fldCharType="end"/>
          </w:r>
        </w:p>
        <w:p w14:paraId="6886B6BE">
          <w:pPr>
            <w:pStyle w:val="24"/>
            <w:tabs>
              <w:tab w:val="right" w:leader="dot" w:pos="9355"/>
            </w:tabs>
          </w:pPr>
          <w:r>
            <w:rPr>
              <w:lang w:val="en-US" w:eastAsia="zh-CN"/>
            </w:rPr>
            <w:fldChar w:fldCharType="begin"/>
          </w:r>
          <w:r>
            <w:rPr>
              <w:lang w:val="en-US" w:eastAsia="zh-CN"/>
            </w:rPr>
            <w:instrText xml:space="preserve"> HYPERLINK \l _Toc23489 </w:instrText>
          </w:r>
          <w:r>
            <w:rPr>
              <w:lang w:val="en-US" w:eastAsia="zh-CN"/>
            </w:rPr>
            <w:fldChar w:fldCharType="separate"/>
          </w:r>
          <w:r>
            <w:rPr>
              <w:rFonts w:hint="eastAsia"/>
              <w:lang w:val="en-US" w:eastAsia="zh-CN"/>
            </w:rPr>
            <w:t>2建设项目概述</w:t>
          </w:r>
          <w:r>
            <w:tab/>
          </w:r>
          <w:r>
            <w:fldChar w:fldCharType="begin"/>
          </w:r>
          <w:r>
            <w:instrText xml:space="preserve"> PAGEREF _Toc23489 \h </w:instrText>
          </w:r>
          <w:r>
            <w:fldChar w:fldCharType="separate"/>
          </w:r>
          <w:r>
            <w:t>17</w:t>
          </w:r>
          <w:r>
            <w:fldChar w:fldCharType="end"/>
          </w:r>
          <w:r>
            <w:rPr>
              <w:lang w:val="en-US" w:eastAsia="zh-CN"/>
            </w:rPr>
            <w:fldChar w:fldCharType="end"/>
          </w:r>
        </w:p>
        <w:p w14:paraId="2423D66B">
          <w:pPr>
            <w:pStyle w:val="27"/>
            <w:tabs>
              <w:tab w:val="right" w:leader="dot" w:pos="9355"/>
            </w:tabs>
          </w:pPr>
          <w:r>
            <w:rPr>
              <w:lang w:val="en-US" w:eastAsia="zh-CN"/>
            </w:rPr>
            <w:fldChar w:fldCharType="begin"/>
          </w:r>
          <w:r>
            <w:rPr>
              <w:lang w:val="en-US" w:eastAsia="zh-CN"/>
            </w:rPr>
            <w:instrText xml:space="preserve"> HYPERLINK \l _Toc31598 </w:instrText>
          </w:r>
          <w:r>
            <w:rPr>
              <w:lang w:val="en-US" w:eastAsia="zh-CN"/>
            </w:rPr>
            <w:fldChar w:fldCharType="separate"/>
          </w:r>
          <w:r>
            <w:t>2.1建设单位概况</w:t>
          </w:r>
          <w:r>
            <w:tab/>
          </w:r>
          <w:r>
            <w:fldChar w:fldCharType="begin"/>
          </w:r>
          <w:r>
            <w:instrText xml:space="preserve"> PAGEREF _Toc31598 \h </w:instrText>
          </w:r>
          <w:r>
            <w:fldChar w:fldCharType="separate"/>
          </w:r>
          <w:r>
            <w:t>17</w:t>
          </w:r>
          <w:r>
            <w:fldChar w:fldCharType="end"/>
          </w:r>
          <w:r>
            <w:rPr>
              <w:lang w:val="en-US" w:eastAsia="zh-CN"/>
            </w:rPr>
            <w:fldChar w:fldCharType="end"/>
          </w:r>
        </w:p>
        <w:p w14:paraId="510A5C4D">
          <w:pPr>
            <w:pStyle w:val="18"/>
            <w:tabs>
              <w:tab w:val="right" w:leader="dot" w:pos="9355"/>
            </w:tabs>
          </w:pPr>
          <w:r>
            <w:rPr>
              <w:lang w:val="en-US" w:eastAsia="zh-CN"/>
            </w:rPr>
            <w:fldChar w:fldCharType="begin"/>
          </w:r>
          <w:r>
            <w:rPr>
              <w:lang w:val="en-US" w:eastAsia="zh-CN"/>
            </w:rPr>
            <w:instrText xml:space="preserve"> HYPERLINK \l _Toc31866 </w:instrText>
          </w:r>
          <w:r>
            <w:rPr>
              <w:lang w:val="en-US" w:eastAsia="zh-CN"/>
            </w:rPr>
            <w:fldChar w:fldCharType="separate"/>
          </w:r>
          <w:r>
            <w:t>2.1.1企业简介</w:t>
          </w:r>
          <w:r>
            <w:tab/>
          </w:r>
          <w:r>
            <w:fldChar w:fldCharType="begin"/>
          </w:r>
          <w:r>
            <w:instrText xml:space="preserve"> PAGEREF _Toc31866 \h </w:instrText>
          </w:r>
          <w:r>
            <w:fldChar w:fldCharType="separate"/>
          </w:r>
          <w:r>
            <w:t>17</w:t>
          </w:r>
          <w:r>
            <w:fldChar w:fldCharType="end"/>
          </w:r>
          <w:r>
            <w:rPr>
              <w:lang w:val="en-US" w:eastAsia="zh-CN"/>
            </w:rPr>
            <w:fldChar w:fldCharType="end"/>
          </w:r>
        </w:p>
        <w:p w14:paraId="0FF0982E">
          <w:pPr>
            <w:pStyle w:val="18"/>
            <w:tabs>
              <w:tab w:val="right" w:leader="dot" w:pos="9355"/>
            </w:tabs>
          </w:pPr>
          <w:r>
            <w:rPr>
              <w:lang w:val="en-US" w:eastAsia="zh-CN"/>
            </w:rPr>
            <w:fldChar w:fldCharType="begin"/>
          </w:r>
          <w:r>
            <w:rPr>
              <w:lang w:val="en-US" w:eastAsia="zh-CN"/>
            </w:rPr>
            <w:instrText xml:space="preserve"> HYPERLINK \l _Toc5135 </w:instrText>
          </w:r>
          <w:r>
            <w:rPr>
              <w:lang w:val="en-US" w:eastAsia="zh-CN"/>
            </w:rPr>
            <w:fldChar w:fldCharType="separate"/>
          </w:r>
          <w:r>
            <w:t>2.1.2建设项目背景及立项情况</w:t>
          </w:r>
          <w:r>
            <w:tab/>
          </w:r>
          <w:r>
            <w:fldChar w:fldCharType="begin"/>
          </w:r>
          <w:r>
            <w:instrText xml:space="preserve"> PAGEREF _Toc5135 \h </w:instrText>
          </w:r>
          <w:r>
            <w:fldChar w:fldCharType="separate"/>
          </w:r>
          <w:r>
            <w:t>18</w:t>
          </w:r>
          <w:r>
            <w:fldChar w:fldCharType="end"/>
          </w:r>
          <w:r>
            <w:rPr>
              <w:lang w:val="en-US" w:eastAsia="zh-CN"/>
            </w:rPr>
            <w:fldChar w:fldCharType="end"/>
          </w:r>
        </w:p>
        <w:p w14:paraId="348B0EDC">
          <w:pPr>
            <w:pStyle w:val="18"/>
            <w:tabs>
              <w:tab w:val="right" w:leader="dot" w:pos="9355"/>
            </w:tabs>
          </w:pPr>
          <w:r>
            <w:rPr>
              <w:lang w:val="en-US" w:eastAsia="zh-CN"/>
            </w:rPr>
            <w:fldChar w:fldCharType="begin"/>
          </w:r>
          <w:r>
            <w:rPr>
              <w:lang w:val="en-US" w:eastAsia="zh-CN"/>
            </w:rPr>
            <w:instrText xml:space="preserve"> HYPERLINK \l _Toc3155 </w:instrText>
          </w:r>
          <w:r>
            <w:rPr>
              <w:lang w:val="en-US" w:eastAsia="zh-CN"/>
            </w:rPr>
            <w:fldChar w:fldCharType="separate"/>
          </w:r>
          <w:r>
            <w:t>2.1.3建设项目行政区划、地理位置及交通</w:t>
          </w:r>
          <w:r>
            <w:tab/>
          </w:r>
          <w:r>
            <w:fldChar w:fldCharType="begin"/>
          </w:r>
          <w:r>
            <w:instrText xml:space="preserve"> PAGEREF _Toc3155 \h </w:instrText>
          </w:r>
          <w:r>
            <w:fldChar w:fldCharType="separate"/>
          </w:r>
          <w:r>
            <w:t>20</w:t>
          </w:r>
          <w:r>
            <w:fldChar w:fldCharType="end"/>
          </w:r>
          <w:r>
            <w:rPr>
              <w:lang w:val="en-US" w:eastAsia="zh-CN"/>
            </w:rPr>
            <w:fldChar w:fldCharType="end"/>
          </w:r>
        </w:p>
        <w:p w14:paraId="69F2FAE0">
          <w:pPr>
            <w:pStyle w:val="18"/>
            <w:tabs>
              <w:tab w:val="right" w:leader="dot" w:pos="9355"/>
            </w:tabs>
          </w:pPr>
          <w:r>
            <w:rPr>
              <w:lang w:val="en-US" w:eastAsia="zh-CN"/>
            </w:rPr>
            <w:fldChar w:fldCharType="begin"/>
          </w:r>
          <w:r>
            <w:rPr>
              <w:lang w:val="en-US" w:eastAsia="zh-CN"/>
            </w:rPr>
            <w:instrText xml:space="preserve"> HYPERLINK \l _Toc30962 </w:instrText>
          </w:r>
          <w:r>
            <w:rPr>
              <w:lang w:val="en-US" w:eastAsia="zh-CN"/>
            </w:rPr>
            <w:fldChar w:fldCharType="separate"/>
          </w:r>
          <w:r>
            <w:t>2.1.4矿区周边环境</w:t>
          </w:r>
          <w:r>
            <w:tab/>
          </w:r>
          <w:r>
            <w:fldChar w:fldCharType="begin"/>
          </w:r>
          <w:r>
            <w:instrText xml:space="preserve"> PAGEREF _Toc30962 \h </w:instrText>
          </w:r>
          <w:r>
            <w:fldChar w:fldCharType="separate"/>
          </w:r>
          <w:r>
            <w:t>21</w:t>
          </w:r>
          <w:r>
            <w:fldChar w:fldCharType="end"/>
          </w:r>
          <w:r>
            <w:rPr>
              <w:lang w:val="en-US" w:eastAsia="zh-CN"/>
            </w:rPr>
            <w:fldChar w:fldCharType="end"/>
          </w:r>
        </w:p>
        <w:p w14:paraId="6C4C0CC5">
          <w:pPr>
            <w:pStyle w:val="27"/>
            <w:tabs>
              <w:tab w:val="right" w:leader="dot" w:pos="9355"/>
            </w:tabs>
          </w:pPr>
          <w:r>
            <w:rPr>
              <w:lang w:val="en-US" w:eastAsia="zh-CN"/>
            </w:rPr>
            <w:fldChar w:fldCharType="begin"/>
          </w:r>
          <w:r>
            <w:rPr>
              <w:lang w:val="en-US" w:eastAsia="zh-CN"/>
            </w:rPr>
            <w:instrText xml:space="preserve"> HYPERLINK \l _Toc15236 </w:instrText>
          </w:r>
          <w:r>
            <w:rPr>
              <w:lang w:val="en-US" w:eastAsia="zh-CN"/>
            </w:rPr>
            <w:fldChar w:fldCharType="separate"/>
          </w:r>
          <w:r>
            <w:t>2.2自然环境概况</w:t>
          </w:r>
          <w:r>
            <w:tab/>
          </w:r>
          <w:r>
            <w:fldChar w:fldCharType="begin"/>
          </w:r>
          <w:r>
            <w:instrText xml:space="preserve"> PAGEREF _Toc15236 \h </w:instrText>
          </w:r>
          <w:r>
            <w:fldChar w:fldCharType="separate"/>
          </w:r>
          <w:r>
            <w:t>22</w:t>
          </w:r>
          <w:r>
            <w:fldChar w:fldCharType="end"/>
          </w:r>
          <w:r>
            <w:rPr>
              <w:lang w:val="en-US" w:eastAsia="zh-CN"/>
            </w:rPr>
            <w:fldChar w:fldCharType="end"/>
          </w:r>
        </w:p>
        <w:p w14:paraId="6B4B7BC8">
          <w:pPr>
            <w:pStyle w:val="18"/>
            <w:tabs>
              <w:tab w:val="right" w:leader="dot" w:pos="9355"/>
            </w:tabs>
          </w:pPr>
          <w:r>
            <w:rPr>
              <w:lang w:val="en-US" w:eastAsia="zh-CN"/>
            </w:rPr>
            <w:fldChar w:fldCharType="begin"/>
          </w:r>
          <w:r>
            <w:rPr>
              <w:lang w:val="en-US" w:eastAsia="zh-CN"/>
            </w:rPr>
            <w:instrText xml:space="preserve"> HYPERLINK \l _Toc108 </w:instrText>
          </w:r>
          <w:r>
            <w:rPr>
              <w:lang w:val="en-US" w:eastAsia="zh-CN"/>
            </w:rPr>
            <w:fldChar w:fldCharType="separate"/>
          </w:r>
          <w:r>
            <w:rPr>
              <w:lang w:val="en-US" w:eastAsia="en-US"/>
            </w:rPr>
            <w:t>2.2.1矿区地形地貌</w:t>
          </w:r>
          <w:r>
            <w:tab/>
          </w:r>
          <w:r>
            <w:fldChar w:fldCharType="begin"/>
          </w:r>
          <w:r>
            <w:instrText xml:space="preserve"> PAGEREF _Toc108 \h </w:instrText>
          </w:r>
          <w:r>
            <w:fldChar w:fldCharType="separate"/>
          </w:r>
          <w:r>
            <w:t>22</w:t>
          </w:r>
          <w:r>
            <w:fldChar w:fldCharType="end"/>
          </w:r>
          <w:r>
            <w:rPr>
              <w:lang w:val="en-US" w:eastAsia="zh-CN"/>
            </w:rPr>
            <w:fldChar w:fldCharType="end"/>
          </w:r>
        </w:p>
        <w:p w14:paraId="4D390654">
          <w:pPr>
            <w:pStyle w:val="18"/>
            <w:tabs>
              <w:tab w:val="right" w:leader="dot" w:pos="9355"/>
            </w:tabs>
          </w:pPr>
          <w:r>
            <w:rPr>
              <w:lang w:val="en-US" w:eastAsia="zh-CN"/>
            </w:rPr>
            <w:fldChar w:fldCharType="begin"/>
          </w:r>
          <w:r>
            <w:rPr>
              <w:lang w:val="en-US" w:eastAsia="zh-CN"/>
            </w:rPr>
            <w:instrText xml:space="preserve"> HYPERLINK \l _Toc23052 </w:instrText>
          </w:r>
          <w:r>
            <w:rPr>
              <w:lang w:val="en-US" w:eastAsia="zh-CN"/>
            </w:rPr>
            <w:fldChar w:fldCharType="separate"/>
          </w:r>
          <w:r>
            <w:rPr>
              <w:lang w:val="en-US" w:eastAsia="en-US"/>
            </w:rPr>
            <w:t>2.2.2矿区气候</w:t>
          </w:r>
          <w:r>
            <w:tab/>
          </w:r>
          <w:r>
            <w:fldChar w:fldCharType="begin"/>
          </w:r>
          <w:r>
            <w:instrText xml:space="preserve"> PAGEREF _Toc23052 \h </w:instrText>
          </w:r>
          <w:r>
            <w:fldChar w:fldCharType="separate"/>
          </w:r>
          <w:r>
            <w:t>22</w:t>
          </w:r>
          <w:r>
            <w:fldChar w:fldCharType="end"/>
          </w:r>
          <w:r>
            <w:rPr>
              <w:lang w:val="en-US" w:eastAsia="zh-CN"/>
            </w:rPr>
            <w:fldChar w:fldCharType="end"/>
          </w:r>
        </w:p>
        <w:p w14:paraId="1076FADA">
          <w:pPr>
            <w:pStyle w:val="18"/>
            <w:tabs>
              <w:tab w:val="right" w:leader="dot" w:pos="9355"/>
            </w:tabs>
          </w:pPr>
          <w:r>
            <w:rPr>
              <w:lang w:val="en-US" w:eastAsia="zh-CN"/>
            </w:rPr>
            <w:fldChar w:fldCharType="begin"/>
          </w:r>
          <w:r>
            <w:rPr>
              <w:lang w:val="en-US" w:eastAsia="zh-CN"/>
            </w:rPr>
            <w:instrText xml:space="preserve"> HYPERLINK \l _Toc10648 </w:instrText>
          </w:r>
          <w:r>
            <w:rPr>
              <w:lang w:val="en-US" w:eastAsia="zh-CN"/>
            </w:rPr>
            <w:fldChar w:fldCharType="separate"/>
          </w:r>
          <w:r>
            <w:rPr>
              <w:lang w:val="en-US" w:eastAsia="en-US"/>
            </w:rPr>
            <w:t>2.2.3自然经济</w:t>
          </w:r>
          <w:r>
            <w:tab/>
          </w:r>
          <w:r>
            <w:fldChar w:fldCharType="begin"/>
          </w:r>
          <w:r>
            <w:instrText xml:space="preserve"> PAGEREF _Toc10648 \h </w:instrText>
          </w:r>
          <w:r>
            <w:fldChar w:fldCharType="separate"/>
          </w:r>
          <w:r>
            <w:t>23</w:t>
          </w:r>
          <w:r>
            <w:fldChar w:fldCharType="end"/>
          </w:r>
          <w:r>
            <w:rPr>
              <w:lang w:val="en-US" w:eastAsia="zh-CN"/>
            </w:rPr>
            <w:fldChar w:fldCharType="end"/>
          </w:r>
        </w:p>
        <w:p w14:paraId="28D9AE08">
          <w:pPr>
            <w:pStyle w:val="18"/>
            <w:tabs>
              <w:tab w:val="right" w:leader="dot" w:pos="9355"/>
            </w:tabs>
          </w:pPr>
          <w:r>
            <w:rPr>
              <w:lang w:val="en-US" w:eastAsia="zh-CN"/>
            </w:rPr>
            <w:fldChar w:fldCharType="begin"/>
          </w:r>
          <w:r>
            <w:rPr>
              <w:lang w:val="en-US" w:eastAsia="zh-CN"/>
            </w:rPr>
            <w:instrText xml:space="preserve"> HYPERLINK \l _Toc25951 </w:instrText>
          </w:r>
          <w:r>
            <w:rPr>
              <w:lang w:val="en-US" w:eastAsia="zh-CN"/>
            </w:rPr>
            <w:fldChar w:fldCharType="separate"/>
          </w:r>
          <w:r>
            <w:rPr>
              <w:lang w:val="en-US" w:eastAsia="en-US"/>
            </w:rPr>
            <w:t>2.2.4地震烈度</w:t>
          </w:r>
          <w:r>
            <w:tab/>
          </w:r>
          <w:r>
            <w:fldChar w:fldCharType="begin"/>
          </w:r>
          <w:r>
            <w:instrText xml:space="preserve"> PAGEREF _Toc25951 \h </w:instrText>
          </w:r>
          <w:r>
            <w:fldChar w:fldCharType="separate"/>
          </w:r>
          <w:r>
            <w:t>23</w:t>
          </w:r>
          <w:r>
            <w:fldChar w:fldCharType="end"/>
          </w:r>
          <w:r>
            <w:rPr>
              <w:lang w:val="en-US" w:eastAsia="zh-CN"/>
            </w:rPr>
            <w:fldChar w:fldCharType="end"/>
          </w:r>
        </w:p>
        <w:p w14:paraId="46512EB6">
          <w:pPr>
            <w:pStyle w:val="27"/>
            <w:tabs>
              <w:tab w:val="right" w:leader="dot" w:pos="9355"/>
            </w:tabs>
          </w:pPr>
          <w:r>
            <w:rPr>
              <w:lang w:val="en-US" w:eastAsia="zh-CN"/>
            </w:rPr>
            <w:fldChar w:fldCharType="begin"/>
          </w:r>
          <w:r>
            <w:rPr>
              <w:lang w:val="en-US" w:eastAsia="zh-CN"/>
            </w:rPr>
            <w:instrText xml:space="preserve"> HYPERLINK \l _Toc13240 </w:instrText>
          </w:r>
          <w:r>
            <w:rPr>
              <w:lang w:val="en-US" w:eastAsia="zh-CN"/>
            </w:rPr>
            <w:fldChar w:fldCharType="separate"/>
          </w:r>
          <w:r>
            <w:t>2.3地质概况</w:t>
          </w:r>
          <w:r>
            <w:tab/>
          </w:r>
          <w:r>
            <w:fldChar w:fldCharType="begin"/>
          </w:r>
          <w:r>
            <w:instrText xml:space="preserve"> PAGEREF _Toc13240 \h </w:instrText>
          </w:r>
          <w:r>
            <w:fldChar w:fldCharType="separate"/>
          </w:r>
          <w:r>
            <w:t>23</w:t>
          </w:r>
          <w:r>
            <w:fldChar w:fldCharType="end"/>
          </w:r>
          <w:r>
            <w:rPr>
              <w:lang w:val="en-US" w:eastAsia="zh-CN"/>
            </w:rPr>
            <w:fldChar w:fldCharType="end"/>
          </w:r>
        </w:p>
        <w:p w14:paraId="43C09A00">
          <w:pPr>
            <w:pStyle w:val="18"/>
            <w:tabs>
              <w:tab w:val="right" w:leader="dot" w:pos="9355"/>
            </w:tabs>
          </w:pPr>
          <w:r>
            <w:rPr>
              <w:lang w:val="en-US" w:eastAsia="zh-CN"/>
            </w:rPr>
            <w:fldChar w:fldCharType="begin"/>
          </w:r>
          <w:r>
            <w:rPr>
              <w:lang w:val="en-US" w:eastAsia="zh-CN"/>
            </w:rPr>
            <w:instrText xml:space="preserve"> HYPERLINK \l _Toc210 </w:instrText>
          </w:r>
          <w:r>
            <w:rPr>
              <w:lang w:val="en-US" w:eastAsia="zh-CN"/>
            </w:rPr>
            <w:fldChar w:fldCharType="separate"/>
          </w:r>
          <w:r>
            <w:t>2.3.1矿区地质概况</w:t>
          </w:r>
          <w:r>
            <w:tab/>
          </w:r>
          <w:r>
            <w:fldChar w:fldCharType="begin"/>
          </w:r>
          <w:r>
            <w:instrText xml:space="preserve"> PAGEREF _Toc210 \h </w:instrText>
          </w:r>
          <w:r>
            <w:fldChar w:fldCharType="separate"/>
          </w:r>
          <w:r>
            <w:t>24</w:t>
          </w:r>
          <w:r>
            <w:fldChar w:fldCharType="end"/>
          </w:r>
          <w:r>
            <w:rPr>
              <w:lang w:val="en-US" w:eastAsia="zh-CN"/>
            </w:rPr>
            <w:fldChar w:fldCharType="end"/>
          </w:r>
        </w:p>
        <w:p w14:paraId="6DCD4ACA">
          <w:pPr>
            <w:pStyle w:val="18"/>
            <w:tabs>
              <w:tab w:val="right" w:leader="dot" w:pos="9355"/>
            </w:tabs>
          </w:pPr>
          <w:r>
            <w:rPr>
              <w:lang w:val="en-US" w:eastAsia="zh-CN"/>
            </w:rPr>
            <w:fldChar w:fldCharType="begin"/>
          </w:r>
          <w:r>
            <w:rPr>
              <w:lang w:val="en-US" w:eastAsia="zh-CN"/>
            </w:rPr>
            <w:instrText xml:space="preserve"> HYPERLINK \l _Toc31102 </w:instrText>
          </w:r>
          <w:r>
            <w:rPr>
              <w:lang w:val="en-US" w:eastAsia="zh-CN"/>
            </w:rPr>
            <w:fldChar w:fldCharType="separate"/>
          </w:r>
          <w:r>
            <w:t>2.3.</w:t>
          </w:r>
          <w:r>
            <w:rPr>
              <w:rFonts w:hint="eastAsia"/>
              <w:lang w:val="en-US" w:eastAsia="zh-CN"/>
            </w:rPr>
            <w:t>2</w:t>
          </w:r>
          <w:r>
            <w:t>水文地质概况</w:t>
          </w:r>
          <w:r>
            <w:tab/>
          </w:r>
          <w:r>
            <w:fldChar w:fldCharType="begin"/>
          </w:r>
          <w:r>
            <w:instrText xml:space="preserve"> PAGEREF _Toc31102 \h </w:instrText>
          </w:r>
          <w:r>
            <w:fldChar w:fldCharType="separate"/>
          </w:r>
          <w:r>
            <w:t>26</w:t>
          </w:r>
          <w:r>
            <w:fldChar w:fldCharType="end"/>
          </w:r>
          <w:r>
            <w:rPr>
              <w:lang w:val="en-US" w:eastAsia="zh-CN"/>
            </w:rPr>
            <w:fldChar w:fldCharType="end"/>
          </w:r>
        </w:p>
        <w:p w14:paraId="63D8AF73">
          <w:pPr>
            <w:pStyle w:val="18"/>
            <w:tabs>
              <w:tab w:val="right" w:leader="dot" w:pos="9355"/>
            </w:tabs>
          </w:pPr>
          <w:r>
            <w:rPr>
              <w:lang w:val="en-US" w:eastAsia="zh-CN"/>
            </w:rPr>
            <w:fldChar w:fldCharType="begin"/>
          </w:r>
          <w:r>
            <w:rPr>
              <w:lang w:val="en-US" w:eastAsia="zh-CN"/>
            </w:rPr>
            <w:instrText xml:space="preserve"> HYPERLINK \l _Toc5693 </w:instrText>
          </w:r>
          <w:r>
            <w:rPr>
              <w:lang w:val="en-US" w:eastAsia="zh-CN"/>
            </w:rPr>
            <w:fldChar w:fldCharType="separate"/>
          </w:r>
          <w:r>
            <w:t>2.3.</w:t>
          </w:r>
          <w:r>
            <w:rPr>
              <w:rFonts w:hint="eastAsia"/>
              <w:lang w:val="en-US" w:eastAsia="zh-CN"/>
            </w:rPr>
            <w:t>3</w:t>
          </w:r>
          <w:r>
            <w:t>工程地质概况</w:t>
          </w:r>
          <w:r>
            <w:tab/>
          </w:r>
          <w:r>
            <w:fldChar w:fldCharType="begin"/>
          </w:r>
          <w:r>
            <w:instrText xml:space="preserve"> PAGEREF _Toc5693 \h </w:instrText>
          </w:r>
          <w:r>
            <w:fldChar w:fldCharType="separate"/>
          </w:r>
          <w:r>
            <w:t>27</w:t>
          </w:r>
          <w:r>
            <w:fldChar w:fldCharType="end"/>
          </w:r>
          <w:r>
            <w:rPr>
              <w:lang w:val="en-US" w:eastAsia="zh-CN"/>
            </w:rPr>
            <w:fldChar w:fldCharType="end"/>
          </w:r>
        </w:p>
        <w:p w14:paraId="629AF18C">
          <w:pPr>
            <w:pStyle w:val="18"/>
            <w:tabs>
              <w:tab w:val="right" w:leader="dot" w:pos="9355"/>
            </w:tabs>
          </w:pPr>
          <w:r>
            <w:rPr>
              <w:lang w:val="en-US" w:eastAsia="zh-CN"/>
            </w:rPr>
            <w:fldChar w:fldCharType="begin"/>
          </w:r>
          <w:r>
            <w:rPr>
              <w:lang w:val="en-US" w:eastAsia="zh-CN"/>
            </w:rPr>
            <w:instrText xml:space="preserve"> HYPERLINK \l _Toc30635 </w:instrText>
          </w:r>
          <w:r>
            <w:rPr>
              <w:lang w:val="en-US" w:eastAsia="zh-CN"/>
            </w:rPr>
            <w:fldChar w:fldCharType="separate"/>
          </w:r>
          <w:r>
            <w:t>2.3.</w:t>
          </w:r>
          <w:r>
            <w:rPr>
              <w:rFonts w:hint="eastAsia"/>
              <w:lang w:val="en-US" w:eastAsia="zh-CN"/>
            </w:rPr>
            <w:t>4</w:t>
          </w:r>
          <w:r>
            <w:t>环境地质概况</w:t>
          </w:r>
          <w:r>
            <w:tab/>
          </w:r>
          <w:r>
            <w:fldChar w:fldCharType="begin"/>
          </w:r>
          <w:r>
            <w:instrText xml:space="preserve"> PAGEREF _Toc30635 \h </w:instrText>
          </w:r>
          <w:r>
            <w:fldChar w:fldCharType="separate"/>
          </w:r>
          <w:r>
            <w:t>28</w:t>
          </w:r>
          <w:r>
            <w:fldChar w:fldCharType="end"/>
          </w:r>
          <w:r>
            <w:rPr>
              <w:lang w:val="en-US" w:eastAsia="zh-CN"/>
            </w:rPr>
            <w:fldChar w:fldCharType="end"/>
          </w:r>
        </w:p>
        <w:p w14:paraId="02A03A4C">
          <w:pPr>
            <w:pStyle w:val="18"/>
            <w:tabs>
              <w:tab w:val="right" w:leader="dot" w:pos="9355"/>
            </w:tabs>
          </w:pPr>
          <w:r>
            <w:rPr>
              <w:lang w:val="en-US" w:eastAsia="zh-CN"/>
            </w:rPr>
            <w:fldChar w:fldCharType="begin"/>
          </w:r>
          <w:r>
            <w:rPr>
              <w:lang w:val="en-US" w:eastAsia="zh-CN"/>
            </w:rPr>
            <w:instrText xml:space="preserve"> HYPERLINK \l _Toc2196 </w:instrText>
          </w:r>
          <w:r>
            <w:rPr>
              <w:lang w:val="en-US" w:eastAsia="zh-CN"/>
            </w:rPr>
            <w:fldChar w:fldCharType="separate"/>
          </w:r>
          <w:r>
            <w:rPr>
              <w:rFonts w:hint="eastAsia"/>
              <w:lang w:val="en-US" w:eastAsia="zh-CN"/>
            </w:rPr>
            <w:t>2.3.5</w:t>
          </w:r>
          <w:r>
            <w:rPr>
              <w:rFonts w:hint="default"/>
              <w:lang w:val="en-US" w:eastAsia="zh-CN"/>
            </w:rPr>
            <w:t>开采技术条件小结</w:t>
          </w:r>
          <w:r>
            <w:tab/>
          </w:r>
          <w:r>
            <w:fldChar w:fldCharType="begin"/>
          </w:r>
          <w:r>
            <w:instrText xml:space="preserve"> PAGEREF _Toc2196 \h </w:instrText>
          </w:r>
          <w:r>
            <w:fldChar w:fldCharType="separate"/>
          </w:r>
          <w:r>
            <w:t>29</w:t>
          </w:r>
          <w:r>
            <w:fldChar w:fldCharType="end"/>
          </w:r>
          <w:r>
            <w:rPr>
              <w:lang w:val="en-US" w:eastAsia="zh-CN"/>
            </w:rPr>
            <w:fldChar w:fldCharType="end"/>
          </w:r>
        </w:p>
        <w:p w14:paraId="29B21C79">
          <w:pPr>
            <w:pStyle w:val="27"/>
            <w:tabs>
              <w:tab w:val="right" w:leader="dot" w:pos="9355"/>
            </w:tabs>
          </w:pPr>
          <w:r>
            <w:rPr>
              <w:lang w:val="en-US" w:eastAsia="zh-CN"/>
            </w:rPr>
            <w:fldChar w:fldCharType="begin"/>
          </w:r>
          <w:r>
            <w:rPr>
              <w:lang w:val="en-US" w:eastAsia="zh-CN"/>
            </w:rPr>
            <w:instrText xml:space="preserve"> HYPERLINK \l _Toc25003 </w:instrText>
          </w:r>
          <w:r>
            <w:rPr>
              <w:lang w:val="en-US" w:eastAsia="zh-CN"/>
            </w:rPr>
            <w:fldChar w:fldCharType="separate"/>
          </w:r>
          <w:r>
            <w:t>2.4建设概况</w:t>
          </w:r>
          <w:r>
            <w:tab/>
          </w:r>
          <w:r>
            <w:fldChar w:fldCharType="begin"/>
          </w:r>
          <w:r>
            <w:instrText xml:space="preserve"> PAGEREF _Toc25003 \h </w:instrText>
          </w:r>
          <w:r>
            <w:fldChar w:fldCharType="separate"/>
          </w:r>
          <w:r>
            <w:t>30</w:t>
          </w:r>
          <w:r>
            <w:fldChar w:fldCharType="end"/>
          </w:r>
          <w:r>
            <w:rPr>
              <w:lang w:val="en-US" w:eastAsia="zh-CN"/>
            </w:rPr>
            <w:fldChar w:fldCharType="end"/>
          </w:r>
        </w:p>
        <w:p w14:paraId="6C658F45">
          <w:pPr>
            <w:pStyle w:val="18"/>
            <w:tabs>
              <w:tab w:val="right" w:leader="dot" w:pos="9355"/>
            </w:tabs>
          </w:pPr>
          <w:r>
            <w:rPr>
              <w:lang w:val="en-US" w:eastAsia="zh-CN"/>
            </w:rPr>
            <w:fldChar w:fldCharType="begin"/>
          </w:r>
          <w:r>
            <w:rPr>
              <w:lang w:val="en-US" w:eastAsia="zh-CN"/>
            </w:rPr>
            <w:instrText xml:space="preserve"> HYPERLINK \l _Toc28828 </w:instrText>
          </w:r>
          <w:r>
            <w:rPr>
              <w:lang w:val="en-US" w:eastAsia="zh-CN"/>
            </w:rPr>
            <w:fldChar w:fldCharType="separate"/>
          </w:r>
          <w:r>
            <w:t>2.4.1矿山</w:t>
          </w:r>
          <w:r>
            <w:rPr>
              <w:rFonts w:hint="eastAsia"/>
              <w:lang w:val="en-US" w:eastAsia="zh-CN"/>
            </w:rPr>
            <w:t>现</w:t>
          </w:r>
          <w:r>
            <w:t>状</w:t>
          </w:r>
          <w:r>
            <w:tab/>
          </w:r>
          <w:r>
            <w:fldChar w:fldCharType="begin"/>
          </w:r>
          <w:r>
            <w:instrText xml:space="preserve"> PAGEREF _Toc28828 \h </w:instrText>
          </w:r>
          <w:r>
            <w:fldChar w:fldCharType="separate"/>
          </w:r>
          <w:r>
            <w:t>30</w:t>
          </w:r>
          <w:r>
            <w:fldChar w:fldCharType="end"/>
          </w:r>
          <w:r>
            <w:rPr>
              <w:lang w:val="en-US" w:eastAsia="zh-CN"/>
            </w:rPr>
            <w:fldChar w:fldCharType="end"/>
          </w:r>
        </w:p>
        <w:p w14:paraId="68012174">
          <w:pPr>
            <w:pStyle w:val="18"/>
            <w:tabs>
              <w:tab w:val="right" w:leader="dot" w:pos="9355"/>
            </w:tabs>
          </w:pPr>
          <w:r>
            <w:rPr>
              <w:lang w:val="en-US" w:eastAsia="zh-CN"/>
            </w:rPr>
            <w:fldChar w:fldCharType="begin"/>
          </w:r>
          <w:r>
            <w:rPr>
              <w:lang w:val="en-US" w:eastAsia="zh-CN"/>
            </w:rPr>
            <w:instrText xml:space="preserve"> HYPERLINK \l _Toc31770 </w:instrText>
          </w:r>
          <w:r>
            <w:rPr>
              <w:lang w:val="en-US" w:eastAsia="zh-CN"/>
            </w:rPr>
            <w:fldChar w:fldCharType="separate"/>
          </w:r>
          <w:r>
            <w:t>2.4.2总平面布置</w:t>
          </w:r>
          <w:r>
            <w:tab/>
          </w:r>
          <w:r>
            <w:fldChar w:fldCharType="begin"/>
          </w:r>
          <w:r>
            <w:instrText xml:space="preserve"> PAGEREF _Toc31770 \h </w:instrText>
          </w:r>
          <w:r>
            <w:fldChar w:fldCharType="separate"/>
          </w:r>
          <w:r>
            <w:t>32</w:t>
          </w:r>
          <w:r>
            <w:fldChar w:fldCharType="end"/>
          </w:r>
          <w:r>
            <w:rPr>
              <w:lang w:val="en-US" w:eastAsia="zh-CN"/>
            </w:rPr>
            <w:fldChar w:fldCharType="end"/>
          </w:r>
        </w:p>
        <w:p w14:paraId="653EB98E">
          <w:pPr>
            <w:pStyle w:val="18"/>
            <w:tabs>
              <w:tab w:val="right" w:leader="dot" w:pos="9355"/>
            </w:tabs>
          </w:pPr>
          <w:r>
            <w:rPr>
              <w:lang w:val="en-US" w:eastAsia="zh-CN"/>
            </w:rPr>
            <w:fldChar w:fldCharType="begin"/>
          </w:r>
          <w:r>
            <w:rPr>
              <w:lang w:val="en-US" w:eastAsia="zh-CN"/>
            </w:rPr>
            <w:instrText xml:space="preserve"> HYPERLINK \l _Toc23516 </w:instrText>
          </w:r>
          <w:r>
            <w:rPr>
              <w:lang w:val="en-US" w:eastAsia="zh-CN"/>
            </w:rPr>
            <w:fldChar w:fldCharType="separate"/>
          </w:r>
          <w:r>
            <w:t>2.4.3开采范围</w:t>
          </w:r>
          <w:r>
            <w:tab/>
          </w:r>
          <w:r>
            <w:fldChar w:fldCharType="begin"/>
          </w:r>
          <w:r>
            <w:instrText xml:space="preserve"> PAGEREF _Toc23516 \h </w:instrText>
          </w:r>
          <w:r>
            <w:fldChar w:fldCharType="separate"/>
          </w:r>
          <w:r>
            <w:t>34</w:t>
          </w:r>
          <w:r>
            <w:fldChar w:fldCharType="end"/>
          </w:r>
          <w:r>
            <w:rPr>
              <w:lang w:val="en-US" w:eastAsia="zh-CN"/>
            </w:rPr>
            <w:fldChar w:fldCharType="end"/>
          </w:r>
        </w:p>
        <w:p w14:paraId="0122AA1F">
          <w:pPr>
            <w:pStyle w:val="18"/>
            <w:tabs>
              <w:tab w:val="right" w:leader="dot" w:pos="9355"/>
            </w:tabs>
          </w:pPr>
          <w:r>
            <w:rPr>
              <w:lang w:val="en-US" w:eastAsia="zh-CN"/>
            </w:rPr>
            <w:fldChar w:fldCharType="begin"/>
          </w:r>
          <w:r>
            <w:rPr>
              <w:lang w:val="en-US" w:eastAsia="zh-CN"/>
            </w:rPr>
            <w:instrText xml:space="preserve"> HYPERLINK \l _Toc29776 </w:instrText>
          </w:r>
          <w:r>
            <w:rPr>
              <w:lang w:val="en-US" w:eastAsia="zh-CN"/>
            </w:rPr>
            <w:fldChar w:fldCharType="separate"/>
          </w:r>
          <w:r>
            <w:t>2.4.4生产规模及工作制度</w:t>
          </w:r>
          <w:r>
            <w:tab/>
          </w:r>
          <w:r>
            <w:fldChar w:fldCharType="begin"/>
          </w:r>
          <w:r>
            <w:instrText xml:space="preserve"> PAGEREF _Toc29776 \h </w:instrText>
          </w:r>
          <w:r>
            <w:fldChar w:fldCharType="separate"/>
          </w:r>
          <w:r>
            <w:t>36</w:t>
          </w:r>
          <w:r>
            <w:fldChar w:fldCharType="end"/>
          </w:r>
          <w:r>
            <w:rPr>
              <w:lang w:val="en-US" w:eastAsia="zh-CN"/>
            </w:rPr>
            <w:fldChar w:fldCharType="end"/>
          </w:r>
        </w:p>
        <w:p w14:paraId="2DE16FA4">
          <w:pPr>
            <w:pStyle w:val="18"/>
            <w:tabs>
              <w:tab w:val="right" w:leader="dot" w:pos="9355"/>
            </w:tabs>
          </w:pPr>
          <w:r>
            <w:rPr>
              <w:lang w:val="en-US" w:eastAsia="zh-CN"/>
            </w:rPr>
            <w:fldChar w:fldCharType="begin"/>
          </w:r>
          <w:r>
            <w:rPr>
              <w:lang w:val="en-US" w:eastAsia="zh-CN"/>
            </w:rPr>
            <w:instrText xml:space="preserve"> HYPERLINK \l _Toc2169 </w:instrText>
          </w:r>
          <w:r>
            <w:rPr>
              <w:lang w:val="en-US" w:eastAsia="zh-CN"/>
            </w:rPr>
            <w:fldChar w:fldCharType="separate"/>
          </w:r>
          <w:r>
            <w:t>2.4.5采矿方法</w:t>
          </w:r>
          <w:r>
            <w:tab/>
          </w:r>
          <w:r>
            <w:fldChar w:fldCharType="begin"/>
          </w:r>
          <w:r>
            <w:instrText xml:space="preserve"> PAGEREF _Toc2169 \h </w:instrText>
          </w:r>
          <w:r>
            <w:fldChar w:fldCharType="separate"/>
          </w:r>
          <w:r>
            <w:t>37</w:t>
          </w:r>
          <w:r>
            <w:fldChar w:fldCharType="end"/>
          </w:r>
          <w:r>
            <w:rPr>
              <w:lang w:val="en-US" w:eastAsia="zh-CN"/>
            </w:rPr>
            <w:fldChar w:fldCharType="end"/>
          </w:r>
        </w:p>
        <w:p w14:paraId="58A4090A">
          <w:pPr>
            <w:pStyle w:val="18"/>
            <w:tabs>
              <w:tab w:val="right" w:leader="dot" w:pos="9355"/>
            </w:tabs>
          </w:pPr>
          <w:r>
            <w:rPr>
              <w:lang w:val="en-US" w:eastAsia="zh-CN"/>
            </w:rPr>
            <w:fldChar w:fldCharType="begin"/>
          </w:r>
          <w:r>
            <w:rPr>
              <w:lang w:val="en-US" w:eastAsia="zh-CN"/>
            </w:rPr>
            <w:instrText xml:space="preserve"> HYPERLINK \l _Toc25956 </w:instrText>
          </w:r>
          <w:r>
            <w:rPr>
              <w:lang w:val="en-US" w:eastAsia="zh-CN"/>
            </w:rPr>
            <w:fldChar w:fldCharType="separate"/>
          </w:r>
          <w:r>
            <w:t>2.4.6开拓运输</w:t>
          </w:r>
          <w:r>
            <w:tab/>
          </w:r>
          <w:r>
            <w:fldChar w:fldCharType="begin"/>
          </w:r>
          <w:r>
            <w:instrText xml:space="preserve"> PAGEREF _Toc25956 \h </w:instrText>
          </w:r>
          <w:r>
            <w:fldChar w:fldCharType="separate"/>
          </w:r>
          <w:r>
            <w:t>43</w:t>
          </w:r>
          <w:r>
            <w:fldChar w:fldCharType="end"/>
          </w:r>
          <w:r>
            <w:rPr>
              <w:lang w:val="en-US" w:eastAsia="zh-CN"/>
            </w:rPr>
            <w:fldChar w:fldCharType="end"/>
          </w:r>
        </w:p>
        <w:p w14:paraId="5A2CE4A1">
          <w:pPr>
            <w:pStyle w:val="18"/>
            <w:tabs>
              <w:tab w:val="right" w:leader="dot" w:pos="9355"/>
            </w:tabs>
          </w:pPr>
          <w:r>
            <w:rPr>
              <w:lang w:val="en-US" w:eastAsia="zh-CN"/>
            </w:rPr>
            <w:fldChar w:fldCharType="begin"/>
          </w:r>
          <w:r>
            <w:rPr>
              <w:lang w:val="en-US" w:eastAsia="zh-CN"/>
            </w:rPr>
            <w:instrText xml:space="preserve"> HYPERLINK \l _Toc11428 </w:instrText>
          </w:r>
          <w:r>
            <w:rPr>
              <w:lang w:val="en-US" w:eastAsia="zh-CN"/>
            </w:rPr>
            <w:fldChar w:fldCharType="separate"/>
          </w:r>
          <w:r>
            <w:t>2.4.7采场防排水</w:t>
          </w:r>
          <w:r>
            <w:tab/>
          </w:r>
          <w:r>
            <w:fldChar w:fldCharType="begin"/>
          </w:r>
          <w:r>
            <w:instrText xml:space="preserve"> PAGEREF _Toc11428 \h </w:instrText>
          </w:r>
          <w:r>
            <w:fldChar w:fldCharType="separate"/>
          </w:r>
          <w:r>
            <w:t>45</w:t>
          </w:r>
          <w:r>
            <w:fldChar w:fldCharType="end"/>
          </w:r>
          <w:r>
            <w:rPr>
              <w:lang w:val="en-US" w:eastAsia="zh-CN"/>
            </w:rPr>
            <w:fldChar w:fldCharType="end"/>
          </w:r>
        </w:p>
        <w:p w14:paraId="5A1A5E7D">
          <w:pPr>
            <w:pStyle w:val="18"/>
            <w:tabs>
              <w:tab w:val="right" w:leader="dot" w:pos="9355"/>
            </w:tabs>
          </w:pPr>
          <w:r>
            <w:rPr>
              <w:lang w:val="en-US" w:eastAsia="zh-CN"/>
            </w:rPr>
            <w:fldChar w:fldCharType="begin"/>
          </w:r>
          <w:r>
            <w:rPr>
              <w:lang w:val="en-US" w:eastAsia="zh-CN"/>
            </w:rPr>
            <w:instrText xml:space="preserve"> HYPERLINK \l _Toc32333 </w:instrText>
          </w:r>
          <w:r>
            <w:rPr>
              <w:lang w:val="en-US" w:eastAsia="zh-CN"/>
            </w:rPr>
            <w:fldChar w:fldCharType="separate"/>
          </w:r>
          <w:r>
            <w:t>2.4.</w:t>
          </w:r>
          <w:r>
            <w:rPr>
              <w:rFonts w:hint="eastAsia"/>
              <w:lang w:val="en-US" w:eastAsia="zh-CN"/>
            </w:rPr>
            <w:t>8</w:t>
          </w:r>
          <w:r>
            <w:t>供配电</w:t>
          </w:r>
          <w:r>
            <w:tab/>
          </w:r>
          <w:r>
            <w:fldChar w:fldCharType="begin"/>
          </w:r>
          <w:r>
            <w:instrText xml:space="preserve"> PAGEREF _Toc32333 \h </w:instrText>
          </w:r>
          <w:r>
            <w:fldChar w:fldCharType="separate"/>
          </w:r>
          <w:r>
            <w:t>45</w:t>
          </w:r>
          <w:r>
            <w:fldChar w:fldCharType="end"/>
          </w:r>
          <w:r>
            <w:rPr>
              <w:lang w:val="en-US" w:eastAsia="zh-CN"/>
            </w:rPr>
            <w:fldChar w:fldCharType="end"/>
          </w:r>
        </w:p>
        <w:p w14:paraId="53B1F9BC">
          <w:pPr>
            <w:pStyle w:val="18"/>
            <w:tabs>
              <w:tab w:val="right" w:leader="dot" w:pos="9355"/>
            </w:tabs>
          </w:pPr>
          <w:r>
            <w:rPr>
              <w:lang w:val="en-US" w:eastAsia="zh-CN"/>
            </w:rPr>
            <w:fldChar w:fldCharType="begin"/>
          </w:r>
          <w:r>
            <w:rPr>
              <w:lang w:val="en-US" w:eastAsia="zh-CN"/>
            </w:rPr>
            <w:instrText xml:space="preserve"> HYPERLINK \l _Toc3776 </w:instrText>
          </w:r>
          <w:r>
            <w:rPr>
              <w:lang w:val="en-US" w:eastAsia="zh-CN"/>
            </w:rPr>
            <w:fldChar w:fldCharType="separate"/>
          </w:r>
          <w:r>
            <w:t>2.4.</w:t>
          </w:r>
          <w:r>
            <w:rPr>
              <w:rFonts w:hint="eastAsia"/>
              <w:lang w:val="en-US" w:eastAsia="zh-CN"/>
            </w:rPr>
            <w:t>9</w:t>
          </w:r>
          <w:r>
            <w:t>通信系统</w:t>
          </w:r>
          <w:r>
            <w:tab/>
          </w:r>
          <w:r>
            <w:fldChar w:fldCharType="begin"/>
          </w:r>
          <w:r>
            <w:instrText xml:space="preserve"> PAGEREF _Toc3776 \h </w:instrText>
          </w:r>
          <w:r>
            <w:fldChar w:fldCharType="separate"/>
          </w:r>
          <w:r>
            <w:t>46</w:t>
          </w:r>
          <w:r>
            <w:fldChar w:fldCharType="end"/>
          </w:r>
          <w:r>
            <w:rPr>
              <w:lang w:val="en-US" w:eastAsia="zh-CN"/>
            </w:rPr>
            <w:fldChar w:fldCharType="end"/>
          </w:r>
        </w:p>
        <w:p w14:paraId="30A2173E">
          <w:pPr>
            <w:pStyle w:val="18"/>
            <w:tabs>
              <w:tab w:val="right" w:leader="dot" w:pos="9355"/>
            </w:tabs>
          </w:pPr>
          <w:r>
            <w:rPr>
              <w:lang w:val="en-US" w:eastAsia="zh-CN"/>
            </w:rPr>
            <w:fldChar w:fldCharType="begin"/>
          </w:r>
          <w:r>
            <w:rPr>
              <w:lang w:val="en-US" w:eastAsia="zh-CN"/>
            </w:rPr>
            <w:instrText xml:space="preserve"> HYPERLINK \l _Toc6668 </w:instrText>
          </w:r>
          <w:r>
            <w:rPr>
              <w:lang w:val="en-US" w:eastAsia="zh-CN"/>
            </w:rPr>
            <w:fldChar w:fldCharType="separate"/>
          </w:r>
          <w:r>
            <w:t>2.4.1</w:t>
          </w:r>
          <w:r>
            <w:rPr>
              <w:rFonts w:hint="eastAsia"/>
              <w:lang w:val="en-US" w:eastAsia="zh-CN"/>
            </w:rPr>
            <w:t>0</w:t>
          </w:r>
          <w:r>
            <w:t>个人安全防护</w:t>
          </w:r>
          <w:r>
            <w:rPr>
              <w:rFonts w:hint="eastAsia"/>
              <w:lang w:val="en-US" w:eastAsia="zh-CN"/>
            </w:rPr>
            <w:t>与防尘</w:t>
          </w:r>
          <w:r>
            <w:tab/>
          </w:r>
          <w:r>
            <w:fldChar w:fldCharType="begin"/>
          </w:r>
          <w:r>
            <w:instrText xml:space="preserve"> PAGEREF _Toc6668 \h </w:instrText>
          </w:r>
          <w:r>
            <w:fldChar w:fldCharType="separate"/>
          </w:r>
          <w:r>
            <w:t>47</w:t>
          </w:r>
          <w:r>
            <w:fldChar w:fldCharType="end"/>
          </w:r>
          <w:r>
            <w:rPr>
              <w:lang w:val="en-US" w:eastAsia="zh-CN"/>
            </w:rPr>
            <w:fldChar w:fldCharType="end"/>
          </w:r>
        </w:p>
        <w:p w14:paraId="16BF1B56">
          <w:pPr>
            <w:pStyle w:val="18"/>
            <w:tabs>
              <w:tab w:val="right" w:leader="dot" w:pos="9355"/>
            </w:tabs>
          </w:pPr>
          <w:r>
            <w:rPr>
              <w:lang w:val="en-US" w:eastAsia="zh-CN"/>
            </w:rPr>
            <w:fldChar w:fldCharType="begin"/>
          </w:r>
          <w:r>
            <w:rPr>
              <w:lang w:val="en-US" w:eastAsia="zh-CN"/>
            </w:rPr>
            <w:instrText xml:space="preserve"> HYPERLINK \l _Toc7019 </w:instrText>
          </w:r>
          <w:r>
            <w:rPr>
              <w:lang w:val="en-US" w:eastAsia="zh-CN"/>
            </w:rPr>
            <w:fldChar w:fldCharType="separate"/>
          </w:r>
          <w:r>
            <w:t>2.4.1</w:t>
          </w:r>
          <w:r>
            <w:rPr>
              <w:rFonts w:hint="eastAsia"/>
              <w:lang w:val="en-US" w:eastAsia="zh-CN"/>
            </w:rPr>
            <w:t>1</w:t>
          </w:r>
          <w:r>
            <w:t>安全标志</w:t>
          </w:r>
          <w:r>
            <w:tab/>
          </w:r>
          <w:r>
            <w:fldChar w:fldCharType="begin"/>
          </w:r>
          <w:r>
            <w:instrText xml:space="preserve"> PAGEREF _Toc7019 \h </w:instrText>
          </w:r>
          <w:r>
            <w:fldChar w:fldCharType="separate"/>
          </w:r>
          <w:r>
            <w:t>48</w:t>
          </w:r>
          <w:r>
            <w:fldChar w:fldCharType="end"/>
          </w:r>
          <w:r>
            <w:rPr>
              <w:lang w:val="en-US" w:eastAsia="zh-CN"/>
            </w:rPr>
            <w:fldChar w:fldCharType="end"/>
          </w:r>
        </w:p>
        <w:p w14:paraId="3BEB81CA">
          <w:pPr>
            <w:pStyle w:val="18"/>
            <w:tabs>
              <w:tab w:val="right" w:leader="dot" w:pos="9355"/>
            </w:tabs>
          </w:pPr>
          <w:r>
            <w:rPr>
              <w:lang w:val="en-US" w:eastAsia="zh-CN"/>
            </w:rPr>
            <w:fldChar w:fldCharType="begin"/>
          </w:r>
          <w:r>
            <w:rPr>
              <w:lang w:val="en-US" w:eastAsia="zh-CN"/>
            </w:rPr>
            <w:instrText xml:space="preserve"> HYPERLINK \l _Toc25079 </w:instrText>
          </w:r>
          <w:r>
            <w:rPr>
              <w:lang w:val="en-US" w:eastAsia="zh-CN"/>
            </w:rPr>
            <w:fldChar w:fldCharType="separate"/>
          </w:r>
          <w:r>
            <w:rPr>
              <w:lang w:val="en-US" w:eastAsia="en-US"/>
            </w:rPr>
            <w:t>2.4.12安全管理</w:t>
          </w:r>
          <w:r>
            <w:tab/>
          </w:r>
          <w:r>
            <w:fldChar w:fldCharType="begin"/>
          </w:r>
          <w:r>
            <w:instrText xml:space="preserve"> PAGEREF _Toc25079 \h </w:instrText>
          </w:r>
          <w:r>
            <w:fldChar w:fldCharType="separate"/>
          </w:r>
          <w:r>
            <w:t>48</w:t>
          </w:r>
          <w:r>
            <w:fldChar w:fldCharType="end"/>
          </w:r>
          <w:r>
            <w:rPr>
              <w:lang w:val="en-US" w:eastAsia="zh-CN"/>
            </w:rPr>
            <w:fldChar w:fldCharType="end"/>
          </w:r>
        </w:p>
        <w:p w14:paraId="786FC800">
          <w:pPr>
            <w:pStyle w:val="18"/>
            <w:tabs>
              <w:tab w:val="right" w:leader="dot" w:pos="9355"/>
            </w:tabs>
          </w:pPr>
          <w:r>
            <w:rPr>
              <w:lang w:val="en-US" w:eastAsia="zh-CN"/>
            </w:rPr>
            <w:fldChar w:fldCharType="begin"/>
          </w:r>
          <w:r>
            <w:rPr>
              <w:lang w:val="en-US" w:eastAsia="zh-CN"/>
            </w:rPr>
            <w:instrText xml:space="preserve"> HYPERLINK \l _Toc20744 </w:instrText>
          </w:r>
          <w:r>
            <w:rPr>
              <w:lang w:val="en-US" w:eastAsia="zh-CN"/>
            </w:rPr>
            <w:fldChar w:fldCharType="separate"/>
          </w:r>
          <w:r>
            <w:rPr>
              <w:lang w:val="en-US" w:eastAsia="en-US"/>
            </w:rPr>
            <w:t>2.4.13安全设施投入</w:t>
          </w:r>
          <w:r>
            <w:tab/>
          </w:r>
          <w:r>
            <w:fldChar w:fldCharType="begin"/>
          </w:r>
          <w:r>
            <w:instrText xml:space="preserve"> PAGEREF _Toc20744 \h </w:instrText>
          </w:r>
          <w:r>
            <w:fldChar w:fldCharType="separate"/>
          </w:r>
          <w:r>
            <w:t>56</w:t>
          </w:r>
          <w:r>
            <w:fldChar w:fldCharType="end"/>
          </w:r>
          <w:r>
            <w:rPr>
              <w:lang w:val="en-US" w:eastAsia="zh-CN"/>
            </w:rPr>
            <w:fldChar w:fldCharType="end"/>
          </w:r>
        </w:p>
        <w:p w14:paraId="6D0E2483">
          <w:pPr>
            <w:pStyle w:val="18"/>
            <w:tabs>
              <w:tab w:val="right" w:leader="dot" w:pos="9355"/>
            </w:tabs>
          </w:pPr>
          <w:r>
            <w:rPr>
              <w:lang w:val="en-US" w:eastAsia="zh-CN"/>
            </w:rPr>
            <w:fldChar w:fldCharType="begin"/>
          </w:r>
          <w:r>
            <w:rPr>
              <w:lang w:val="en-US" w:eastAsia="zh-CN"/>
            </w:rPr>
            <w:instrText xml:space="preserve"> HYPERLINK \l _Toc5031 </w:instrText>
          </w:r>
          <w:r>
            <w:rPr>
              <w:lang w:val="en-US" w:eastAsia="zh-CN"/>
            </w:rPr>
            <w:fldChar w:fldCharType="separate"/>
          </w:r>
          <w:r>
            <w:t>2.4.1</w:t>
          </w:r>
          <w:r>
            <w:rPr>
              <w:rFonts w:hint="eastAsia"/>
              <w:lang w:val="en-US" w:eastAsia="zh-CN"/>
            </w:rPr>
            <w:t>4</w:t>
          </w:r>
          <w:r>
            <w:t>存在的问题</w:t>
          </w:r>
          <w:r>
            <w:rPr>
              <w:rFonts w:hint="eastAsia"/>
              <w:lang w:val="en-US" w:eastAsia="zh-CN"/>
            </w:rPr>
            <w:t>整改</w:t>
          </w:r>
          <w:r>
            <w:tab/>
          </w:r>
          <w:r>
            <w:fldChar w:fldCharType="begin"/>
          </w:r>
          <w:r>
            <w:instrText xml:space="preserve"> PAGEREF _Toc5031 \h </w:instrText>
          </w:r>
          <w:r>
            <w:fldChar w:fldCharType="separate"/>
          </w:r>
          <w:r>
            <w:t>57</w:t>
          </w:r>
          <w:r>
            <w:fldChar w:fldCharType="end"/>
          </w:r>
          <w:r>
            <w:rPr>
              <w:lang w:val="en-US" w:eastAsia="zh-CN"/>
            </w:rPr>
            <w:fldChar w:fldCharType="end"/>
          </w:r>
        </w:p>
        <w:p w14:paraId="3DD3CFBE">
          <w:pPr>
            <w:pStyle w:val="27"/>
            <w:tabs>
              <w:tab w:val="right" w:leader="dot" w:pos="9355"/>
            </w:tabs>
          </w:pPr>
          <w:r>
            <w:rPr>
              <w:lang w:val="en-US" w:eastAsia="zh-CN"/>
            </w:rPr>
            <w:fldChar w:fldCharType="begin"/>
          </w:r>
          <w:r>
            <w:rPr>
              <w:lang w:val="en-US" w:eastAsia="zh-CN"/>
            </w:rPr>
            <w:instrText xml:space="preserve"> HYPERLINK \l _Toc21640 </w:instrText>
          </w:r>
          <w:r>
            <w:rPr>
              <w:lang w:val="en-US" w:eastAsia="zh-CN"/>
            </w:rPr>
            <w:fldChar w:fldCharType="separate"/>
          </w:r>
          <w:r>
            <w:t>2.5施工及监理概况</w:t>
          </w:r>
          <w:r>
            <w:tab/>
          </w:r>
          <w:r>
            <w:fldChar w:fldCharType="begin"/>
          </w:r>
          <w:r>
            <w:instrText xml:space="preserve"> PAGEREF _Toc21640 \h </w:instrText>
          </w:r>
          <w:r>
            <w:fldChar w:fldCharType="separate"/>
          </w:r>
          <w:r>
            <w:t>58</w:t>
          </w:r>
          <w:r>
            <w:fldChar w:fldCharType="end"/>
          </w:r>
          <w:r>
            <w:rPr>
              <w:lang w:val="en-US" w:eastAsia="zh-CN"/>
            </w:rPr>
            <w:fldChar w:fldCharType="end"/>
          </w:r>
        </w:p>
        <w:p w14:paraId="6B0EE872">
          <w:pPr>
            <w:pStyle w:val="18"/>
            <w:tabs>
              <w:tab w:val="right" w:leader="dot" w:pos="9355"/>
            </w:tabs>
          </w:pPr>
          <w:r>
            <w:rPr>
              <w:lang w:val="en-US" w:eastAsia="zh-CN"/>
            </w:rPr>
            <w:fldChar w:fldCharType="begin"/>
          </w:r>
          <w:r>
            <w:rPr>
              <w:lang w:val="en-US" w:eastAsia="zh-CN"/>
            </w:rPr>
            <w:instrText xml:space="preserve"> HYPERLINK \l _Toc3865 </w:instrText>
          </w:r>
          <w:r>
            <w:rPr>
              <w:lang w:val="en-US" w:eastAsia="zh-CN"/>
            </w:rPr>
            <w:fldChar w:fldCharType="separate"/>
          </w:r>
          <w:r>
            <w:rPr>
              <w:lang w:eastAsia="en-US"/>
            </w:rPr>
            <w:t>2.5.1项目施工、监理基本情况</w:t>
          </w:r>
          <w:r>
            <w:tab/>
          </w:r>
          <w:r>
            <w:fldChar w:fldCharType="begin"/>
          </w:r>
          <w:r>
            <w:instrText xml:space="preserve"> PAGEREF _Toc3865 \h </w:instrText>
          </w:r>
          <w:r>
            <w:fldChar w:fldCharType="separate"/>
          </w:r>
          <w:r>
            <w:t>58</w:t>
          </w:r>
          <w:r>
            <w:fldChar w:fldCharType="end"/>
          </w:r>
          <w:r>
            <w:rPr>
              <w:lang w:val="en-US" w:eastAsia="zh-CN"/>
            </w:rPr>
            <w:fldChar w:fldCharType="end"/>
          </w:r>
        </w:p>
        <w:p w14:paraId="5D0004B6">
          <w:pPr>
            <w:pStyle w:val="18"/>
            <w:tabs>
              <w:tab w:val="right" w:leader="dot" w:pos="9355"/>
            </w:tabs>
          </w:pPr>
          <w:r>
            <w:rPr>
              <w:lang w:val="en-US" w:eastAsia="zh-CN"/>
            </w:rPr>
            <w:fldChar w:fldCharType="begin"/>
          </w:r>
          <w:r>
            <w:rPr>
              <w:lang w:val="en-US" w:eastAsia="zh-CN"/>
            </w:rPr>
            <w:instrText xml:space="preserve"> HYPERLINK \l _Toc24957 </w:instrText>
          </w:r>
          <w:r>
            <w:rPr>
              <w:lang w:val="en-US" w:eastAsia="zh-CN"/>
            </w:rPr>
            <w:fldChar w:fldCharType="separate"/>
          </w:r>
          <w:r>
            <w:rPr>
              <w:lang w:val="en-US" w:eastAsia="en-US"/>
            </w:rPr>
            <w:t>2.5.2建设项目开工、竣工日期及其工程进度控制情况</w:t>
          </w:r>
          <w:r>
            <w:tab/>
          </w:r>
          <w:r>
            <w:fldChar w:fldCharType="begin"/>
          </w:r>
          <w:r>
            <w:instrText xml:space="preserve"> PAGEREF _Toc24957 \h </w:instrText>
          </w:r>
          <w:r>
            <w:fldChar w:fldCharType="separate"/>
          </w:r>
          <w:r>
            <w:t>58</w:t>
          </w:r>
          <w:r>
            <w:fldChar w:fldCharType="end"/>
          </w:r>
          <w:r>
            <w:rPr>
              <w:lang w:val="en-US" w:eastAsia="zh-CN"/>
            </w:rPr>
            <w:fldChar w:fldCharType="end"/>
          </w:r>
        </w:p>
        <w:p w14:paraId="1A8EE55B">
          <w:pPr>
            <w:pStyle w:val="18"/>
            <w:tabs>
              <w:tab w:val="right" w:leader="dot" w:pos="9355"/>
            </w:tabs>
          </w:pPr>
          <w:r>
            <w:rPr>
              <w:lang w:val="en-US" w:eastAsia="zh-CN"/>
            </w:rPr>
            <w:fldChar w:fldCharType="begin"/>
          </w:r>
          <w:r>
            <w:rPr>
              <w:lang w:val="en-US" w:eastAsia="zh-CN"/>
            </w:rPr>
            <w:instrText xml:space="preserve"> HYPERLINK \l _Toc14073 </w:instrText>
          </w:r>
          <w:r>
            <w:rPr>
              <w:lang w:val="en-US" w:eastAsia="zh-CN"/>
            </w:rPr>
            <w:fldChar w:fldCharType="separate"/>
          </w:r>
          <w:r>
            <w:rPr>
              <w:lang w:val="en-US" w:eastAsia="en-US"/>
            </w:rPr>
            <w:t>2.5.3工程质量控制、交工验收情况</w:t>
          </w:r>
          <w:r>
            <w:tab/>
          </w:r>
          <w:r>
            <w:fldChar w:fldCharType="begin"/>
          </w:r>
          <w:r>
            <w:instrText xml:space="preserve"> PAGEREF _Toc14073 \h </w:instrText>
          </w:r>
          <w:r>
            <w:fldChar w:fldCharType="separate"/>
          </w:r>
          <w:r>
            <w:t>59</w:t>
          </w:r>
          <w:r>
            <w:fldChar w:fldCharType="end"/>
          </w:r>
          <w:r>
            <w:rPr>
              <w:lang w:val="en-US" w:eastAsia="zh-CN"/>
            </w:rPr>
            <w:fldChar w:fldCharType="end"/>
          </w:r>
        </w:p>
        <w:p w14:paraId="45456FD9">
          <w:pPr>
            <w:pStyle w:val="27"/>
            <w:tabs>
              <w:tab w:val="right" w:leader="dot" w:pos="9355"/>
            </w:tabs>
          </w:pPr>
          <w:r>
            <w:rPr>
              <w:lang w:val="en-US" w:eastAsia="zh-CN"/>
            </w:rPr>
            <w:fldChar w:fldCharType="begin"/>
          </w:r>
          <w:r>
            <w:rPr>
              <w:lang w:val="en-US" w:eastAsia="zh-CN"/>
            </w:rPr>
            <w:instrText xml:space="preserve"> HYPERLINK \l _Toc6077 </w:instrText>
          </w:r>
          <w:r>
            <w:rPr>
              <w:lang w:val="en-US" w:eastAsia="zh-CN"/>
            </w:rPr>
            <w:fldChar w:fldCharType="separate"/>
          </w:r>
          <w:r>
            <w:t>2.6试运行概况</w:t>
          </w:r>
          <w:r>
            <w:tab/>
          </w:r>
          <w:r>
            <w:fldChar w:fldCharType="begin"/>
          </w:r>
          <w:r>
            <w:instrText xml:space="preserve"> PAGEREF _Toc6077 \h </w:instrText>
          </w:r>
          <w:r>
            <w:fldChar w:fldCharType="separate"/>
          </w:r>
          <w:r>
            <w:t>63</w:t>
          </w:r>
          <w:r>
            <w:fldChar w:fldCharType="end"/>
          </w:r>
          <w:r>
            <w:rPr>
              <w:lang w:val="en-US" w:eastAsia="zh-CN"/>
            </w:rPr>
            <w:fldChar w:fldCharType="end"/>
          </w:r>
        </w:p>
        <w:p w14:paraId="1409BC4D">
          <w:pPr>
            <w:pStyle w:val="27"/>
            <w:tabs>
              <w:tab w:val="right" w:leader="dot" w:pos="9355"/>
            </w:tabs>
          </w:pPr>
          <w:r>
            <w:rPr>
              <w:lang w:val="en-US" w:eastAsia="zh-CN"/>
            </w:rPr>
            <w:fldChar w:fldCharType="begin"/>
          </w:r>
          <w:r>
            <w:rPr>
              <w:lang w:val="en-US" w:eastAsia="zh-CN"/>
            </w:rPr>
            <w:instrText xml:space="preserve"> HYPERLINK \l _Toc15417 </w:instrText>
          </w:r>
          <w:r>
            <w:rPr>
              <w:lang w:val="en-US" w:eastAsia="zh-CN"/>
            </w:rPr>
            <w:fldChar w:fldCharType="separate"/>
          </w:r>
          <w:r>
            <w:t>2.7安全设施概况</w:t>
          </w:r>
          <w:r>
            <w:tab/>
          </w:r>
          <w:r>
            <w:fldChar w:fldCharType="begin"/>
          </w:r>
          <w:r>
            <w:instrText xml:space="preserve"> PAGEREF _Toc15417 \h </w:instrText>
          </w:r>
          <w:r>
            <w:fldChar w:fldCharType="separate"/>
          </w:r>
          <w:r>
            <w:t>65</w:t>
          </w:r>
          <w:r>
            <w:fldChar w:fldCharType="end"/>
          </w:r>
          <w:r>
            <w:rPr>
              <w:lang w:val="en-US" w:eastAsia="zh-CN"/>
            </w:rPr>
            <w:fldChar w:fldCharType="end"/>
          </w:r>
        </w:p>
        <w:p w14:paraId="7B6F63EF">
          <w:pPr>
            <w:pStyle w:val="27"/>
            <w:tabs>
              <w:tab w:val="right" w:leader="dot" w:pos="9355"/>
            </w:tabs>
          </w:pPr>
          <w:r>
            <w:rPr>
              <w:lang w:val="en-US" w:eastAsia="zh-CN"/>
            </w:rPr>
            <w:fldChar w:fldCharType="begin"/>
          </w:r>
          <w:r>
            <w:rPr>
              <w:lang w:val="en-US" w:eastAsia="zh-CN"/>
            </w:rPr>
            <w:instrText xml:space="preserve"> HYPERLINK \l _Toc31517 </w:instrText>
          </w:r>
          <w:r>
            <w:rPr>
              <w:lang w:val="en-US" w:eastAsia="zh-CN"/>
            </w:rPr>
            <w:fldChar w:fldCharType="separate"/>
          </w:r>
          <w:r>
            <w:t>2.8变更设计</w:t>
          </w:r>
          <w:r>
            <w:tab/>
          </w:r>
          <w:r>
            <w:fldChar w:fldCharType="begin"/>
          </w:r>
          <w:r>
            <w:instrText xml:space="preserve"> PAGEREF _Toc31517 \h </w:instrText>
          </w:r>
          <w:r>
            <w:fldChar w:fldCharType="separate"/>
          </w:r>
          <w:r>
            <w:t>66</w:t>
          </w:r>
          <w:r>
            <w:fldChar w:fldCharType="end"/>
          </w:r>
          <w:r>
            <w:rPr>
              <w:lang w:val="en-US" w:eastAsia="zh-CN"/>
            </w:rPr>
            <w:fldChar w:fldCharType="end"/>
          </w:r>
        </w:p>
        <w:p w14:paraId="7BCAF5A0">
          <w:pPr>
            <w:pStyle w:val="27"/>
            <w:tabs>
              <w:tab w:val="right" w:leader="dot" w:pos="9355"/>
            </w:tabs>
          </w:pPr>
          <w:r>
            <w:rPr>
              <w:lang w:val="en-US" w:eastAsia="zh-CN"/>
            </w:rPr>
            <w:fldChar w:fldCharType="begin"/>
          </w:r>
          <w:r>
            <w:rPr>
              <w:lang w:val="en-US" w:eastAsia="zh-CN"/>
            </w:rPr>
            <w:instrText xml:space="preserve"> HYPERLINK \l _Toc30555 </w:instrText>
          </w:r>
          <w:r>
            <w:rPr>
              <w:lang w:val="en-US" w:eastAsia="zh-CN"/>
            </w:rPr>
            <w:fldChar w:fldCharType="separate"/>
          </w:r>
          <w:r>
            <w:t>2.</w:t>
          </w:r>
          <w:r>
            <w:rPr>
              <w:rFonts w:hint="eastAsia"/>
              <w:lang w:val="en-US" w:eastAsia="zh-CN"/>
            </w:rPr>
            <w:t>9</w:t>
          </w:r>
          <w:r>
            <w:t>矿山建设情况图片</w:t>
          </w:r>
          <w:r>
            <w:tab/>
          </w:r>
          <w:r>
            <w:fldChar w:fldCharType="begin"/>
          </w:r>
          <w:r>
            <w:instrText xml:space="preserve"> PAGEREF _Toc30555 \h </w:instrText>
          </w:r>
          <w:r>
            <w:fldChar w:fldCharType="separate"/>
          </w:r>
          <w:r>
            <w:t>67</w:t>
          </w:r>
          <w:r>
            <w:fldChar w:fldCharType="end"/>
          </w:r>
          <w:r>
            <w:rPr>
              <w:lang w:val="en-US" w:eastAsia="zh-CN"/>
            </w:rPr>
            <w:fldChar w:fldCharType="end"/>
          </w:r>
        </w:p>
        <w:p w14:paraId="61011933">
          <w:pPr>
            <w:pStyle w:val="27"/>
            <w:tabs>
              <w:tab w:val="right" w:leader="dot" w:pos="9355"/>
            </w:tabs>
          </w:pPr>
          <w:r>
            <w:rPr>
              <w:lang w:val="en-US" w:eastAsia="zh-CN"/>
            </w:rPr>
            <w:fldChar w:fldCharType="begin"/>
          </w:r>
          <w:r>
            <w:rPr>
              <w:lang w:val="en-US" w:eastAsia="zh-CN"/>
            </w:rPr>
            <w:instrText xml:space="preserve"> HYPERLINK \l _Toc24079 </w:instrText>
          </w:r>
          <w:r>
            <w:rPr>
              <w:lang w:val="en-US" w:eastAsia="zh-CN"/>
            </w:rPr>
            <w:fldChar w:fldCharType="separate"/>
          </w:r>
          <w:r>
            <w:rPr>
              <w:rFonts w:hint="eastAsia"/>
              <w:lang w:val="en-US" w:eastAsia="zh-CN"/>
            </w:rPr>
            <w:t>2.10</w:t>
          </w:r>
          <w:r>
            <w:rPr>
              <w:lang w:val="en-US" w:eastAsia="zh-CN"/>
            </w:rPr>
            <w:t>隐蔽致灾因素</w:t>
          </w:r>
          <w:r>
            <w:t>防控对策与建议</w:t>
          </w:r>
          <w:r>
            <w:tab/>
          </w:r>
          <w:r>
            <w:fldChar w:fldCharType="begin"/>
          </w:r>
          <w:r>
            <w:instrText xml:space="preserve"> PAGEREF _Toc24079 \h </w:instrText>
          </w:r>
          <w:r>
            <w:fldChar w:fldCharType="separate"/>
          </w:r>
          <w:r>
            <w:t>76</w:t>
          </w:r>
          <w:r>
            <w:fldChar w:fldCharType="end"/>
          </w:r>
          <w:r>
            <w:rPr>
              <w:lang w:val="en-US" w:eastAsia="zh-CN"/>
            </w:rPr>
            <w:fldChar w:fldCharType="end"/>
          </w:r>
        </w:p>
        <w:p w14:paraId="228D9A1C">
          <w:pPr>
            <w:pStyle w:val="24"/>
            <w:tabs>
              <w:tab w:val="right" w:leader="dot" w:pos="9355"/>
            </w:tabs>
          </w:pPr>
          <w:r>
            <w:rPr>
              <w:lang w:val="en-US" w:eastAsia="zh-CN"/>
            </w:rPr>
            <w:fldChar w:fldCharType="begin"/>
          </w:r>
          <w:r>
            <w:rPr>
              <w:lang w:val="en-US" w:eastAsia="zh-CN"/>
            </w:rPr>
            <w:instrText xml:space="preserve"> HYPERLINK \l _Toc17692 </w:instrText>
          </w:r>
          <w:r>
            <w:rPr>
              <w:lang w:val="en-US" w:eastAsia="zh-CN"/>
            </w:rPr>
            <w:fldChar w:fldCharType="separate"/>
          </w:r>
          <w:r>
            <w:rPr>
              <w:rFonts w:hint="eastAsia"/>
              <w:lang w:val="en-US" w:eastAsia="zh-CN"/>
            </w:rPr>
            <w:t>3</w:t>
          </w:r>
          <w:r>
            <w:t>安全设施符合性评价</w:t>
          </w:r>
          <w:r>
            <w:tab/>
          </w:r>
          <w:r>
            <w:fldChar w:fldCharType="begin"/>
          </w:r>
          <w:r>
            <w:instrText xml:space="preserve"> PAGEREF _Toc17692 \h </w:instrText>
          </w:r>
          <w:r>
            <w:fldChar w:fldCharType="separate"/>
          </w:r>
          <w:r>
            <w:t>77</w:t>
          </w:r>
          <w:r>
            <w:fldChar w:fldCharType="end"/>
          </w:r>
          <w:r>
            <w:rPr>
              <w:lang w:val="en-US" w:eastAsia="zh-CN"/>
            </w:rPr>
            <w:fldChar w:fldCharType="end"/>
          </w:r>
        </w:p>
        <w:p w14:paraId="156BBBC9">
          <w:pPr>
            <w:pStyle w:val="27"/>
            <w:tabs>
              <w:tab w:val="right" w:leader="dot" w:pos="9355"/>
            </w:tabs>
          </w:pPr>
          <w:r>
            <w:rPr>
              <w:lang w:val="en-US" w:eastAsia="zh-CN"/>
            </w:rPr>
            <w:fldChar w:fldCharType="begin"/>
          </w:r>
          <w:r>
            <w:rPr>
              <w:lang w:val="en-US" w:eastAsia="zh-CN"/>
            </w:rPr>
            <w:instrText xml:space="preserve"> HYPERLINK \l _Toc30248 </w:instrText>
          </w:r>
          <w:r>
            <w:rPr>
              <w:lang w:val="en-US" w:eastAsia="zh-CN"/>
            </w:rPr>
            <w:fldChar w:fldCharType="separate"/>
          </w:r>
          <w:r>
            <w:t>3.1安全设施</w:t>
          </w:r>
          <w:r>
            <w:rPr>
              <w:rFonts w:hint="eastAsia"/>
              <w:lang w:eastAsia="zh-CN"/>
            </w:rPr>
            <w:t>“</w:t>
          </w:r>
          <w:r>
            <w:t>三同时</w:t>
          </w:r>
          <w:r>
            <w:rPr>
              <w:rFonts w:hint="eastAsia"/>
              <w:lang w:eastAsia="zh-CN"/>
            </w:rPr>
            <w:t>”</w:t>
          </w:r>
          <w:r>
            <w:t>程序</w:t>
          </w:r>
          <w:r>
            <w:tab/>
          </w:r>
          <w:r>
            <w:fldChar w:fldCharType="begin"/>
          </w:r>
          <w:r>
            <w:instrText xml:space="preserve"> PAGEREF _Toc30248 \h </w:instrText>
          </w:r>
          <w:r>
            <w:fldChar w:fldCharType="separate"/>
          </w:r>
          <w:r>
            <w:t>78</w:t>
          </w:r>
          <w:r>
            <w:fldChar w:fldCharType="end"/>
          </w:r>
          <w:r>
            <w:rPr>
              <w:lang w:val="en-US" w:eastAsia="zh-CN"/>
            </w:rPr>
            <w:fldChar w:fldCharType="end"/>
          </w:r>
        </w:p>
        <w:p w14:paraId="2931620A">
          <w:pPr>
            <w:pStyle w:val="18"/>
            <w:tabs>
              <w:tab w:val="right" w:leader="dot" w:pos="9355"/>
            </w:tabs>
          </w:pPr>
          <w:r>
            <w:rPr>
              <w:lang w:val="en-US" w:eastAsia="zh-CN"/>
            </w:rPr>
            <w:fldChar w:fldCharType="begin"/>
          </w:r>
          <w:r>
            <w:rPr>
              <w:lang w:val="en-US" w:eastAsia="zh-CN"/>
            </w:rPr>
            <w:instrText xml:space="preserve"> HYPERLINK \l _Toc18783 </w:instrText>
          </w:r>
          <w:r>
            <w:rPr>
              <w:lang w:val="en-US" w:eastAsia="zh-CN"/>
            </w:rPr>
            <w:fldChar w:fldCharType="separate"/>
          </w:r>
          <w:r>
            <w:t>3.1.1安全设施三同时程序符合性评价</w:t>
          </w:r>
          <w:r>
            <w:tab/>
          </w:r>
          <w:r>
            <w:fldChar w:fldCharType="begin"/>
          </w:r>
          <w:r>
            <w:instrText xml:space="preserve"> PAGEREF _Toc18783 \h </w:instrText>
          </w:r>
          <w:r>
            <w:fldChar w:fldCharType="separate"/>
          </w:r>
          <w:r>
            <w:t>78</w:t>
          </w:r>
          <w:r>
            <w:fldChar w:fldCharType="end"/>
          </w:r>
          <w:r>
            <w:rPr>
              <w:lang w:val="en-US" w:eastAsia="zh-CN"/>
            </w:rPr>
            <w:fldChar w:fldCharType="end"/>
          </w:r>
        </w:p>
        <w:p w14:paraId="6ADF8313">
          <w:pPr>
            <w:pStyle w:val="18"/>
            <w:tabs>
              <w:tab w:val="right" w:leader="dot" w:pos="9355"/>
            </w:tabs>
          </w:pPr>
          <w:r>
            <w:rPr>
              <w:lang w:val="en-US" w:eastAsia="zh-CN"/>
            </w:rPr>
            <w:fldChar w:fldCharType="begin"/>
          </w:r>
          <w:r>
            <w:rPr>
              <w:lang w:val="en-US" w:eastAsia="zh-CN"/>
            </w:rPr>
            <w:instrText xml:space="preserve"> HYPERLINK \l _Toc4565 </w:instrText>
          </w:r>
          <w:r>
            <w:rPr>
              <w:lang w:val="en-US" w:eastAsia="zh-CN"/>
            </w:rPr>
            <w:fldChar w:fldCharType="separate"/>
          </w:r>
          <w:r>
            <w:t>3.1.2单元小结</w:t>
          </w:r>
          <w:r>
            <w:tab/>
          </w:r>
          <w:r>
            <w:fldChar w:fldCharType="begin"/>
          </w:r>
          <w:r>
            <w:instrText xml:space="preserve"> PAGEREF _Toc4565 \h </w:instrText>
          </w:r>
          <w:r>
            <w:fldChar w:fldCharType="separate"/>
          </w:r>
          <w:r>
            <w:t>80</w:t>
          </w:r>
          <w:r>
            <w:fldChar w:fldCharType="end"/>
          </w:r>
          <w:r>
            <w:rPr>
              <w:lang w:val="en-US" w:eastAsia="zh-CN"/>
            </w:rPr>
            <w:fldChar w:fldCharType="end"/>
          </w:r>
        </w:p>
        <w:p w14:paraId="05404B4C">
          <w:pPr>
            <w:pStyle w:val="27"/>
            <w:tabs>
              <w:tab w:val="right" w:leader="dot" w:pos="9355"/>
            </w:tabs>
          </w:pPr>
          <w:r>
            <w:rPr>
              <w:lang w:val="en-US" w:eastAsia="zh-CN"/>
            </w:rPr>
            <w:fldChar w:fldCharType="begin"/>
          </w:r>
          <w:r>
            <w:rPr>
              <w:lang w:val="en-US" w:eastAsia="zh-CN"/>
            </w:rPr>
            <w:instrText xml:space="preserve"> HYPERLINK \l _Toc21132 </w:instrText>
          </w:r>
          <w:r>
            <w:rPr>
              <w:lang w:val="en-US" w:eastAsia="zh-CN"/>
            </w:rPr>
            <w:fldChar w:fldCharType="separate"/>
          </w:r>
          <w:r>
            <w:t>3.2露天采场</w:t>
          </w:r>
          <w:r>
            <w:tab/>
          </w:r>
          <w:r>
            <w:fldChar w:fldCharType="begin"/>
          </w:r>
          <w:r>
            <w:instrText xml:space="preserve"> PAGEREF _Toc21132 \h </w:instrText>
          </w:r>
          <w:r>
            <w:fldChar w:fldCharType="separate"/>
          </w:r>
          <w:r>
            <w:t>81</w:t>
          </w:r>
          <w:r>
            <w:fldChar w:fldCharType="end"/>
          </w:r>
          <w:r>
            <w:rPr>
              <w:lang w:val="en-US" w:eastAsia="zh-CN"/>
            </w:rPr>
            <w:fldChar w:fldCharType="end"/>
          </w:r>
        </w:p>
        <w:p w14:paraId="48C72FD9">
          <w:pPr>
            <w:pStyle w:val="18"/>
            <w:tabs>
              <w:tab w:val="right" w:leader="dot" w:pos="9355"/>
            </w:tabs>
          </w:pPr>
          <w:r>
            <w:rPr>
              <w:lang w:val="en-US" w:eastAsia="zh-CN"/>
            </w:rPr>
            <w:fldChar w:fldCharType="begin"/>
          </w:r>
          <w:r>
            <w:rPr>
              <w:lang w:val="en-US" w:eastAsia="zh-CN"/>
            </w:rPr>
            <w:instrText xml:space="preserve"> HYPERLINK \l _Toc24785 </w:instrText>
          </w:r>
          <w:r>
            <w:rPr>
              <w:lang w:val="en-US" w:eastAsia="zh-CN"/>
            </w:rPr>
            <w:fldChar w:fldCharType="separate"/>
          </w:r>
          <w:r>
            <w:t>3.2.1露天采场子单元符合性评价</w:t>
          </w:r>
          <w:r>
            <w:tab/>
          </w:r>
          <w:r>
            <w:fldChar w:fldCharType="begin"/>
          </w:r>
          <w:r>
            <w:instrText xml:space="preserve"> PAGEREF _Toc24785 \h </w:instrText>
          </w:r>
          <w:r>
            <w:fldChar w:fldCharType="separate"/>
          </w:r>
          <w:r>
            <w:t>81</w:t>
          </w:r>
          <w:r>
            <w:fldChar w:fldCharType="end"/>
          </w:r>
          <w:r>
            <w:rPr>
              <w:lang w:val="en-US" w:eastAsia="zh-CN"/>
            </w:rPr>
            <w:fldChar w:fldCharType="end"/>
          </w:r>
        </w:p>
        <w:p w14:paraId="5E89BA24">
          <w:pPr>
            <w:pStyle w:val="18"/>
            <w:tabs>
              <w:tab w:val="right" w:leader="dot" w:pos="9355"/>
            </w:tabs>
          </w:pPr>
          <w:r>
            <w:rPr>
              <w:lang w:val="en-US" w:eastAsia="zh-CN"/>
            </w:rPr>
            <w:fldChar w:fldCharType="begin"/>
          </w:r>
          <w:r>
            <w:rPr>
              <w:lang w:val="en-US" w:eastAsia="zh-CN"/>
            </w:rPr>
            <w:instrText xml:space="preserve"> HYPERLINK \l _Toc10423 </w:instrText>
          </w:r>
          <w:r>
            <w:rPr>
              <w:lang w:val="en-US" w:eastAsia="zh-CN"/>
            </w:rPr>
            <w:fldChar w:fldCharType="separate"/>
          </w:r>
          <w:r>
            <w:rPr>
              <w:lang w:val="en-US" w:eastAsia="en-US"/>
            </w:rPr>
            <w:t>3.2.2采剥工艺子单元符合性评价</w:t>
          </w:r>
          <w:r>
            <w:tab/>
          </w:r>
          <w:r>
            <w:fldChar w:fldCharType="begin"/>
          </w:r>
          <w:r>
            <w:instrText xml:space="preserve"> PAGEREF _Toc10423 \h </w:instrText>
          </w:r>
          <w:r>
            <w:fldChar w:fldCharType="separate"/>
          </w:r>
          <w:r>
            <w:t>83</w:t>
          </w:r>
          <w:r>
            <w:fldChar w:fldCharType="end"/>
          </w:r>
          <w:r>
            <w:rPr>
              <w:lang w:val="en-US" w:eastAsia="zh-CN"/>
            </w:rPr>
            <w:fldChar w:fldCharType="end"/>
          </w:r>
        </w:p>
        <w:p w14:paraId="42395278">
          <w:pPr>
            <w:pStyle w:val="18"/>
            <w:tabs>
              <w:tab w:val="right" w:leader="dot" w:pos="9355"/>
            </w:tabs>
          </w:pPr>
          <w:r>
            <w:rPr>
              <w:lang w:val="en-US" w:eastAsia="zh-CN"/>
            </w:rPr>
            <w:fldChar w:fldCharType="begin"/>
          </w:r>
          <w:r>
            <w:rPr>
              <w:lang w:val="en-US" w:eastAsia="zh-CN"/>
            </w:rPr>
            <w:instrText xml:space="preserve"> HYPERLINK \l _Toc3344 </w:instrText>
          </w:r>
          <w:r>
            <w:rPr>
              <w:lang w:val="en-US" w:eastAsia="zh-CN"/>
            </w:rPr>
            <w:fldChar w:fldCharType="separate"/>
          </w:r>
          <w:r>
            <w:t>3.2.</w:t>
          </w:r>
          <w:r>
            <w:rPr>
              <w:rFonts w:hint="eastAsia"/>
              <w:lang w:val="en-US" w:eastAsia="zh-CN"/>
            </w:rPr>
            <w:t>3</w:t>
          </w:r>
          <w:r>
            <w:t>铲装作业子单元符合性评价</w:t>
          </w:r>
          <w:r>
            <w:tab/>
          </w:r>
          <w:r>
            <w:fldChar w:fldCharType="begin"/>
          </w:r>
          <w:r>
            <w:instrText xml:space="preserve"> PAGEREF _Toc3344 \h </w:instrText>
          </w:r>
          <w:r>
            <w:fldChar w:fldCharType="separate"/>
          </w:r>
          <w:r>
            <w:t>84</w:t>
          </w:r>
          <w:r>
            <w:fldChar w:fldCharType="end"/>
          </w:r>
          <w:r>
            <w:rPr>
              <w:lang w:val="en-US" w:eastAsia="zh-CN"/>
            </w:rPr>
            <w:fldChar w:fldCharType="end"/>
          </w:r>
        </w:p>
        <w:p w14:paraId="47F0884C">
          <w:pPr>
            <w:pStyle w:val="18"/>
            <w:tabs>
              <w:tab w:val="right" w:leader="dot" w:pos="9355"/>
            </w:tabs>
          </w:pPr>
          <w:r>
            <w:rPr>
              <w:lang w:val="en-US" w:eastAsia="zh-CN"/>
            </w:rPr>
            <w:fldChar w:fldCharType="begin"/>
          </w:r>
          <w:r>
            <w:rPr>
              <w:lang w:val="en-US" w:eastAsia="zh-CN"/>
            </w:rPr>
            <w:instrText xml:space="preserve"> HYPERLINK \l _Toc12120 </w:instrText>
          </w:r>
          <w:r>
            <w:rPr>
              <w:lang w:val="en-US" w:eastAsia="zh-CN"/>
            </w:rPr>
            <w:fldChar w:fldCharType="separate"/>
          </w:r>
          <w:r>
            <w:rPr>
              <w:lang w:val="en-US" w:eastAsia="en-US"/>
            </w:rPr>
            <w:t>3.2.</w:t>
          </w:r>
          <w:r>
            <w:rPr>
              <w:rFonts w:hint="eastAsia"/>
              <w:lang w:val="en-US" w:eastAsia="zh-CN"/>
            </w:rPr>
            <w:t>4</w:t>
          </w:r>
          <w:r>
            <w:rPr>
              <w:lang w:val="en-US" w:eastAsia="en-US"/>
            </w:rPr>
            <w:t>单元小结</w:t>
          </w:r>
          <w:r>
            <w:tab/>
          </w:r>
          <w:r>
            <w:fldChar w:fldCharType="begin"/>
          </w:r>
          <w:r>
            <w:instrText xml:space="preserve"> PAGEREF _Toc12120 \h </w:instrText>
          </w:r>
          <w:r>
            <w:fldChar w:fldCharType="separate"/>
          </w:r>
          <w:r>
            <w:t>85</w:t>
          </w:r>
          <w:r>
            <w:fldChar w:fldCharType="end"/>
          </w:r>
          <w:r>
            <w:rPr>
              <w:lang w:val="en-US" w:eastAsia="zh-CN"/>
            </w:rPr>
            <w:fldChar w:fldCharType="end"/>
          </w:r>
        </w:p>
        <w:p w14:paraId="4C6EFBE2">
          <w:pPr>
            <w:pStyle w:val="27"/>
            <w:tabs>
              <w:tab w:val="right" w:leader="dot" w:pos="9355"/>
            </w:tabs>
          </w:pPr>
          <w:r>
            <w:rPr>
              <w:lang w:val="en-US" w:eastAsia="zh-CN"/>
            </w:rPr>
            <w:fldChar w:fldCharType="begin"/>
          </w:r>
          <w:r>
            <w:rPr>
              <w:lang w:val="en-US" w:eastAsia="zh-CN"/>
            </w:rPr>
            <w:instrText xml:space="preserve"> HYPERLINK \l _Toc4154 </w:instrText>
          </w:r>
          <w:r>
            <w:rPr>
              <w:lang w:val="en-US" w:eastAsia="zh-CN"/>
            </w:rPr>
            <w:fldChar w:fldCharType="separate"/>
          </w:r>
          <w:r>
            <w:t>3.3采场防排水</w:t>
          </w:r>
          <w:r>
            <w:tab/>
          </w:r>
          <w:r>
            <w:fldChar w:fldCharType="begin"/>
          </w:r>
          <w:r>
            <w:instrText xml:space="preserve"> PAGEREF _Toc4154 \h </w:instrText>
          </w:r>
          <w:r>
            <w:fldChar w:fldCharType="separate"/>
          </w:r>
          <w:r>
            <w:t>86</w:t>
          </w:r>
          <w:r>
            <w:fldChar w:fldCharType="end"/>
          </w:r>
          <w:r>
            <w:rPr>
              <w:lang w:val="en-US" w:eastAsia="zh-CN"/>
            </w:rPr>
            <w:fldChar w:fldCharType="end"/>
          </w:r>
        </w:p>
        <w:p w14:paraId="771B0F68">
          <w:pPr>
            <w:pStyle w:val="18"/>
            <w:tabs>
              <w:tab w:val="right" w:leader="dot" w:pos="9355"/>
            </w:tabs>
          </w:pPr>
          <w:r>
            <w:rPr>
              <w:lang w:val="en-US" w:eastAsia="zh-CN"/>
            </w:rPr>
            <w:fldChar w:fldCharType="begin"/>
          </w:r>
          <w:r>
            <w:rPr>
              <w:lang w:val="en-US" w:eastAsia="zh-CN"/>
            </w:rPr>
            <w:instrText xml:space="preserve"> HYPERLINK \l _Toc13651 </w:instrText>
          </w:r>
          <w:r>
            <w:rPr>
              <w:lang w:val="en-US" w:eastAsia="zh-CN"/>
            </w:rPr>
            <w:fldChar w:fldCharType="separate"/>
          </w:r>
          <w:r>
            <w:t>3.3.1采场防排水</w:t>
          </w:r>
          <w:r>
            <w:rPr>
              <w:rFonts w:hint="eastAsia"/>
              <w:lang w:val="en-US" w:eastAsia="zh-CN"/>
            </w:rPr>
            <w:t>系统</w:t>
          </w:r>
          <w:r>
            <w:t>符合性评价</w:t>
          </w:r>
          <w:r>
            <w:tab/>
          </w:r>
          <w:r>
            <w:fldChar w:fldCharType="begin"/>
          </w:r>
          <w:r>
            <w:instrText xml:space="preserve"> PAGEREF _Toc13651 \h </w:instrText>
          </w:r>
          <w:r>
            <w:fldChar w:fldCharType="separate"/>
          </w:r>
          <w:r>
            <w:t>86</w:t>
          </w:r>
          <w:r>
            <w:fldChar w:fldCharType="end"/>
          </w:r>
          <w:r>
            <w:rPr>
              <w:lang w:val="en-US" w:eastAsia="zh-CN"/>
            </w:rPr>
            <w:fldChar w:fldCharType="end"/>
          </w:r>
        </w:p>
        <w:p w14:paraId="069F80A1">
          <w:pPr>
            <w:pStyle w:val="18"/>
            <w:tabs>
              <w:tab w:val="right" w:leader="dot" w:pos="9355"/>
            </w:tabs>
          </w:pPr>
          <w:r>
            <w:rPr>
              <w:lang w:val="en-US" w:eastAsia="zh-CN"/>
            </w:rPr>
            <w:fldChar w:fldCharType="begin"/>
          </w:r>
          <w:r>
            <w:rPr>
              <w:lang w:val="en-US" w:eastAsia="zh-CN"/>
            </w:rPr>
            <w:instrText xml:space="preserve"> HYPERLINK \l _Toc20986 </w:instrText>
          </w:r>
          <w:r>
            <w:rPr>
              <w:lang w:val="en-US" w:eastAsia="zh-CN"/>
            </w:rPr>
            <w:fldChar w:fldCharType="separate"/>
          </w:r>
          <w:r>
            <w:t>3.3.2单元小结</w:t>
          </w:r>
          <w:r>
            <w:tab/>
          </w:r>
          <w:r>
            <w:fldChar w:fldCharType="begin"/>
          </w:r>
          <w:r>
            <w:instrText xml:space="preserve"> PAGEREF _Toc20986 \h </w:instrText>
          </w:r>
          <w:r>
            <w:fldChar w:fldCharType="separate"/>
          </w:r>
          <w:r>
            <w:t>89</w:t>
          </w:r>
          <w:r>
            <w:fldChar w:fldCharType="end"/>
          </w:r>
          <w:r>
            <w:rPr>
              <w:lang w:val="en-US" w:eastAsia="zh-CN"/>
            </w:rPr>
            <w:fldChar w:fldCharType="end"/>
          </w:r>
        </w:p>
        <w:p w14:paraId="72323B6A">
          <w:pPr>
            <w:pStyle w:val="27"/>
            <w:tabs>
              <w:tab w:val="right" w:leader="dot" w:pos="9355"/>
            </w:tabs>
          </w:pPr>
          <w:r>
            <w:rPr>
              <w:lang w:val="en-US" w:eastAsia="zh-CN"/>
            </w:rPr>
            <w:fldChar w:fldCharType="begin"/>
          </w:r>
          <w:r>
            <w:rPr>
              <w:lang w:val="en-US" w:eastAsia="zh-CN"/>
            </w:rPr>
            <w:instrText xml:space="preserve"> HYPERLINK \l _Toc28317 </w:instrText>
          </w:r>
          <w:r>
            <w:rPr>
              <w:lang w:val="en-US" w:eastAsia="zh-CN"/>
            </w:rPr>
            <w:fldChar w:fldCharType="separate"/>
          </w:r>
          <w:r>
            <w:t>3.4矿岩运输</w:t>
          </w:r>
          <w:r>
            <w:tab/>
          </w:r>
          <w:r>
            <w:fldChar w:fldCharType="begin"/>
          </w:r>
          <w:r>
            <w:instrText xml:space="preserve"> PAGEREF _Toc28317 \h </w:instrText>
          </w:r>
          <w:r>
            <w:fldChar w:fldCharType="separate"/>
          </w:r>
          <w:r>
            <w:t>90</w:t>
          </w:r>
          <w:r>
            <w:fldChar w:fldCharType="end"/>
          </w:r>
          <w:r>
            <w:rPr>
              <w:lang w:val="en-US" w:eastAsia="zh-CN"/>
            </w:rPr>
            <w:fldChar w:fldCharType="end"/>
          </w:r>
        </w:p>
        <w:p w14:paraId="574CD719">
          <w:pPr>
            <w:pStyle w:val="18"/>
            <w:tabs>
              <w:tab w:val="right" w:leader="dot" w:pos="9355"/>
            </w:tabs>
          </w:pPr>
          <w:r>
            <w:rPr>
              <w:lang w:val="en-US" w:eastAsia="zh-CN"/>
            </w:rPr>
            <w:fldChar w:fldCharType="begin"/>
          </w:r>
          <w:r>
            <w:rPr>
              <w:lang w:val="en-US" w:eastAsia="zh-CN"/>
            </w:rPr>
            <w:instrText xml:space="preserve"> HYPERLINK \l _Toc15775 </w:instrText>
          </w:r>
          <w:r>
            <w:rPr>
              <w:lang w:val="en-US" w:eastAsia="zh-CN"/>
            </w:rPr>
            <w:fldChar w:fldCharType="separate"/>
          </w:r>
          <w:r>
            <w:t>3.4.1矿岩运输系统符合性评价</w:t>
          </w:r>
          <w:r>
            <w:tab/>
          </w:r>
          <w:r>
            <w:fldChar w:fldCharType="begin"/>
          </w:r>
          <w:r>
            <w:instrText xml:space="preserve"> PAGEREF _Toc15775 \h </w:instrText>
          </w:r>
          <w:r>
            <w:fldChar w:fldCharType="separate"/>
          </w:r>
          <w:r>
            <w:t>90</w:t>
          </w:r>
          <w:r>
            <w:fldChar w:fldCharType="end"/>
          </w:r>
          <w:r>
            <w:rPr>
              <w:lang w:val="en-US" w:eastAsia="zh-CN"/>
            </w:rPr>
            <w:fldChar w:fldCharType="end"/>
          </w:r>
        </w:p>
        <w:p w14:paraId="2205B988">
          <w:pPr>
            <w:pStyle w:val="18"/>
            <w:tabs>
              <w:tab w:val="right" w:leader="dot" w:pos="9355"/>
            </w:tabs>
          </w:pPr>
          <w:r>
            <w:rPr>
              <w:lang w:val="en-US" w:eastAsia="zh-CN"/>
            </w:rPr>
            <w:fldChar w:fldCharType="begin"/>
          </w:r>
          <w:r>
            <w:rPr>
              <w:lang w:val="en-US" w:eastAsia="zh-CN"/>
            </w:rPr>
            <w:instrText xml:space="preserve"> HYPERLINK \l _Toc11210 </w:instrText>
          </w:r>
          <w:r>
            <w:rPr>
              <w:lang w:val="en-US" w:eastAsia="zh-CN"/>
            </w:rPr>
            <w:fldChar w:fldCharType="separate"/>
          </w:r>
          <w:r>
            <w:t>3.4.2单元小结</w:t>
          </w:r>
          <w:r>
            <w:tab/>
          </w:r>
          <w:r>
            <w:fldChar w:fldCharType="begin"/>
          </w:r>
          <w:r>
            <w:instrText xml:space="preserve"> PAGEREF _Toc11210 \h </w:instrText>
          </w:r>
          <w:r>
            <w:fldChar w:fldCharType="separate"/>
          </w:r>
          <w:r>
            <w:t>96</w:t>
          </w:r>
          <w:r>
            <w:fldChar w:fldCharType="end"/>
          </w:r>
          <w:r>
            <w:rPr>
              <w:lang w:val="en-US" w:eastAsia="zh-CN"/>
            </w:rPr>
            <w:fldChar w:fldCharType="end"/>
          </w:r>
        </w:p>
        <w:p w14:paraId="0D2D4625">
          <w:pPr>
            <w:pStyle w:val="27"/>
            <w:tabs>
              <w:tab w:val="right" w:leader="dot" w:pos="9355"/>
            </w:tabs>
          </w:pPr>
          <w:r>
            <w:rPr>
              <w:lang w:val="en-US" w:eastAsia="zh-CN"/>
            </w:rPr>
            <w:fldChar w:fldCharType="begin"/>
          </w:r>
          <w:r>
            <w:rPr>
              <w:lang w:val="en-US" w:eastAsia="zh-CN"/>
            </w:rPr>
            <w:instrText xml:space="preserve"> HYPERLINK \l _Toc12770 </w:instrText>
          </w:r>
          <w:r>
            <w:rPr>
              <w:lang w:val="en-US" w:eastAsia="zh-CN"/>
            </w:rPr>
            <w:fldChar w:fldCharType="separate"/>
          </w:r>
          <w:r>
            <w:t>3.5供配电</w:t>
          </w:r>
          <w:r>
            <w:tab/>
          </w:r>
          <w:r>
            <w:fldChar w:fldCharType="begin"/>
          </w:r>
          <w:r>
            <w:instrText xml:space="preserve"> PAGEREF _Toc12770 \h </w:instrText>
          </w:r>
          <w:r>
            <w:fldChar w:fldCharType="separate"/>
          </w:r>
          <w:r>
            <w:t>96</w:t>
          </w:r>
          <w:r>
            <w:fldChar w:fldCharType="end"/>
          </w:r>
          <w:r>
            <w:rPr>
              <w:lang w:val="en-US" w:eastAsia="zh-CN"/>
            </w:rPr>
            <w:fldChar w:fldCharType="end"/>
          </w:r>
        </w:p>
        <w:p w14:paraId="06D010C8">
          <w:pPr>
            <w:pStyle w:val="18"/>
            <w:tabs>
              <w:tab w:val="right" w:leader="dot" w:pos="9355"/>
            </w:tabs>
          </w:pPr>
          <w:r>
            <w:rPr>
              <w:lang w:val="en-US" w:eastAsia="zh-CN"/>
            </w:rPr>
            <w:fldChar w:fldCharType="begin"/>
          </w:r>
          <w:r>
            <w:rPr>
              <w:lang w:val="en-US" w:eastAsia="zh-CN"/>
            </w:rPr>
            <w:instrText xml:space="preserve"> HYPERLINK \l _Toc18244 </w:instrText>
          </w:r>
          <w:r>
            <w:rPr>
              <w:lang w:val="en-US" w:eastAsia="zh-CN"/>
            </w:rPr>
            <w:fldChar w:fldCharType="separate"/>
          </w:r>
          <w:r>
            <w:t>3.5.1供配电</w:t>
          </w:r>
          <w:r>
            <w:rPr>
              <w:rFonts w:hint="eastAsia"/>
              <w:lang w:val="en-US" w:eastAsia="zh-CN"/>
            </w:rPr>
            <w:t>系统</w:t>
          </w:r>
          <w:r>
            <w:t>符合性评价</w:t>
          </w:r>
          <w:r>
            <w:tab/>
          </w:r>
          <w:r>
            <w:fldChar w:fldCharType="begin"/>
          </w:r>
          <w:r>
            <w:instrText xml:space="preserve"> PAGEREF _Toc18244 \h </w:instrText>
          </w:r>
          <w:r>
            <w:fldChar w:fldCharType="separate"/>
          </w:r>
          <w:r>
            <w:t>96</w:t>
          </w:r>
          <w:r>
            <w:fldChar w:fldCharType="end"/>
          </w:r>
          <w:r>
            <w:rPr>
              <w:lang w:val="en-US" w:eastAsia="zh-CN"/>
            </w:rPr>
            <w:fldChar w:fldCharType="end"/>
          </w:r>
        </w:p>
        <w:p w14:paraId="1BA1B9E6">
          <w:pPr>
            <w:pStyle w:val="18"/>
            <w:tabs>
              <w:tab w:val="right" w:leader="dot" w:pos="9355"/>
            </w:tabs>
          </w:pPr>
          <w:r>
            <w:rPr>
              <w:lang w:val="en-US" w:eastAsia="zh-CN"/>
            </w:rPr>
            <w:fldChar w:fldCharType="begin"/>
          </w:r>
          <w:r>
            <w:rPr>
              <w:lang w:val="en-US" w:eastAsia="zh-CN"/>
            </w:rPr>
            <w:instrText xml:space="preserve"> HYPERLINK \l _Toc978 </w:instrText>
          </w:r>
          <w:r>
            <w:rPr>
              <w:lang w:val="en-US" w:eastAsia="zh-CN"/>
            </w:rPr>
            <w:fldChar w:fldCharType="separate"/>
          </w:r>
          <w:r>
            <w:t>3.5.2单元小结</w:t>
          </w:r>
          <w:r>
            <w:tab/>
          </w:r>
          <w:r>
            <w:fldChar w:fldCharType="begin"/>
          </w:r>
          <w:r>
            <w:instrText xml:space="preserve"> PAGEREF _Toc978 \h </w:instrText>
          </w:r>
          <w:r>
            <w:fldChar w:fldCharType="separate"/>
          </w:r>
          <w:r>
            <w:t>99</w:t>
          </w:r>
          <w:r>
            <w:fldChar w:fldCharType="end"/>
          </w:r>
          <w:r>
            <w:rPr>
              <w:lang w:val="en-US" w:eastAsia="zh-CN"/>
            </w:rPr>
            <w:fldChar w:fldCharType="end"/>
          </w:r>
        </w:p>
        <w:p w14:paraId="56D3DF3D">
          <w:pPr>
            <w:pStyle w:val="27"/>
            <w:tabs>
              <w:tab w:val="right" w:leader="dot" w:pos="9355"/>
            </w:tabs>
          </w:pPr>
          <w:r>
            <w:rPr>
              <w:lang w:val="en-US" w:eastAsia="zh-CN"/>
            </w:rPr>
            <w:fldChar w:fldCharType="begin"/>
          </w:r>
          <w:r>
            <w:rPr>
              <w:lang w:val="en-US" w:eastAsia="zh-CN"/>
            </w:rPr>
            <w:instrText xml:space="preserve"> HYPERLINK \l _Toc15611 </w:instrText>
          </w:r>
          <w:r>
            <w:rPr>
              <w:lang w:val="en-US" w:eastAsia="zh-CN"/>
            </w:rPr>
            <w:fldChar w:fldCharType="separate"/>
          </w:r>
          <w:r>
            <w:t>3.6总平面布置</w:t>
          </w:r>
          <w:r>
            <w:tab/>
          </w:r>
          <w:r>
            <w:fldChar w:fldCharType="begin"/>
          </w:r>
          <w:r>
            <w:instrText xml:space="preserve"> PAGEREF _Toc15611 \h </w:instrText>
          </w:r>
          <w:r>
            <w:fldChar w:fldCharType="separate"/>
          </w:r>
          <w:r>
            <w:t>99</w:t>
          </w:r>
          <w:r>
            <w:fldChar w:fldCharType="end"/>
          </w:r>
          <w:r>
            <w:rPr>
              <w:lang w:val="en-US" w:eastAsia="zh-CN"/>
            </w:rPr>
            <w:fldChar w:fldCharType="end"/>
          </w:r>
        </w:p>
        <w:p w14:paraId="3206A7F6">
          <w:pPr>
            <w:pStyle w:val="18"/>
            <w:tabs>
              <w:tab w:val="right" w:leader="dot" w:pos="9355"/>
            </w:tabs>
          </w:pPr>
          <w:r>
            <w:rPr>
              <w:lang w:val="en-US" w:eastAsia="zh-CN"/>
            </w:rPr>
            <w:fldChar w:fldCharType="begin"/>
          </w:r>
          <w:r>
            <w:rPr>
              <w:lang w:val="en-US" w:eastAsia="zh-CN"/>
            </w:rPr>
            <w:instrText xml:space="preserve"> HYPERLINK \l _Toc22070 </w:instrText>
          </w:r>
          <w:r>
            <w:rPr>
              <w:lang w:val="en-US" w:eastAsia="zh-CN"/>
            </w:rPr>
            <w:fldChar w:fldCharType="separate"/>
          </w:r>
          <w:r>
            <w:rPr>
              <w:lang w:val="en-US" w:eastAsia="zh-CN"/>
            </w:rPr>
            <w:t>3.6.1工业场地</w:t>
          </w:r>
          <w:r>
            <w:tab/>
          </w:r>
          <w:r>
            <w:fldChar w:fldCharType="begin"/>
          </w:r>
          <w:r>
            <w:instrText xml:space="preserve"> PAGEREF _Toc22070 \h </w:instrText>
          </w:r>
          <w:r>
            <w:fldChar w:fldCharType="separate"/>
          </w:r>
          <w:r>
            <w:t>99</w:t>
          </w:r>
          <w:r>
            <w:fldChar w:fldCharType="end"/>
          </w:r>
          <w:r>
            <w:rPr>
              <w:lang w:val="en-US" w:eastAsia="zh-CN"/>
            </w:rPr>
            <w:fldChar w:fldCharType="end"/>
          </w:r>
        </w:p>
        <w:p w14:paraId="7FBF6838">
          <w:pPr>
            <w:pStyle w:val="18"/>
            <w:tabs>
              <w:tab w:val="right" w:leader="dot" w:pos="9355"/>
            </w:tabs>
          </w:pPr>
          <w:r>
            <w:rPr>
              <w:lang w:val="en-US" w:eastAsia="zh-CN"/>
            </w:rPr>
            <w:fldChar w:fldCharType="begin"/>
          </w:r>
          <w:r>
            <w:rPr>
              <w:lang w:val="en-US" w:eastAsia="zh-CN"/>
            </w:rPr>
            <w:instrText xml:space="preserve"> HYPERLINK \l _Toc18636 </w:instrText>
          </w:r>
          <w:r>
            <w:rPr>
              <w:lang w:val="en-US" w:eastAsia="zh-CN"/>
            </w:rPr>
            <w:fldChar w:fldCharType="separate"/>
          </w:r>
          <w:r>
            <w:rPr>
              <w:lang w:val="en-US" w:eastAsia="zh-CN"/>
            </w:rPr>
            <w:t>3.6.</w:t>
          </w:r>
          <w:r>
            <w:rPr>
              <w:rFonts w:hint="eastAsia"/>
              <w:lang w:val="en-US" w:eastAsia="zh-CN"/>
            </w:rPr>
            <w:t>2</w:t>
          </w:r>
          <w:r>
            <w:t>建（构）筑物防火</w:t>
          </w:r>
          <w:r>
            <w:rPr>
              <w:rFonts w:hint="eastAsia"/>
              <w:lang w:val="en-US" w:eastAsia="zh-CN"/>
            </w:rPr>
            <w:t>和防</w:t>
          </w:r>
          <w:r>
            <w:rPr>
              <w:lang w:val="en-US" w:eastAsia="en-US"/>
            </w:rPr>
            <w:t>洪水、泥石流</w:t>
          </w:r>
          <w:r>
            <w:tab/>
          </w:r>
          <w:r>
            <w:fldChar w:fldCharType="begin"/>
          </w:r>
          <w:r>
            <w:instrText xml:space="preserve"> PAGEREF _Toc18636 \h </w:instrText>
          </w:r>
          <w:r>
            <w:fldChar w:fldCharType="separate"/>
          </w:r>
          <w:r>
            <w:t>102</w:t>
          </w:r>
          <w:r>
            <w:fldChar w:fldCharType="end"/>
          </w:r>
          <w:r>
            <w:rPr>
              <w:lang w:val="en-US" w:eastAsia="zh-CN"/>
            </w:rPr>
            <w:fldChar w:fldCharType="end"/>
          </w:r>
        </w:p>
        <w:p w14:paraId="4A40B74E">
          <w:pPr>
            <w:pStyle w:val="18"/>
            <w:tabs>
              <w:tab w:val="right" w:leader="dot" w:pos="9355"/>
            </w:tabs>
          </w:pPr>
          <w:r>
            <w:rPr>
              <w:lang w:val="en-US" w:eastAsia="zh-CN"/>
            </w:rPr>
            <w:fldChar w:fldCharType="begin"/>
          </w:r>
          <w:r>
            <w:rPr>
              <w:lang w:val="en-US" w:eastAsia="zh-CN"/>
            </w:rPr>
            <w:instrText xml:space="preserve"> HYPERLINK \l _Toc20711 </w:instrText>
          </w:r>
          <w:r>
            <w:rPr>
              <w:lang w:val="en-US" w:eastAsia="zh-CN"/>
            </w:rPr>
            <w:fldChar w:fldCharType="separate"/>
          </w:r>
          <w:r>
            <w:t>3.6.</w:t>
          </w:r>
          <w:r>
            <w:rPr>
              <w:rFonts w:hint="eastAsia"/>
              <w:lang w:val="en-US" w:eastAsia="zh-CN"/>
            </w:rPr>
            <w:t>3</w:t>
          </w:r>
          <w:r>
            <w:t>单元小结</w:t>
          </w:r>
          <w:r>
            <w:tab/>
          </w:r>
          <w:r>
            <w:fldChar w:fldCharType="begin"/>
          </w:r>
          <w:r>
            <w:instrText xml:space="preserve"> PAGEREF _Toc20711 \h </w:instrText>
          </w:r>
          <w:r>
            <w:fldChar w:fldCharType="separate"/>
          </w:r>
          <w:r>
            <w:t>103</w:t>
          </w:r>
          <w:r>
            <w:fldChar w:fldCharType="end"/>
          </w:r>
          <w:r>
            <w:rPr>
              <w:lang w:val="en-US" w:eastAsia="zh-CN"/>
            </w:rPr>
            <w:fldChar w:fldCharType="end"/>
          </w:r>
        </w:p>
        <w:p w14:paraId="6B64421E">
          <w:pPr>
            <w:pStyle w:val="27"/>
            <w:tabs>
              <w:tab w:val="right" w:leader="dot" w:pos="9355"/>
            </w:tabs>
          </w:pPr>
          <w:r>
            <w:rPr>
              <w:lang w:val="en-US" w:eastAsia="zh-CN"/>
            </w:rPr>
            <w:fldChar w:fldCharType="begin"/>
          </w:r>
          <w:r>
            <w:rPr>
              <w:lang w:val="en-US" w:eastAsia="zh-CN"/>
            </w:rPr>
            <w:instrText xml:space="preserve"> HYPERLINK \l _Toc2292 </w:instrText>
          </w:r>
          <w:r>
            <w:rPr>
              <w:lang w:val="en-US" w:eastAsia="zh-CN"/>
            </w:rPr>
            <w:fldChar w:fldCharType="separate"/>
          </w:r>
          <w:r>
            <w:t>3.7通信系统</w:t>
          </w:r>
          <w:r>
            <w:tab/>
          </w:r>
          <w:r>
            <w:fldChar w:fldCharType="begin"/>
          </w:r>
          <w:r>
            <w:instrText xml:space="preserve"> PAGEREF _Toc2292 \h </w:instrText>
          </w:r>
          <w:r>
            <w:fldChar w:fldCharType="separate"/>
          </w:r>
          <w:r>
            <w:t>103</w:t>
          </w:r>
          <w:r>
            <w:fldChar w:fldCharType="end"/>
          </w:r>
          <w:r>
            <w:rPr>
              <w:lang w:val="en-US" w:eastAsia="zh-CN"/>
            </w:rPr>
            <w:fldChar w:fldCharType="end"/>
          </w:r>
        </w:p>
        <w:p w14:paraId="32459B89">
          <w:pPr>
            <w:pStyle w:val="18"/>
            <w:tabs>
              <w:tab w:val="right" w:leader="dot" w:pos="9355"/>
            </w:tabs>
          </w:pPr>
          <w:r>
            <w:rPr>
              <w:lang w:val="en-US" w:eastAsia="zh-CN"/>
            </w:rPr>
            <w:fldChar w:fldCharType="begin"/>
          </w:r>
          <w:r>
            <w:rPr>
              <w:lang w:val="en-US" w:eastAsia="zh-CN"/>
            </w:rPr>
            <w:instrText xml:space="preserve"> HYPERLINK \l _Toc24546 </w:instrText>
          </w:r>
          <w:r>
            <w:rPr>
              <w:lang w:val="en-US" w:eastAsia="zh-CN"/>
            </w:rPr>
            <w:fldChar w:fldCharType="separate"/>
          </w:r>
          <w:r>
            <w:t>3.7.1通信系统符合性安全检查表</w:t>
          </w:r>
          <w:r>
            <w:tab/>
          </w:r>
          <w:r>
            <w:fldChar w:fldCharType="begin"/>
          </w:r>
          <w:r>
            <w:instrText xml:space="preserve"> PAGEREF _Toc24546 \h </w:instrText>
          </w:r>
          <w:r>
            <w:fldChar w:fldCharType="separate"/>
          </w:r>
          <w:r>
            <w:t>103</w:t>
          </w:r>
          <w:r>
            <w:fldChar w:fldCharType="end"/>
          </w:r>
          <w:r>
            <w:rPr>
              <w:lang w:val="en-US" w:eastAsia="zh-CN"/>
            </w:rPr>
            <w:fldChar w:fldCharType="end"/>
          </w:r>
        </w:p>
        <w:p w14:paraId="36873383">
          <w:pPr>
            <w:pStyle w:val="18"/>
            <w:tabs>
              <w:tab w:val="right" w:leader="dot" w:pos="9355"/>
            </w:tabs>
          </w:pPr>
          <w:r>
            <w:rPr>
              <w:lang w:val="en-US" w:eastAsia="zh-CN"/>
            </w:rPr>
            <w:fldChar w:fldCharType="begin"/>
          </w:r>
          <w:r>
            <w:rPr>
              <w:lang w:val="en-US" w:eastAsia="zh-CN"/>
            </w:rPr>
            <w:instrText xml:space="preserve"> HYPERLINK \l _Toc19785 </w:instrText>
          </w:r>
          <w:r>
            <w:rPr>
              <w:lang w:val="en-US" w:eastAsia="zh-CN"/>
            </w:rPr>
            <w:fldChar w:fldCharType="separate"/>
          </w:r>
          <w:r>
            <w:t>3.7.2单元小结</w:t>
          </w:r>
          <w:r>
            <w:tab/>
          </w:r>
          <w:r>
            <w:fldChar w:fldCharType="begin"/>
          </w:r>
          <w:r>
            <w:instrText xml:space="preserve"> PAGEREF _Toc19785 \h </w:instrText>
          </w:r>
          <w:r>
            <w:fldChar w:fldCharType="separate"/>
          </w:r>
          <w:r>
            <w:t>104</w:t>
          </w:r>
          <w:r>
            <w:fldChar w:fldCharType="end"/>
          </w:r>
          <w:r>
            <w:rPr>
              <w:lang w:val="en-US" w:eastAsia="zh-CN"/>
            </w:rPr>
            <w:fldChar w:fldCharType="end"/>
          </w:r>
        </w:p>
        <w:p w14:paraId="7225FAD4">
          <w:pPr>
            <w:pStyle w:val="27"/>
            <w:tabs>
              <w:tab w:val="right" w:leader="dot" w:pos="9355"/>
            </w:tabs>
          </w:pPr>
          <w:r>
            <w:rPr>
              <w:lang w:val="en-US" w:eastAsia="zh-CN"/>
            </w:rPr>
            <w:fldChar w:fldCharType="begin"/>
          </w:r>
          <w:r>
            <w:rPr>
              <w:lang w:val="en-US" w:eastAsia="zh-CN"/>
            </w:rPr>
            <w:instrText xml:space="preserve"> HYPERLINK \l _Toc8240 </w:instrText>
          </w:r>
          <w:r>
            <w:rPr>
              <w:lang w:val="en-US" w:eastAsia="zh-CN"/>
            </w:rPr>
            <w:fldChar w:fldCharType="separate"/>
          </w:r>
          <w:r>
            <w:rPr>
              <w:rFonts w:hint="eastAsia"/>
              <w:lang w:val="en-US" w:eastAsia="zh-CN"/>
            </w:rPr>
            <w:t>3.8排土场</w:t>
          </w:r>
          <w:r>
            <w:tab/>
          </w:r>
          <w:r>
            <w:fldChar w:fldCharType="begin"/>
          </w:r>
          <w:r>
            <w:instrText xml:space="preserve"> PAGEREF _Toc8240 \h </w:instrText>
          </w:r>
          <w:r>
            <w:fldChar w:fldCharType="separate"/>
          </w:r>
          <w:r>
            <w:t>104</w:t>
          </w:r>
          <w:r>
            <w:fldChar w:fldCharType="end"/>
          </w:r>
          <w:r>
            <w:rPr>
              <w:lang w:val="en-US" w:eastAsia="zh-CN"/>
            </w:rPr>
            <w:fldChar w:fldCharType="end"/>
          </w:r>
        </w:p>
        <w:p w14:paraId="433E75D6">
          <w:pPr>
            <w:pStyle w:val="27"/>
            <w:tabs>
              <w:tab w:val="right" w:leader="dot" w:pos="9355"/>
            </w:tabs>
          </w:pPr>
          <w:r>
            <w:rPr>
              <w:lang w:val="en-US" w:eastAsia="zh-CN"/>
            </w:rPr>
            <w:fldChar w:fldCharType="begin"/>
          </w:r>
          <w:r>
            <w:rPr>
              <w:lang w:val="en-US" w:eastAsia="zh-CN"/>
            </w:rPr>
            <w:instrText xml:space="preserve"> HYPERLINK \l _Toc16659 </w:instrText>
          </w:r>
          <w:r>
            <w:rPr>
              <w:lang w:val="en-US" w:eastAsia="zh-CN"/>
            </w:rPr>
            <w:fldChar w:fldCharType="separate"/>
          </w:r>
          <w:r>
            <w:rPr>
              <w:lang w:val="en-US" w:eastAsia="en-US"/>
            </w:rPr>
            <w:t>3.</w:t>
          </w:r>
          <w:r>
            <w:rPr>
              <w:rFonts w:hint="eastAsia"/>
              <w:lang w:val="en-US" w:eastAsia="zh-CN"/>
            </w:rPr>
            <w:t>9</w:t>
          </w:r>
          <w:r>
            <w:rPr>
              <w:lang w:val="en-US" w:eastAsia="en-US"/>
            </w:rPr>
            <w:t>破碎系统</w:t>
          </w:r>
          <w:r>
            <w:tab/>
          </w:r>
          <w:r>
            <w:fldChar w:fldCharType="begin"/>
          </w:r>
          <w:r>
            <w:instrText xml:space="preserve"> PAGEREF _Toc16659 \h </w:instrText>
          </w:r>
          <w:r>
            <w:fldChar w:fldCharType="separate"/>
          </w:r>
          <w:r>
            <w:t>105</w:t>
          </w:r>
          <w:r>
            <w:fldChar w:fldCharType="end"/>
          </w:r>
          <w:r>
            <w:rPr>
              <w:lang w:val="en-US" w:eastAsia="zh-CN"/>
            </w:rPr>
            <w:fldChar w:fldCharType="end"/>
          </w:r>
        </w:p>
        <w:p w14:paraId="1A7288C7">
          <w:pPr>
            <w:pStyle w:val="18"/>
            <w:tabs>
              <w:tab w:val="right" w:leader="dot" w:pos="9355"/>
            </w:tabs>
          </w:pPr>
          <w:r>
            <w:rPr>
              <w:lang w:val="en-US" w:eastAsia="zh-CN"/>
            </w:rPr>
            <w:fldChar w:fldCharType="begin"/>
          </w:r>
          <w:r>
            <w:rPr>
              <w:lang w:val="en-US" w:eastAsia="zh-CN"/>
            </w:rPr>
            <w:instrText xml:space="preserve"> HYPERLINK \l _Toc4312 </w:instrText>
          </w:r>
          <w:r>
            <w:rPr>
              <w:lang w:val="en-US" w:eastAsia="zh-CN"/>
            </w:rPr>
            <w:fldChar w:fldCharType="separate"/>
          </w:r>
          <w:r>
            <w:rPr>
              <w:lang w:val="en-US" w:eastAsia="en-US"/>
            </w:rPr>
            <w:t>3.</w:t>
          </w:r>
          <w:r>
            <w:rPr>
              <w:rFonts w:hint="eastAsia"/>
              <w:lang w:val="en-US" w:eastAsia="zh-CN"/>
            </w:rPr>
            <w:t>9</w:t>
          </w:r>
          <w:r>
            <w:rPr>
              <w:lang w:val="en-US" w:eastAsia="en-US"/>
            </w:rPr>
            <w:t>.1破碎系统符合性安全检查表</w:t>
          </w:r>
          <w:r>
            <w:tab/>
          </w:r>
          <w:r>
            <w:fldChar w:fldCharType="begin"/>
          </w:r>
          <w:r>
            <w:instrText xml:space="preserve"> PAGEREF _Toc4312 \h </w:instrText>
          </w:r>
          <w:r>
            <w:fldChar w:fldCharType="separate"/>
          </w:r>
          <w:r>
            <w:t>105</w:t>
          </w:r>
          <w:r>
            <w:fldChar w:fldCharType="end"/>
          </w:r>
          <w:r>
            <w:rPr>
              <w:lang w:val="en-US" w:eastAsia="zh-CN"/>
            </w:rPr>
            <w:fldChar w:fldCharType="end"/>
          </w:r>
        </w:p>
        <w:p w14:paraId="7022864D">
          <w:pPr>
            <w:pStyle w:val="18"/>
            <w:tabs>
              <w:tab w:val="right" w:leader="dot" w:pos="9355"/>
            </w:tabs>
          </w:pPr>
          <w:r>
            <w:rPr>
              <w:lang w:val="en-US" w:eastAsia="zh-CN"/>
            </w:rPr>
            <w:fldChar w:fldCharType="begin"/>
          </w:r>
          <w:r>
            <w:rPr>
              <w:lang w:val="en-US" w:eastAsia="zh-CN"/>
            </w:rPr>
            <w:instrText xml:space="preserve"> HYPERLINK \l _Toc19629 </w:instrText>
          </w:r>
          <w:r>
            <w:rPr>
              <w:lang w:val="en-US" w:eastAsia="zh-CN"/>
            </w:rPr>
            <w:fldChar w:fldCharType="separate"/>
          </w:r>
          <w:r>
            <w:rPr>
              <w:lang w:val="en-US" w:eastAsia="en-US"/>
            </w:rPr>
            <w:t>3.</w:t>
          </w:r>
          <w:r>
            <w:rPr>
              <w:rFonts w:hint="eastAsia"/>
              <w:lang w:val="en-US" w:eastAsia="zh-CN"/>
            </w:rPr>
            <w:t>9</w:t>
          </w:r>
          <w:r>
            <w:rPr>
              <w:lang w:val="en-US" w:eastAsia="en-US"/>
            </w:rPr>
            <w:t>.2单元小结</w:t>
          </w:r>
          <w:r>
            <w:tab/>
          </w:r>
          <w:r>
            <w:fldChar w:fldCharType="begin"/>
          </w:r>
          <w:r>
            <w:instrText xml:space="preserve"> PAGEREF _Toc19629 \h </w:instrText>
          </w:r>
          <w:r>
            <w:fldChar w:fldCharType="separate"/>
          </w:r>
          <w:r>
            <w:t>105</w:t>
          </w:r>
          <w:r>
            <w:fldChar w:fldCharType="end"/>
          </w:r>
          <w:r>
            <w:rPr>
              <w:lang w:val="en-US" w:eastAsia="zh-CN"/>
            </w:rPr>
            <w:fldChar w:fldCharType="end"/>
          </w:r>
        </w:p>
        <w:p w14:paraId="2BE4D77D">
          <w:pPr>
            <w:pStyle w:val="27"/>
            <w:tabs>
              <w:tab w:val="right" w:leader="dot" w:pos="9355"/>
            </w:tabs>
          </w:pPr>
          <w:r>
            <w:rPr>
              <w:lang w:val="en-US" w:eastAsia="zh-CN"/>
            </w:rPr>
            <w:fldChar w:fldCharType="begin"/>
          </w:r>
          <w:r>
            <w:rPr>
              <w:lang w:val="en-US" w:eastAsia="zh-CN"/>
            </w:rPr>
            <w:instrText xml:space="preserve"> HYPERLINK \l _Toc4204 </w:instrText>
          </w:r>
          <w:r>
            <w:rPr>
              <w:lang w:val="en-US" w:eastAsia="zh-CN"/>
            </w:rPr>
            <w:fldChar w:fldCharType="separate"/>
          </w:r>
          <w:r>
            <w:t>3.</w:t>
          </w:r>
          <w:r>
            <w:rPr>
              <w:rFonts w:hint="eastAsia"/>
              <w:lang w:val="en-US" w:eastAsia="zh-CN"/>
            </w:rPr>
            <w:t>10</w:t>
          </w:r>
          <w:r>
            <w:t>个人安全防护</w:t>
          </w:r>
          <w:r>
            <w:rPr>
              <w:rFonts w:hint="eastAsia"/>
              <w:lang w:val="en-US" w:eastAsia="zh-CN"/>
            </w:rPr>
            <w:t>与防尘</w:t>
          </w:r>
          <w:r>
            <w:tab/>
          </w:r>
          <w:r>
            <w:fldChar w:fldCharType="begin"/>
          </w:r>
          <w:r>
            <w:instrText xml:space="preserve"> PAGEREF _Toc4204 \h </w:instrText>
          </w:r>
          <w:r>
            <w:fldChar w:fldCharType="separate"/>
          </w:r>
          <w:r>
            <w:t>105</w:t>
          </w:r>
          <w:r>
            <w:fldChar w:fldCharType="end"/>
          </w:r>
          <w:r>
            <w:rPr>
              <w:lang w:val="en-US" w:eastAsia="zh-CN"/>
            </w:rPr>
            <w:fldChar w:fldCharType="end"/>
          </w:r>
        </w:p>
        <w:p w14:paraId="1C74DE7D">
          <w:pPr>
            <w:pStyle w:val="18"/>
            <w:tabs>
              <w:tab w:val="right" w:leader="dot" w:pos="9355"/>
            </w:tabs>
          </w:pPr>
          <w:r>
            <w:rPr>
              <w:lang w:val="en-US" w:eastAsia="zh-CN"/>
            </w:rPr>
            <w:fldChar w:fldCharType="begin"/>
          </w:r>
          <w:r>
            <w:rPr>
              <w:lang w:val="en-US" w:eastAsia="zh-CN"/>
            </w:rPr>
            <w:instrText xml:space="preserve"> HYPERLINK \l _Toc13674 </w:instrText>
          </w:r>
          <w:r>
            <w:rPr>
              <w:lang w:val="en-US" w:eastAsia="zh-CN"/>
            </w:rPr>
            <w:fldChar w:fldCharType="separate"/>
          </w:r>
          <w:r>
            <w:t>3.</w:t>
          </w:r>
          <w:r>
            <w:rPr>
              <w:rFonts w:hint="eastAsia"/>
              <w:lang w:val="en-US" w:eastAsia="zh-CN"/>
            </w:rPr>
            <w:t>10</w:t>
          </w:r>
          <w:r>
            <w:t>.1个人安全防护符合性安全检查表</w:t>
          </w:r>
          <w:r>
            <w:tab/>
          </w:r>
          <w:r>
            <w:fldChar w:fldCharType="begin"/>
          </w:r>
          <w:r>
            <w:instrText xml:space="preserve"> PAGEREF _Toc13674 \h </w:instrText>
          </w:r>
          <w:r>
            <w:fldChar w:fldCharType="separate"/>
          </w:r>
          <w:r>
            <w:t>105</w:t>
          </w:r>
          <w:r>
            <w:fldChar w:fldCharType="end"/>
          </w:r>
          <w:r>
            <w:rPr>
              <w:lang w:val="en-US" w:eastAsia="zh-CN"/>
            </w:rPr>
            <w:fldChar w:fldCharType="end"/>
          </w:r>
        </w:p>
        <w:p w14:paraId="658E589E">
          <w:pPr>
            <w:pStyle w:val="18"/>
            <w:tabs>
              <w:tab w:val="right" w:leader="dot" w:pos="9355"/>
            </w:tabs>
          </w:pPr>
          <w:r>
            <w:rPr>
              <w:lang w:val="en-US" w:eastAsia="zh-CN"/>
            </w:rPr>
            <w:fldChar w:fldCharType="begin"/>
          </w:r>
          <w:r>
            <w:rPr>
              <w:lang w:val="en-US" w:eastAsia="zh-CN"/>
            </w:rPr>
            <w:instrText xml:space="preserve"> HYPERLINK \l _Toc13296 </w:instrText>
          </w:r>
          <w:r>
            <w:rPr>
              <w:lang w:val="en-US" w:eastAsia="zh-CN"/>
            </w:rPr>
            <w:fldChar w:fldCharType="separate"/>
          </w:r>
          <w:r>
            <w:t>3.</w:t>
          </w:r>
          <w:r>
            <w:rPr>
              <w:rFonts w:hint="eastAsia"/>
              <w:lang w:val="en-US" w:eastAsia="zh-CN"/>
            </w:rPr>
            <w:t>9</w:t>
          </w:r>
          <w:r>
            <w:t>.</w:t>
          </w:r>
          <w:r>
            <w:rPr>
              <w:rFonts w:hint="eastAsia"/>
              <w:lang w:val="en-US" w:eastAsia="zh-CN"/>
            </w:rPr>
            <w:t>2防尘</w:t>
          </w:r>
          <w:r>
            <w:t>符合性安全检查表</w:t>
          </w:r>
          <w:r>
            <w:tab/>
          </w:r>
          <w:r>
            <w:fldChar w:fldCharType="begin"/>
          </w:r>
          <w:r>
            <w:instrText xml:space="preserve"> PAGEREF _Toc13296 \h </w:instrText>
          </w:r>
          <w:r>
            <w:fldChar w:fldCharType="separate"/>
          </w:r>
          <w:r>
            <w:t>106</w:t>
          </w:r>
          <w:r>
            <w:fldChar w:fldCharType="end"/>
          </w:r>
          <w:r>
            <w:rPr>
              <w:lang w:val="en-US" w:eastAsia="zh-CN"/>
            </w:rPr>
            <w:fldChar w:fldCharType="end"/>
          </w:r>
        </w:p>
        <w:p w14:paraId="31EAF9E7">
          <w:pPr>
            <w:pStyle w:val="18"/>
            <w:tabs>
              <w:tab w:val="right" w:leader="dot" w:pos="9355"/>
            </w:tabs>
          </w:pPr>
          <w:r>
            <w:rPr>
              <w:lang w:val="en-US" w:eastAsia="zh-CN"/>
            </w:rPr>
            <w:fldChar w:fldCharType="begin"/>
          </w:r>
          <w:r>
            <w:rPr>
              <w:lang w:val="en-US" w:eastAsia="zh-CN"/>
            </w:rPr>
            <w:instrText xml:space="preserve"> HYPERLINK \l _Toc30023 </w:instrText>
          </w:r>
          <w:r>
            <w:rPr>
              <w:lang w:val="en-US" w:eastAsia="zh-CN"/>
            </w:rPr>
            <w:fldChar w:fldCharType="separate"/>
          </w:r>
          <w:r>
            <w:t>3.</w:t>
          </w:r>
          <w:r>
            <w:rPr>
              <w:rFonts w:hint="eastAsia"/>
              <w:lang w:val="en-US" w:eastAsia="zh-CN"/>
            </w:rPr>
            <w:t>10.3</w:t>
          </w:r>
          <w:r>
            <w:t>单元小结</w:t>
          </w:r>
          <w:r>
            <w:tab/>
          </w:r>
          <w:r>
            <w:fldChar w:fldCharType="begin"/>
          </w:r>
          <w:r>
            <w:instrText xml:space="preserve"> PAGEREF _Toc30023 \h </w:instrText>
          </w:r>
          <w:r>
            <w:fldChar w:fldCharType="separate"/>
          </w:r>
          <w:r>
            <w:t>107</w:t>
          </w:r>
          <w:r>
            <w:fldChar w:fldCharType="end"/>
          </w:r>
          <w:r>
            <w:rPr>
              <w:lang w:val="en-US" w:eastAsia="zh-CN"/>
            </w:rPr>
            <w:fldChar w:fldCharType="end"/>
          </w:r>
        </w:p>
        <w:p w14:paraId="002FFDE4">
          <w:pPr>
            <w:pStyle w:val="27"/>
            <w:tabs>
              <w:tab w:val="right" w:leader="dot" w:pos="9355"/>
            </w:tabs>
          </w:pPr>
          <w:r>
            <w:rPr>
              <w:lang w:val="en-US" w:eastAsia="zh-CN"/>
            </w:rPr>
            <w:fldChar w:fldCharType="begin"/>
          </w:r>
          <w:r>
            <w:rPr>
              <w:lang w:val="en-US" w:eastAsia="zh-CN"/>
            </w:rPr>
            <w:instrText xml:space="preserve"> HYPERLINK \l _Toc10811 </w:instrText>
          </w:r>
          <w:r>
            <w:rPr>
              <w:lang w:val="en-US" w:eastAsia="zh-CN"/>
            </w:rPr>
            <w:fldChar w:fldCharType="separate"/>
          </w:r>
          <w:r>
            <w:t>3.</w:t>
          </w:r>
          <w:r>
            <w:rPr>
              <w:rFonts w:hint="eastAsia"/>
              <w:lang w:val="en-US" w:eastAsia="zh-CN"/>
            </w:rPr>
            <w:t>11</w:t>
          </w:r>
          <w:r>
            <w:t>安全标志</w:t>
          </w:r>
          <w:r>
            <w:rPr>
              <w:rFonts w:hint="eastAsia"/>
              <w:lang w:val="en-US" w:eastAsia="zh-CN"/>
            </w:rPr>
            <w:t>与安全围栏</w:t>
          </w:r>
          <w:r>
            <w:tab/>
          </w:r>
          <w:r>
            <w:fldChar w:fldCharType="begin"/>
          </w:r>
          <w:r>
            <w:instrText xml:space="preserve"> PAGEREF _Toc10811 \h </w:instrText>
          </w:r>
          <w:r>
            <w:fldChar w:fldCharType="separate"/>
          </w:r>
          <w:r>
            <w:t>107</w:t>
          </w:r>
          <w:r>
            <w:fldChar w:fldCharType="end"/>
          </w:r>
          <w:r>
            <w:rPr>
              <w:lang w:val="en-US" w:eastAsia="zh-CN"/>
            </w:rPr>
            <w:fldChar w:fldCharType="end"/>
          </w:r>
        </w:p>
        <w:p w14:paraId="594E9514">
          <w:pPr>
            <w:pStyle w:val="18"/>
            <w:tabs>
              <w:tab w:val="right" w:leader="dot" w:pos="9355"/>
            </w:tabs>
          </w:pPr>
          <w:r>
            <w:rPr>
              <w:lang w:val="en-US" w:eastAsia="zh-CN"/>
            </w:rPr>
            <w:fldChar w:fldCharType="begin"/>
          </w:r>
          <w:r>
            <w:rPr>
              <w:lang w:val="en-US" w:eastAsia="zh-CN"/>
            </w:rPr>
            <w:instrText xml:space="preserve"> HYPERLINK \l _Toc20840 </w:instrText>
          </w:r>
          <w:r>
            <w:rPr>
              <w:lang w:val="en-US" w:eastAsia="zh-CN"/>
            </w:rPr>
            <w:fldChar w:fldCharType="separate"/>
          </w:r>
          <w:r>
            <w:t>3.</w:t>
          </w:r>
          <w:r>
            <w:rPr>
              <w:rFonts w:hint="eastAsia"/>
              <w:lang w:val="en-US" w:eastAsia="zh-CN"/>
            </w:rPr>
            <w:t>11</w:t>
          </w:r>
          <w:r>
            <w:t>.1安全标志</w:t>
          </w:r>
          <w:r>
            <w:tab/>
          </w:r>
          <w:r>
            <w:fldChar w:fldCharType="begin"/>
          </w:r>
          <w:r>
            <w:instrText xml:space="preserve"> PAGEREF _Toc20840 \h </w:instrText>
          </w:r>
          <w:r>
            <w:fldChar w:fldCharType="separate"/>
          </w:r>
          <w:r>
            <w:t>107</w:t>
          </w:r>
          <w:r>
            <w:fldChar w:fldCharType="end"/>
          </w:r>
          <w:r>
            <w:rPr>
              <w:lang w:val="en-US" w:eastAsia="zh-CN"/>
            </w:rPr>
            <w:fldChar w:fldCharType="end"/>
          </w:r>
        </w:p>
        <w:p w14:paraId="46E2B9F2">
          <w:pPr>
            <w:pStyle w:val="18"/>
            <w:tabs>
              <w:tab w:val="right" w:leader="dot" w:pos="9355"/>
            </w:tabs>
          </w:pPr>
          <w:r>
            <w:rPr>
              <w:lang w:val="en-US" w:eastAsia="zh-CN"/>
            </w:rPr>
            <w:fldChar w:fldCharType="begin"/>
          </w:r>
          <w:r>
            <w:rPr>
              <w:lang w:val="en-US" w:eastAsia="zh-CN"/>
            </w:rPr>
            <w:instrText xml:space="preserve"> HYPERLINK \l _Toc14067 </w:instrText>
          </w:r>
          <w:r>
            <w:rPr>
              <w:lang w:val="en-US" w:eastAsia="zh-CN"/>
            </w:rPr>
            <w:fldChar w:fldCharType="separate"/>
          </w:r>
          <w:r>
            <w:t>3.</w:t>
          </w:r>
          <w:r>
            <w:rPr>
              <w:rFonts w:hint="eastAsia"/>
              <w:lang w:val="en-US" w:eastAsia="zh-CN"/>
            </w:rPr>
            <w:t>11</w:t>
          </w:r>
          <w:r>
            <w:t>.2</w:t>
          </w:r>
          <w:r>
            <w:rPr>
              <w:rFonts w:hint="eastAsia"/>
              <w:lang w:eastAsia="zh-CN"/>
            </w:rPr>
            <w:t>安全围栏</w:t>
          </w:r>
          <w:r>
            <w:tab/>
          </w:r>
          <w:r>
            <w:fldChar w:fldCharType="begin"/>
          </w:r>
          <w:r>
            <w:instrText xml:space="preserve"> PAGEREF _Toc14067 \h </w:instrText>
          </w:r>
          <w:r>
            <w:fldChar w:fldCharType="separate"/>
          </w:r>
          <w:r>
            <w:t>108</w:t>
          </w:r>
          <w:r>
            <w:fldChar w:fldCharType="end"/>
          </w:r>
          <w:r>
            <w:rPr>
              <w:lang w:val="en-US" w:eastAsia="zh-CN"/>
            </w:rPr>
            <w:fldChar w:fldCharType="end"/>
          </w:r>
        </w:p>
        <w:p w14:paraId="0F092B50">
          <w:pPr>
            <w:pStyle w:val="18"/>
            <w:tabs>
              <w:tab w:val="right" w:leader="dot" w:pos="9355"/>
            </w:tabs>
          </w:pPr>
          <w:r>
            <w:rPr>
              <w:lang w:val="en-US" w:eastAsia="zh-CN"/>
            </w:rPr>
            <w:fldChar w:fldCharType="begin"/>
          </w:r>
          <w:r>
            <w:rPr>
              <w:lang w:val="en-US" w:eastAsia="zh-CN"/>
            </w:rPr>
            <w:instrText xml:space="preserve"> HYPERLINK \l _Toc11657 </w:instrText>
          </w:r>
          <w:r>
            <w:rPr>
              <w:lang w:val="en-US" w:eastAsia="zh-CN"/>
            </w:rPr>
            <w:fldChar w:fldCharType="separate"/>
          </w:r>
          <w:r>
            <w:rPr>
              <w:rFonts w:hint="eastAsia"/>
              <w:lang w:val="en-US" w:eastAsia="zh-CN"/>
            </w:rPr>
            <w:t>3.11.3</w:t>
          </w:r>
          <w:r>
            <w:t>单元小结</w:t>
          </w:r>
          <w:r>
            <w:tab/>
          </w:r>
          <w:r>
            <w:fldChar w:fldCharType="begin"/>
          </w:r>
          <w:r>
            <w:instrText xml:space="preserve"> PAGEREF _Toc11657 \h </w:instrText>
          </w:r>
          <w:r>
            <w:fldChar w:fldCharType="separate"/>
          </w:r>
          <w:r>
            <w:t>108</w:t>
          </w:r>
          <w:r>
            <w:fldChar w:fldCharType="end"/>
          </w:r>
          <w:r>
            <w:rPr>
              <w:lang w:val="en-US" w:eastAsia="zh-CN"/>
            </w:rPr>
            <w:fldChar w:fldCharType="end"/>
          </w:r>
        </w:p>
        <w:p w14:paraId="629B3D1A">
          <w:pPr>
            <w:pStyle w:val="27"/>
            <w:tabs>
              <w:tab w:val="right" w:leader="dot" w:pos="9355"/>
            </w:tabs>
          </w:pPr>
          <w:r>
            <w:rPr>
              <w:lang w:val="en-US" w:eastAsia="zh-CN"/>
            </w:rPr>
            <w:fldChar w:fldCharType="begin"/>
          </w:r>
          <w:r>
            <w:rPr>
              <w:lang w:val="en-US" w:eastAsia="zh-CN"/>
            </w:rPr>
            <w:instrText xml:space="preserve"> HYPERLINK \l _Toc27349 </w:instrText>
          </w:r>
          <w:r>
            <w:rPr>
              <w:lang w:val="en-US" w:eastAsia="zh-CN"/>
            </w:rPr>
            <w:fldChar w:fldCharType="separate"/>
          </w:r>
          <w:r>
            <w:t>3.1</w:t>
          </w:r>
          <w:r>
            <w:rPr>
              <w:rFonts w:hint="eastAsia"/>
              <w:lang w:val="en-US" w:eastAsia="zh-CN"/>
            </w:rPr>
            <w:t>2</w:t>
          </w:r>
          <w:r>
            <w:t>安全管理</w:t>
          </w:r>
          <w:r>
            <w:tab/>
          </w:r>
          <w:r>
            <w:fldChar w:fldCharType="begin"/>
          </w:r>
          <w:r>
            <w:instrText xml:space="preserve"> PAGEREF _Toc27349 \h </w:instrText>
          </w:r>
          <w:r>
            <w:fldChar w:fldCharType="separate"/>
          </w:r>
          <w:r>
            <w:t>108</w:t>
          </w:r>
          <w:r>
            <w:fldChar w:fldCharType="end"/>
          </w:r>
          <w:r>
            <w:rPr>
              <w:lang w:val="en-US" w:eastAsia="zh-CN"/>
            </w:rPr>
            <w:fldChar w:fldCharType="end"/>
          </w:r>
        </w:p>
        <w:p w14:paraId="6D107656">
          <w:pPr>
            <w:pStyle w:val="18"/>
            <w:tabs>
              <w:tab w:val="right" w:leader="dot" w:pos="9355"/>
            </w:tabs>
          </w:pPr>
          <w:r>
            <w:rPr>
              <w:lang w:val="en-US" w:eastAsia="zh-CN"/>
            </w:rPr>
            <w:fldChar w:fldCharType="begin"/>
          </w:r>
          <w:r>
            <w:rPr>
              <w:lang w:val="en-US" w:eastAsia="zh-CN"/>
            </w:rPr>
            <w:instrText xml:space="preserve"> HYPERLINK \l _Toc19382 </w:instrText>
          </w:r>
          <w:r>
            <w:rPr>
              <w:lang w:val="en-US" w:eastAsia="zh-CN"/>
            </w:rPr>
            <w:fldChar w:fldCharType="separate"/>
          </w:r>
          <w:r>
            <w:rPr>
              <w:rFonts w:hint="eastAsia"/>
              <w:lang w:val="en-US" w:eastAsia="zh-CN"/>
            </w:rPr>
            <w:t>3.12.1</w:t>
          </w:r>
          <w:r>
            <w:t>安全管理</w:t>
          </w:r>
          <w:r>
            <w:rPr>
              <w:rFonts w:hint="eastAsia"/>
              <w:lang w:val="en-US" w:eastAsia="zh-CN"/>
            </w:rPr>
            <w:t>评价</w:t>
          </w:r>
          <w:r>
            <w:tab/>
          </w:r>
          <w:r>
            <w:fldChar w:fldCharType="begin"/>
          </w:r>
          <w:r>
            <w:instrText xml:space="preserve"> PAGEREF _Toc19382 \h </w:instrText>
          </w:r>
          <w:r>
            <w:fldChar w:fldCharType="separate"/>
          </w:r>
          <w:r>
            <w:t>108</w:t>
          </w:r>
          <w:r>
            <w:fldChar w:fldCharType="end"/>
          </w:r>
          <w:r>
            <w:rPr>
              <w:lang w:val="en-US" w:eastAsia="zh-CN"/>
            </w:rPr>
            <w:fldChar w:fldCharType="end"/>
          </w:r>
        </w:p>
        <w:p w14:paraId="4D9440D1">
          <w:pPr>
            <w:pStyle w:val="18"/>
            <w:tabs>
              <w:tab w:val="right" w:leader="dot" w:pos="9355"/>
            </w:tabs>
          </w:pPr>
          <w:r>
            <w:rPr>
              <w:lang w:val="en-US" w:eastAsia="zh-CN"/>
            </w:rPr>
            <w:fldChar w:fldCharType="begin"/>
          </w:r>
          <w:r>
            <w:rPr>
              <w:lang w:val="en-US" w:eastAsia="zh-CN"/>
            </w:rPr>
            <w:instrText xml:space="preserve"> HYPERLINK \l _Toc10994 </w:instrText>
          </w:r>
          <w:r>
            <w:rPr>
              <w:lang w:val="en-US" w:eastAsia="zh-CN"/>
            </w:rPr>
            <w:fldChar w:fldCharType="separate"/>
          </w:r>
          <w:r>
            <w:t>3.1</w:t>
          </w:r>
          <w:r>
            <w:rPr>
              <w:rFonts w:hint="eastAsia"/>
              <w:lang w:val="en-US" w:eastAsia="zh-CN"/>
            </w:rPr>
            <w:t>1</w:t>
          </w:r>
          <w:r>
            <w:t>.</w:t>
          </w:r>
          <w:r>
            <w:rPr>
              <w:rFonts w:hint="eastAsia"/>
              <w:lang w:val="en-US" w:eastAsia="zh-CN"/>
            </w:rPr>
            <w:t>2</w:t>
          </w:r>
          <w:r>
            <w:t>单元小结</w:t>
          </w:r>
          <w:r>
            <w:tab/>
          </w:r>
          <w:r>
            <w:fldChar w:fldCharType="begin"/>
          </w:r>
          <w:r>
            <w:instrText xml:space="preserve"> PAGEREF _Toc10994 \h </w:instrText>
          </w:r>
          <w:r>
            <w:fldChar w:fldCharType="separate"/>
          </w:r>
          <w:r>
            <w:t>111</w:t>
          </w:r>
          <w:r>
            <w:fldChar w:fldCharType="end"/>
          </w:r>
          <w:r>
            <w:rPr>
              <w:lang w:val="en-US" w:eastAsia="zh-CN"/>
            </w:rPr>
            <w:fldChar w:fldCharType="end"/>
          </w:r>
        </w:p>
        <w:p w14:paraId="1C651550">
          <w:pPr>
            <w:pStyle w:val="27"/>
            <w:tabs>
              <w:tab w:val="right" w:leader="dot" w:pos="9355"/>
            </w:tabs>
          </w:pPr>
          <w:r>
            <w:rPr>
              <w:lang w:val="en-US" w:eastAsia="zh-CN"/>
            </w:rPr>
            <w:fldChar w:fldCharType="begin"/>
          </w:r>
          <w:r>
            <w:rPr>
              <w:lang w:val="en-US" w:eastAsia="zh-CN"/>
            </w:rPr>
            <w:instrText xml:space="preserve"> HYPERLINK \l _Toc25358 </w:instrText>
          </w:r>
          <w:r>
            <w:rPr>
              <w:lang w:val="en-US" w:eastAsia="zh-CN"/>
            </w:rPr>
            <w:fldChar w:fldCharType="separate"/>
          </w:r>
          <w:r>
            <w:t>3.1</w:t>
          </w:r>
          <w:r>
            <w:rPr>
              <w:rFonts w:hint="eastAsia"/>
              <w:lang w:val="en-US" w:eastAsia="zh-CN"/>
            </w:rPr>
            <w:t>3</w:t>
          </w:r>
          <w:r>
            <w:t>重大事故隐患判定单元</w:t>
          </w:r>
          <w:r>
            <w:tab/>
          </w:r>
          <w:r>
            <w:fldChar w:fldCharType="begin"/>
          </w:r>
          <w:r>
            <w:instrText xml:space="preserve"> PAGEREF _Toc25358 \h </w:instrText>
          </w:r>
          <w:r>
            <w:fldChar w:fldCharType="separate"/>
          </w:r>
          <w:r>
            <w:t>112</w:t>
          </w:r>
          <w:r>
            <w:fldChar w:fldCharType="end"/>
          </w:r>
          <w:r>
            <w:rPr>
              <w:lang w:val="en-US" w:eastAsia="zh-CN"/>
            </w:rPr>
            <w:fldChar w:fldCharType="end"/>
          </w:r>
        </w:p>
        <w:p w14:paraId="4D1BCC1C">
          <w:pPr>
            <w:pStyle w:val="18"/>
            <w:tabs>
              <w:tab w:val="right" w:leader="dot" w:pos="9355"/>
            </w:tabs>
          </w:pPr>
          <w:r>
            <w:rPr>
              <w:lang w:val="en-US" w:eastAsia="zh-CN"/>
            </w:rPr>
            <w:fldChar w:fldCharType="begin"/>
          </w:r>
          <w:r>
            <w:rPr>
              <w:lang w:val="en-US" w:eastAsia="zh-CN"/>
            </w:rPr>
            <w:instrText xml:space="preserve"> HYPERLINK \l _Toc26364 </w:instrText>
          </w:r>
          <w:r>
            <w:rPr>
              <w:lang w:val="en-US" w:eastAsia="zh-CN"/>
            </w:rPr>
            <w:fldChar w:fldCharType="separate"/>
          </w:r>
          <w:r>
            <w:rPr>
              <w:rFonts w:hint="eastAsia"/>
              <w:lang w:val="en-US" w:eastAsia="zh-CN"/>
            </w:rPr>
            <w:t>3.13.1</w:t>
          </w:r>
          <w:r>
            <w:t>重大事故隐患判定</w:t>
          </w:r>
          <w:r>
            <w:tab/>
          </w:r>
          <w:r>
            <w:fldChar w:fldCharType="begin"/>
          </w:r>
          <w:r>
            <w:instrText xml:space="preserve"> PAGEREF _Toc26364 \h </w:instrText>
          </w:r>
          <w:r>
            <w:fldChar w:fldCharType="separate"/>
          </w:r>
          <w:r>
            <w:t>112</w:t>
          </w:r>
          <w:r>
            <w:fldChar w:fldCharType="end"/>
          </w:r>
          <w:r>
            <w:rPr>
              <w:lang w:val="en-US" w:eastAsia="zh-CN"/>
            </w:rPr>
            <w:fldChar w:fldCharType="end"/>
          </w:r>
        </w:p>
        <w:p w14:paraId="457618DA">
          <w:pPr>
            <w:pStyle w:val="18"/>
            <w:tabs>
              <w:tab w:val="right" w:leader="dot" w:pos="9355"/>
            </w:tabs>
          </w:pPr>
          <w:r>
            <w:rPr>
              <w:lang w:val="en-US" w:eastAsia="zh-CN"/>
            </w:rPr>
            <w:fldChar w:fldCharType="begin"/>
          </w:r>
          <w:r>
            <w:rPr>
              <w:lang w:val="en-US" w:eastAsia="zh-CN"/>
            </w:rPr>
            <w:instrText xml:space="preserve"> HYPERLINK \l _Toc3424 </w:instrText>
          </w:r>
          <w:r>
            <w:rPr>
              <w:lang w:val="en-US" w:eastAsia="zh-CN"/>
            </w:rPr>
            <w:fldChar w:fldCharType="separate"/>
          </w:r>
          <w:r>
            <w:t>3.1</w:t>
          </w:r>
          <w:r>
            <w:rPr>
              <w:rFonts w:hint="eastAsia"/>
              <w:lang w:val="en-US" w:eastAsia="zh-CN"/>
            </w:rPr>
            <w:t>3.2</w:t>
          </w:r>
          <w:r>
            <w:t>单元小结</w:t>
          </w:r>
          <w:r>
            <w:tab/>
          </w:r>
          <w:r>
            <w:fldChar w:fldCharType="begin"/>
          </w:r>
          <w:r>
            <w:instrText xml:space="preserve"> PAGEREF _Toc3424 \h </w:instrText>
          </w:r>
          <w:r>
            <w:fldChar w:fldCharType="separate"/>
          </w:r>
          <w:r>
            <w:t>114</w:t>
          </w:r>
          <w:r>
            <w:fldChar w:fldCharType="end"/>
          </w:r>
          <w:r>
            <w:rPr>
              <w:lang w:val="en-US" w:eastAsia="zh-CN"/>
            </w:rPr>
            <w:fldChar w:fldCharType="end"/>
          </w:r>
        </w:p>
        <w:p w14:paraId="05193313">
          <w:pPr>
            <w:pStyle w:val="24"/>
            <w:tabs>
              <w:tab w:val="right" w:leader="dot" w:pos="9355"/>
            </w:tabs>
          </w:pPr>
          <w:r>
            <w:rPr>
              <w:lang w:val="en-US" w:eastAsia="zh-CN"/>
            </w:rPr>
            <w:fldChar w:fldCharType="begin"/>
          </w:r>
          <w:r>
            <w:rPr>
              <w:lang w:val="en-US" w:eastAsia="zh-CN"/>
            </w:rPr>
            <w:instrText xml:space="preserve"> HYPERLINK \l _Toc7901 </w:instrText>
          </w:r>
          <w:r>
            <w:rPr>
              <w:lang w:val="en-US" w:eastAsia="zh-CN"/>
            </w:rPr>
            <w:fldChar w:fldCharType="separate"/>
          </w:r>
          <w:r>
            <w:rPr>
              <w:rFonts w:hint="eastAsia"/>
              <w:lang w:val="en-US" w:eastAsia="zh-CN"/>
            </w:rPr>
            <w:t>4</w:t>
          </w:r>
          <w:r>
            <w:t>安全对策措施建议</w:t>
          </w:r>
          <w:r>
            <w:tab/>
          </w:r>
          <w:r>
            <w:fldChar w:fldCharType="begin"/>
          </w:r>
          <w:r>
            <w:instrText xml:space="preserve"> PAGEREF _Toc7901 \h </w:instrText>
          </w:r>
          <w:r>
            <w:fldChar w:fldCharType="separate"/>
          </w:r>
          <w:r>
            <w:t>115</w:t>
          </w:r>
          <w:r>
            <w:fldChar w:fldCharType="end"/>
          </w:r>
          <w:r>
            <w:rPr>
              <w:lang w:val="en-US" w:eastAsia="zh-CN"/>
            </w:rPr>
            <w:fldChar w:fldCharType="end"/>
          </w:r>
        </w:p>
        <w:p w14:paraId="252FE3D9">
          <w:pPr>
            <w:pStyle w:val="27"/>
            <w:tabs>
              <w:tab w:val="right" w:leader="dot" w:pos="9355"/>
            </w:tabs>
          </w:pPr>
          <w:r>
            <w:rPr>
              <w:lang w:val="en-US" w:eastAsia="zh-CN"/>
            </w:rPr>
            <w:fldChar w:fldCharType="begin"/>
          </w:r>
          <w:r>
            <w:rPr>
              <w:lang w:val="en-US" w:eastAsia="zh-CN"/>
            </w:rPr>
            <w:instrText xml:space="preserve"> HYPERLINK \l _Toc19164 </w:instrText>
          </w:r>
          <w:r>
            <w:rPr>
              <w:lang w:val="en-US" w:eastAsia="zh-CN"/>
            </w:rPr>
            <w:fldChar w:fldCharType="separate"/>
          </w:r>
          <w:r>
            <w:rPr>
              <w:rFonts w:hint="eastAsia"/>
            </w:rPr>
            <w:t>4.1安全设施</w:t>
          </w:r>
          <w:r>
            <w:rPr>
              <w:rFonts w:hint="eastAsia"/>
              <w:lang w:eastAsia="zh-CN"/>
            </w:rPr>
            <w:t>“</w:t>
          </w:r>
          <w:r>
            <w:rPr>
              <w:rFonts w:hint="eastAsia"/>
            </w:rPr>
            <w:t>三同时</w:t>
          </w:r>
          <w:r>
            <w:rPr>
              <w:rFonts w:hint="eastAsia"/>
              <w:lang w:eastAsia="zh-CN"/>
            </w:rPr>
            <w:t>”</w:t>
          </w:r>
          <w:r>
            <w:rPr>
              <w:rFonts w:hint="eastAsia"/>
            </w:rPr>
            <w:t>程序评价单元</w:t>
          </w:r>
          <w:r>
            <w:tab/>
          </w:r>
          <w:r>
            <w:fldChar w:fldCharType="begin"/>
          </w:r>
          <w:r>
            <w:instrText xml:space="preserve"> PAGEREF _Toc19164 \h </w:instrText>
          </w:r>
          <w:r>
            <w:fldChar w:fldCharType="separate"/>
          </w:r>
          <w:r>
            <w:t>115</w:t>
          </w:r>
          <w:r>
            <w:fldChar w:fldCharType="end"/>
          </w:r>
          <w:r>
            <w:rPr>
              <w:lang w:val="en-US" w:eastAsia="zh-CN"/>
            </w:rPr>
            <w:fldChar w:fldCharType="end"/>
          </w:r>
        </w:p>
        <w:p w14:paraId="1BA1A30B">
          <w:pPr>
            <w:pStyle w:val="27"/>
            <w:tabs>
              <w:tab w:val="right" w:leader="dot" w:pos="9355"/>
            </w:tabs>
          </w:pPr>
          <w:r>
            <w:rPr>
              <w:lang w:val="en-US" w:eastAsia="zh-CN"/>
            </w:rPr>
            <w:fldChar w:fldCharType="begin"/>
          </w:r>
          <w:r>
            <w:rPr>
              <w:lang w:val="en-US" w:eastAsia="zh-CN"/>
            </w:rPr>
            <w:instrText xml:space="preserve"> HYPERLINK \l _Toc6703 </w:instrText>
          </w:r>
          <w:r>
            <w:rPr>
              <w:lang w:val="en-US" w:eastAsia="zh-CN"/>
            </w:rPr>
            <w:fldChar w:fldCharType="separate"/>
          </w:r>
          <w:r>
            <w:t>4.</w:t>
          </w:r>
          <w:r>
            <w:rPr>
              <w:rFonts w:hint="eastAsia"/>
              <w:lang w:val="en-US" w:eastAsia="zh-CN"/>
            </w:rPr>
            <w:t>2</w:t>
          </w:r>
          <w:r>
            <w:t>露天采场</w:t>
          </w:r>
          <w:r>
            <w:tab/>
          </w:r>
          <w:r>
            <w:fldChar w:fldCharType="begin"/>
          </w:r>
          <w:r>
            <w:instrText xml:space="preserve"> PAGEREF _Toc6703 \h </w:instrText>
          </w:r>
          <w:r>
            <w:fldChar w:fldCharType="separate"/>
          </w:r>
          <w:r>
            <w:t>115</w:t>
          </w:r>
          <w:r>
            <w:fldChar w:fldCharType="end"/>
          </w:r>
          <w:r>
            <w:rPr>
              <w:lang w:val="en-US" w:eastAsia="zh-CN"/>
            </w:rPr>
            <w:fldChar w:fldCharType="end"/>
          </w:r>
        </w:p>
        <w:p w14:paraId="6847D1ED">
          <w:pPr>
            <w:pStyle w:val="27"/>
            <w:tabs>
              <w:tab w:val="right" w:leader="dot" w:pos="9355"/>
            </w:tabs>
          </w:pPr>
          <w:r>
            <w:rPr>
              <w:lang w:val="en-US" w:eastAsia="zh-CN"/>
            </w:rPr>
            <w:fldChar w:fldCharType="begin"/>
          </w:r>
          <w:r>
            <w:rPr>
              <w:lang w:val="en-US" w:eastAsia="zh-CN"/>
            </w:rPr>
            <w:instrText xml:space="preserve"> HYPERLINK \l _Toc5173 </w:instrText>
          </w:r>
          <w:r>
            <w:rPr>
              <w:lang w:val="en-US" w:eastAsia="zh-CN"/>
            </w:rPr>
            <w:fldChar w:fldCharType="separate"/>
          </w:r>
          <w:r>
            <w:t>4.</w:t>
          </w:r>
          <w:r>
            <w:rPr>
              <w:rFonts w:hint="eastAsia"/>
              <w:lang w:val="en-US" w:eastAsia="zh-CN"/>
            </w:rPr>
            <w:t>3</w:t>
          </w:r>
          <w:r>
            <w:t>采场防排水系统</w:t>
          </w:r>
          <w:r>
            <w:tab/>
          </w:r>
          <w:r>
            <w:fldChar w:fldCharType="begin"/>
          </w:r>
          <w:r>
            <w:instrText xml:space="preserve"> PAGEREF _Toc5173 \h </w:instrText>
          </w:r>
          <w:r>
            <w:fldChar w:fldCharType="separate"/>
          </w:r>
          <w:r>
            <w:t>116</w:t>
          </w:r>
          <w:r>
            <w:fldChar w:fldCharType="end"/>
          </w:r>
          <w:r>
            <w:rPr>
              <w:lang w:val="en-US" w:eastAsia="zh-CN"/>
            </w:rPr>
            <w:fldChar w:fldCharType="end"/>
          </w:r>
        </w:p>
        <w:p w14:paraId="1065B517">
          <w:pPr>
            <w:pStyle w:val="27"/>
            <w:tabs>
              <w:tab w:val="right" w:leader="dot" w:pos="9355"/>
            </w:tabs>
          </w:pPr>
          <w:r>
            <w:rPr>
              <w:lang w:val="en-US" w:eastAsia="zh-CN"/>
            </w:rPr>
            <w:fldChar w:fldCharType="begin"/>
          </w:r>
          <w:r>
            <w:rPr>
              <w:lang w:val="en-US" w:eastAsia="zh-CN"/>
            </w:rPr>
            <w:instrText xml:space="preserve"> HYPERLINK \l _Toc2129 </w:instrText>
          </w:r>
          <w:r>
            <w:rPr>
              <w:lang w:val="en-US" w:eastAsia="zh-CN"/>
            </w:rPr>
            <w:fldChar w:fldCharType="separate"/>
          </w:r>
          <w:r>
            <w:t>4.</w:t>
          </w:r>
          <w:r>
            <w:rPr>
              <w:rFonts w:hint="eastAsia"/>
              <w:lang w:val="en-US" w:eastAsia="zh-CN"/>
            </w:rPr>
            <w:t>4</w:t>
          </w:r>
          <w:r>
            <w:t>矿岩运输系统</w:t>
          </w:r>
          <w:r>
            <w:tab/>
          </w:r>
          <w:r>
            <w:fldChar w:fldCharType="begin"/>
          </w:r>
          <w:r>
            <w:instrText xml:space="preserve"> PAGEREF _Toc2129 \h </w:instrText>
          </w:r>
          <w:r>
            <w:fldChar w:fldCharType="separate"/>
          </w:r>
          <w:r>
            <w:t>116</w:t>
          </w:r>
          <w:r>
            <w:fldChar w:fldCharType="end"/>
          </w:r>
          <w:r>
            <w:rPr>
              <w:lang w:val="en-US" w:eastAsia="zh-CN"/>
            </w:rPr>
            <w:fldChar w:fldCharType="end"/>
          </w:r>
        </w:p>
        <w:p w14:paraId="119FF485">
          <w:pPr>
            <w:pStyle w:val="27"/>
            <w:tabs>
              <w:tab w:val="right" w:leader="dot" w:pos="9355"/>
            </w:tabs>
          </w:pPr>
          <w:r>
            <w:rPr>
              <w:lang w:val="en-US" w:eastAsia="zh-CN"/>
            </w:rPr>
            <w:fldChar w:fldCharType="begin"/>
          </w:r>
          <w:r>
            <w:rPr>
              <w:lang w:val="en-US" w:eastAsia="zh-CN"/>
            </w:rPr>
            <w:instrText xml:space="preserve"> HYPERLINK \l _Toc30438 </w:instrText>
          </w:r>
          <w:r>
            <w:rPr>
              <w:lang w:val="en-US" w:eastAsia="zh-CN"/>
            </w:rPr>
            <w:fldChar w:fldCharType="separate"/>
          </w:r>
          <w:r>
            <w:t>4.</w:t>
          </w:r>
          <w:r>
            <w:rPr>
              <w:rFonts w:hint="eastAsia"/>
              <w:lang w:val="en-US" w:eastAsia="zh-CN"/>
            </w:rPr>
            <w:t>5</w:t>
          </w:r>
          <w:r>
            <w:t>供配电</w:t>
          </w:r>
          <w:r>
            <w:rPr>
              <w:rFonts w:hint="eastAsia"/>
              <w:lang w:val="en-US" w:eastAsia="zh-CN"/>
            </w:rPr>
            <w:t>系统</w:t>
          </w:r>
          <w:r>
            <w:tab/>
          </w:r>
          <w:r>
            <w:fldChar w:fldCharType="begin"/>
          </w:r>
          <w:r>
            <w:instrText xml:space="preserve"> PAGEREF _Toc30438 \h </w:instrText>
          </w:r>
          <w:r>
            <w:fldChar w:fldCharType="separate"/>
          </w:r>
          <w:r>
            <w:t>117</w:t>
          </w:r>
          <w:r>
            <w:fldChar w:fldCharType="end"/>
          </w:r>
          <w:r>
            <w:rPr>
              <w:lang w:val="en-US" w:eastAsia="zh-CN"/>
            </w:rPr>
            <w:fldChar w:fldCharType="end"/>
          </w:r>
        </w:p>
        <w:p w14:paraId="11CF62ED">
          <w:pPr>
            <w:pStyle w:val="27"/>
            <w:tabs>
              <w:tab w:val="right" w:leader="dot" w:pos="9355"/>
            </w:tabs>
          </w:pPr>
          <w:r>
            <w:rPr>
              <w:lang w:val="en-US" w:eastAsia="zh-CN"/>
            </w:rPr>
            <w:fldChar w:fldCharType="begin"/>
          </w:r>
          <w:r>
            <w:rPr>
              <w:lang w:val="en-US" w:eastAsia="zh-CN"/>
            </w:rPr>
            <w:instrText xml:space="preserve"> HYPERLINK \l _Toc13857 </w:instrText>
          </w:r>
          <w:r>
            <w:rPr>
              <w:lang w:val="en-US" w:eastAsia="zh-CN"/>
            </w:rPr>
            <w:fldChar w:fldCharType="separate"/>
          </w:r>
          <w:r>
            <w:t>4.</w:t>
          </w:r>
          <w:r>
            <w:rPr>
              <w:rFonts w:hint="eastAsia"/>
              <w:lang w:val="en-US" w:eastAsia="zh-CN"/>
            </w:rPr>
            <w:t>6</w:t>
          </w:r>
          <w:r>
            <w:t>总平面布置</w:t>
          </w:r>
          <w:r>
            <w:tab/>
          </w:r>
          <w:r>
            <w:fldChar w:fldCharType="begin"/>
          </w:r>
          <w:r>
            <w:instrText xml:space="preserve"> PAGEREF _Toc13857 \h </w:instrText>
          </w:r>
          <w:r>
            <w:fldChar w:fldCharType="separate"/>
          </w:r>
          <w:r>
            <w:t>118</w:t>
          </w:r>
          <w:r>
            <w:fldChar w:fldCharType="end"/>
          </w:r>
          <w:r>
            <w:rPr>
              <w:lang w:val="en-US" w:eastAsia="zh-CN"/>
            </w:rPr>
            <w:fldChar w:fldCharType="end"/>
          </w:r>
        </w:p>
        <w:p w14:paraId="1AEA8C54">
          <w:pPr>
            <w:pStyle w:val="27"/>
            <w:tabs>
              <w:tab w:val="right" w:leader="dot" w:pos="9355"/>
            </w:tabs>
          </w:pPr>
          <w:r>
            <w:rPr>
              <w:lang w:val="en-US" w:eastAsia="zh-CN"/>
            </w:rPr>
            <w:fldChar w:fldCharType="begin"/>
          </w:r>
          <w:r>
            <w:rPr>
              <w:lang w:val="en-US" w:eastAsia="zh-CN"/>
            </w:rPr>
            <w:instrText xml:space="preserve"> HYPERLINK \l _Toc21616 </w:instrText>
          </w:r>
          <w:r>
            <w:rPr>
              <w:lang w:val="en-US" w:eastAsia="zh-CN"/>
            </w:rPr>
            <w:fldChar w:fldCharType="separate"/>
          </w:r>
          <w:r>
            <w:rPr>
              <w:rFonts w:hint="eastAsia"/>
              <w:lang w:val="en-US" w:eastAsia="zh-CN"/>
            </w:rPr>
            <w:t>4.7破碎站</w:t>
          </w:r>
          <w:r>
            <w:tab/>
          </w:r>
          <w:r>
            <w:fldChar w:fldCharType="begin"/>
          </w:r>
          <w:r>
            <w:instrText xml:space="preserve"> PAGEREF _Toc21616 \h </w:instrText>
          </w:r>
          <w:r>
            <w:fldChar w:fldCharType="separate"/>
          </w:r>
          <w:r>
            <w:t>118</w:t>
          </w:r>
          <w:r>
            <w:fldChar w:fldCharType="end"/>
          </w:r>
          <w:r>
            <w:rPr>
              <w:lang w:val="en-US" w:eastAsia="zh-CN"/>
            </w:rPr>
            <w:fldChar w:fldCharType="end"/>
          </w:r>
        </w:p>
        <w:p w14:paraId="100B40F4">
          <w:pPr>
            <w:pStyle w:val="27"/>
            <w:tabs>
              <w:tab w:val="right" w:leader="dot" w:pos="9355"/>
            </w:tabs>
          </w:pPr>
          <w:r>
            <w:rPr>
              <w:lang w:val="en-US" w:eastAsia="zh-CN"/>
            </w:rPr>
            <w:fldChar w:fldCharType="begin"/>
          </w:r>
          <w:r>
            <w:rPr>
              <w:lang w:val="en-US" w:eastAsia="zh-CN"/>
            </w:rPr>
            <w:instrText xml:space="preserve"> HYPERLINK \l _Toc11952 </w:instrText>
          </w:r>
          <w:r>
            <w:rPr>
              <w:lang w:val="en-US" w:eastAsia="zh-CN"/>
            </w:rPr>
            <w:fldChar w:fldCharType="separate"/>
          </w:r>
          <w:r>
            <w:t>4</w:t>
          </w:r>
          <w:r>
            <w:rPr>
              <w:rFonts w:hint="eastAsia"/>
              <w:lang w:val="en-US" w:eastAsia="zh-CN"/>
            </w:rPr>
            <w:t>.8防尘与</w:t>
          </w:r>
          <w:r>
            <w:t>个人安全防护</w:t>
          </w:r>
          <w:r>
            <w:tab/>
          </w:r>
          <w:r>
            <w:fldChar w:fldCharType="begin"/>
          </w:r>
          <w:r>
            <w:instrText xml:space="preserve"> PAGEREF _Toc11952 \h </w:instrText>
          </w:r>
          <w:r>
            <w:fldChar w:fldCharType="separate"/>
          </w:r>
          <w:r>
            <w:t>118</w:t>
          </w:r>
          <w:r>
            <w:fldChar w:fldCharType="end"/>
          </w:r>
          <w:r>
            <w:rPr>
              <w:lang w:val="en-US" w:eastAsia="zh-CN"/>
            </w:rPr>
            <w:fldChar w:fldCharType="end"/>
          </w:r>
        </w:p>
        <w:p w14:paraId="19F217D3">
          <w:pPr>
            <w:pStyle w:val="27"/>
            <w:tabs>
              <w:tab w:val="right" w:leader="dot" w:pos="9355"/>
            </w:tabs>
          </w:pPr>
          <w:r>
            <w:rPr>
              <w:lang w:val="en-US" w:eastAsia="zh-CN"/>
            </w:rPr>
            <w:fldChar w:fldCharType="begin"/>
          </w:r>
          <w:r>
            <w:rPr>
              <w:lang w:val="en-US" w:eastAsia="zh-CN"/>
            </w:rPr>
            <w:instrText xml:space="preserve"> HYPERLINK \l _Toc25813 </w:instrText>
          </w:r>
          <w:r>
            <w:rPr>
              <w:lang w:val="en-US" w:eastAsia="zh-CN"/>
            </w:rPr>
            <w:fldChar w:fldCharType="separate"/>
          </w:r>
          <w:r>
            <w:t>4.</w:t>
          </w:r>
          <w:r>
            <w:rPr>
              <w:rFonts w:hint="eastAsia"/>
              <w:lang w:val="en-US" w:eastAsia="zh-CN"/>
            </w:rPr>
            <w:t>9</w:t>
          </w:r>
          <w:r>
            <w:t>安全标志</w:t>
          </w:r>
          <w:r>
            <w:tab/>
          </w:r>
          <w:r>
            <w:fldChar w:fldCharType="begin"/>
          </w:r>
          <w:r>
            <w:instrText xml:space="preserve"> PAGEREF _Toc25813 \h </w:instrText>
          </w:r>
          <w:r>
            <w:fldChar w:fldCharType="separate"/>
          </w:r>
          <w:r>
            <w:t>118</w:t>
          </w:r>
          <w:r>
            <w:fldChar w:fldCharType="end"/>
          </w:r>
          <w:r>
            <w:rPr>
              <w:lang w:val="en-US" w:eastAsia="zh-CN"/>
            </w:rPr>
            <w:fldChar w:fldCharType="end"/>
          </w:r>
        </w:p>
        <w:p w14:paraId="1E873FC7">
          <w:pPr>
            <w:pStyle w:val="27"/>
            <w:tabs>
              <w:tab w:val="right" w:leader="dot" w:pos="9355"/>
            </w:tabs>
          </w:pPr>
          <w:r>
            <w:rPr>
              <w:lang w:val="en-US" w:eastAsia="zh-CN"/>
            </w:rPr>
            <w:fldChar w:fldCharType="begin"/>
          </w:r>
          <w:r>
            <w:rPr>
              <w:lang w:val="en-US" w:eastAsia="zh-CN"/>
            </w:rPr>
            <w:instrText xml:space="preserve"> HYPERLINK \l _Toc1641 </w:instrText>
          </w:r>
          <w:r>
            <w:rPr>
              <w:lang w:val="en-US" w:eastAsia="zh-CN"/>
            </w:rPr>
            <w:fldChar w:fldCharType="separate"/>
          </w:r>
          <w:r>
            <w:t>4.</w:t>
          </w:r>
          <w:r>
            <w:rPr>
              <w:rFonts w:hint="eastAsia"/>
              <w:lang w:val="en-US" w:eastAsia="zh-CN"/>
            </w:rPr>
            <w:t>10</w:t>
          </w:r>
          <w:r>
            <w:t>安全管理</w:t>
          </w:r>
          <w:r>
            <w:tab/>
          </w:r>
          <w:r>
            <w:fldChar w:fldCharType="begin"/>
          </w:r>
          <w:r>
            <w:instrText xml:space="preserve"> PAGEREF _Toc1641 \h </w:instrText>
          </w:r>
          <w:r>
            <w:fldChar w:fldCharType="separate"/>
          </w:r>
          <w:r>
            <w:t>119</w:t>
          </w:r>
          <w:r>
            <w:fldChar w:fldCharType="end"/>
          </w:r>
          <w:r>
            <w:rPr>
              <w:lang w:val="en-US" w:eastAsia="zh-CN"/>
            </w:rPr>
            <w:fldChar w:fldCharType="end"/>
          </w:r>
        </w:p>
        <w:p w14:paraId="0EC5AA06">
          <w:pPr>
            <w:pStyle w:val="27"/>
            <w:tabs>
              <w:tab w:val="right" w:leader="dot" w:pos="9355"/>
            </w:tabs>
          </w:pPr>
          <w:r>
            <w:rPr>
              <w:lang w:val="en-US" w:eastAsia="zh-CN"/>
            </w:rPr>
            <w:fldChar w:fldCharType="begin"/>
          </w:r>
          <w:r>
            <w:rPr>
              <w:lang w:val="en-US" w:eastAsia="zh-CN"/>
            </w:rPr>
            <w:instrText xml:space="preserve"> HYPERLINK \l _Toc23960 </w:instrText>
          </w:r>
          <w:r>
            <w:rPr>
              <w:lang w:val="en-US" w:eastAsia="zh-CN"/>
            </w:rPr>
            <w:fldChar w:fldCharType="separate"/>
          </w:r>
          <w:r>
            <w:t>4.</w:t>
          </w:r>
          <w:r>
            <w:rPr>
              <w:rFonts w:hint="eastAsia"/>
              <w:lang w:val="en-US" w:eastAsia="zh-CN"/>
            </w:rPr>
            <w:t>11</w:t>
          </w:r>
          <w:r>
            <w:t>其他建议</w:t>
          </w:r>
          <w:r>
            <w:tab/>
          </w:r>
          <w:r>
            <w:fldChar w:fldCharType="begin"/>
          </w:r>
          <w:r>
            <w:instrText xml:space="preserve"> PAGEREF _Toc23960 \h </w:instrText>
          </w:r>
          <w:r>
            <w:fldChar w:fldCharType="separate"/>
          </w:r>
          <w:r>
            <w:t>120</w:t>
          </w:r>
          <w:r>
            <w:fldChar w:fldCharType="end"/>
          </w:r>
          <w:r>
            <w:rPr>
              <w:lang w:val="en-US" w:eastAsia="zh-CN"/>
            </w:rPr>
            <w:fldChar w:fldCharType="end"/>
          </w:r>
        </w:p>
        <w:p w14:paraId="2A5B54B8">
          <w:pPr>
            <w:pStyle w:val="24"/>
            <w:tabs>
              <w:tab w:val="right" w:leader="dot" w:pos="9355"/>
            </w:tabs>
          </w:pPr>
          <w:r>
            <w:rPr>
              <w:lang w:val="en-US" w:eastAsia="zh-CN"/>
            </w:rPr>
            <w:fldChar w:fldCharType="begin"/>
          </w:r>
          <w:r>
            <w:rPr>
              <w:lang w:val="en-US" w:eastAsia="zh-CN"/>
            </w:rPr>
            <w:instrText xml:space="preserve"> HYPERLINK \l _Toc19575 </w:instrText>
          </w:r>
          <w:r>
            <w:rPr>
              <w:lang w:val="en-US" w:eastAsia="zh-CN"/>
            </w:rPr>
            <w:fldChar w:fldCharType="separate"/>
          </w:r>
          <w:r>
            <w:rPr>
              <w:rFonts w:hint="eastAsia"/>
              <w:lang w:val="en-US" w:eastAsia="zh-CN"/>
            </w:rPr>
            <w:t>5</w:t>
          </w:r>
          <w:r>
            <w:t>评价结论</w:t>
          </w:r>
          <w:r>
            <w:tab/>
          </w:r>
          <w:r>
            <w:fldChar w:fldCharType="begin"/>
          </w:r>
          <w:r>
            <w:instrText xml:space="preserve"> PAGEREF _Toc19575 \h </w:instrText>
          </w:r>
          <w:r>
            <w:fldChar w:fldCharType="separate"/>
          </w:r>
          <w:r>
            <w:t>122</w:t>
          </w:r>
          <w:r>
            <w:fldChar w:fldCharType="end"/>
          </w:r>
          <w:r>
            <w:rPr>
              <w:lang w:val="en-US" w:eastAsia="zh-CN"/>
            </w:rPr>
            <w:fldChar w:fldCharType="end"/>
          </w:r>
        </w:p>
        <w:p w14:paraId="33A4DE67">
          <w:pPr>
            <w:pStyle w:val="27"/>
            <w:tabs>
              <w:tab w:val="right" w:leader="dot" w:pos="9355"/>
            </w:tabs>
          </w:pPr>
          <w:r>
            <w:rPr>
              <w:lang w:val="en-US" w:eastAsia="zh-CN"/>
            </w:rPr>
            <w:fldChar w:fldCharType="begin"/>
          </w:r>
          <w:r>
            <w:rPr>
              <w:lang w:val="en-US" w:eastAsia="zh-CN"/>
            </w:rPr>
            <w:instrText xml:space="preserve"> HYPERLINK \l _Toc27143 </w:instrText>
          </w:r>
          <w:r>
            <w:rPr>
              <w:lang w:val="en-US" w:eastAsia="zh-CN"/>
            </w:rPr>
            <w:fldChar w:fldCharType="separate"/>
          </w:r>
          <w:r>
            <w:rPr>
              <w:rFonts w:hint="default" w:ascii="Times New Roman" w:hAnsi="Times New Roman" w:cs="Times New Roman"/>
              <w:bCs/>
              <w:szCs w:val="30"/>
              <w:highlight w:val="none"/>
            </w:rPr>
            <w:t>5.1建设项目安全状况综合评价</w:t>
          </w:r>
          <w:r>
            <w:tab/>
          </w:r>
          <w:r>
            <w:fldChar w:fldCharType="begin"/>
          </w:r>
          <w:r>
            <w:instrText xml:space="preserve"> PAGEREF _Toc27143 \h </w:instrText>
          </w:r>
          <w:r>
            <w:fldChar w:fldCharType="separate"/>
          </w:r>
          <w:r>
            <w:t>122</w:t>
          </w:r>
          <w:r>
            <w:fldChar w:fldCharType="end"/>
          </w:r>
          <w:r>
            <w:rPr>
              <w:lang w:val="en-US" w:eastAsia="zh-CN"/>
            </w:rPr>
            <w:fldChar w:fldCharType="end"/>
          </w:r>
        </w:p>
        <w:p w14:paraId="5B40B08F">
          <w:pPr>
            <w:pStyle w:val="27"/>
            <w:tabs>
              <w:tab w:val="right" w:leader="dot" w:pos="9355"/>
            </w:tabs>
          </w:pPr>
          <w:r>
            <w:rPr>
              <w:lang w:val="en-US" w:eastAsia="zh-CN"/>
            </w:rPr>
            <w:fldChar w:fldCharType="begin"/>
          </w:r>
          <w:r>
            <w:rPr>
              <w:lang w:val="en-US" w:eastAsia="zh-CN"/>
            </w:rPr>
            <w:instrText xml:space="preserve"> HYPERLINK \l _Toc15483 </w:instrText>
          </w:r>
          <w:r>
            <w:rPr>
              <w:lang w:val="en-US" w:eastAsia="zh-CN"/>
            </w:rPr>
            <w:fldChar w:fldCharType="separate"/>
          </w:r>
          <w:r>
            <w:rPr>
              <w:rFonts w:hint="default" w:ascii="Times New Roman" w:hAnsi="Times New Roman" w:cs="Times New Roman"/>
              <w:bCs/>
              <w:szCs w:val="30"/>
              <w:highlight w:val="none"/>
            </w:rPr>
            <w:t>5.2建设项目安全验收评价结论</w:t>
          </w:r>
          <w:r>
            <w:tab/>
          </w:r>
          <w:r>
            <w:fldChar w:fldCharType="begin"/>
          </w:r>
          <w:r>
            <w:instrText xml:space="preserve"> PAGEREF _Toc15483 \h </w:instrText>
          </w:r>
          <w:r>
            <w:fldChar w:fldCharType="separate"/>
          </w:r>
          <w:r>
            <w:t>122</w:t>
          </w:r>
          <w:r>
            <w:fldChar w:fldCharType="end"/>
          </w:r>
          <w:r>
            <w:rPr>
              <w:lang w:val="en-US" w:eastAsia="zh-CN"/>
            </w:rPr>
            <w:fldChar w:fldCharType="end"/>
          </w:r>
        </w:p>
        <w:p w14:paraId="3B92EC29">
          <w:pPr>
            <w:pStyle w:val="18"/>
            <w:tabs>
              <w:tab w:val="right" w:leader="dot" w:pos="9355"/>
            </w:tabs>
          </w:pPr>
          <w:r>
            <w:rPr>
              <w:lang w:val="en-US" w:eastAsia="zh-CN"/>
            </w:rPr>
            <w:fldChar w:fldCharType="begin"/>
          </w:r>
          <w:r>
            <w:rPr>
              <w:lang w:val="en-US" w:eastAsia="zh-CN"/>
            </w:rPr>
            <w:instrText xml:space="preserve"> HYPERLINK \l _Toc18084 </w:instrText>
          </w:r>
          <w:r>
            <w:rPr>
              <w:lang w:val="en-US" w:eastAsia="zh-CN"/>
            </w:rPr>
            <w:fldChar w:fldCharType="separate"/>
          </w:r>
          <w:r>
            <w:rPr>
              <w:rFonts w:hint="eastAsia"/>
              <w:lang w:val="en-US" w:eastAsia="zh-CN"/>
            </w:rPr>
            <w:t>5.2.2</w:t>
          </w:r>
          <w:r>
            <w:t>重大事故隐患检查</w:t>
          </w:r>
          <w:r>
            <w:rPr>
              <w:rFonts w:hint="eastAsia"/>
              <w:lang w:eastAsia="zh-CN"/>
            </w:rPr>
            <w:t>评价</w:t>
          </w:r>
          <w:r>
            <w:tab/>
          </w:r>
          <w:r>
            <w:fldChar w:fldCharType="begin"/>
          </w:r>
          <w:r>
            <w:instrText xml:space="preserve"> PAGEREF _Toc18084 \h </w:instrText>
          </w:r>
          <w:r>
            <w:fldChar w:fldCharType="separate"/>
          </w:r>
          <w:r>
            <w:t>123</w:t>
          </w:r>
          <w:r>
            <w:fldChar w:fldCharType="end"/>
          </w:r>
          <w:r>
            <w:rPr>
              <w:lang w:val="en-US" w:eastAsia="zh-CN"/>
            </w:rPr>
            <w:fldChar w:fldCharType="end"/>
          </w:r>
        </w:p>
        <w:p w14:paraId="5656E613">
          <w:pPr>
            <w:pStyle w:val="18"/>
            <w:tabs>
              <w:tab w:val="right" w:leader="dot" w:pos="9355"/>
            </w:tabs>
          </w:pPr>
          <w:r>
            <w:rPr>
              <w:lang w:val="en-US" w:eastAsia="zh-CN"/>
            </w:rPr>
            <w:fldChar w:fldCharType="begin"/>
          </w:r>
          <w:r>
            <w:rPr>
              <w:lang w:val="en-US" w:eastAsia="zh-CN"/>
            </w:rPr>
            <w:instrText xml:space="preserve"> HYPERLINK \l _Toc23244 </w:instrText>
          </w:r>
          <w:r>
            <w:rPr>
              <w:lang w:val="en-US" w:eastAsia="zh-CN"/>
            </w:rPr>
            <w:fldChar w:fldCharType="separate"/>
          </w:r>
          <w:r>
            <w:rPr>
              <w:rFonts w:hint="eastAsia"/>
              <w:lang w:val="en-US" w:eastAsia="zh-CN"/>
            </w:rPr>
            <w:t>5.2.3</w:t>
          </w:r>
          <w:r>
            <w:rPr>
              <w:lang w:val="en-US" w:eastAsia="zh-CN"/>
            </w:rPr>
            <w:t>隐蔽致灾因素</w:t>
          </w:r>
          <w:r>
            <w:tab/>
          </w:r>
          <w:r>
            <w:fldChar w:fldCharType="begin"/>
          </w:r>
          <w:r>
            <w:instrText xml:space="preserve"> PAGEREF _Toc23244 \h </w:instrText>
          </w:r>
          <w:r>
            <w:fldChar w:fldCharType="separate"/>
          </w:r>
          <w:r>
            <w:t>124</w:t>
          </w:r>
          <w:r>
            <w:fldChar w:fldCharType="end"/>
          </w:r>
          <w:r>
            <w:rPr>
              <w:lang w:val="en-US" w:eastAsia="zh-CN"/>
            </w:rPr>
            <w:fldChar w:fldCharType="end"/>
          </w:r>
        </w:p>
        <w:p w14:paraId="5B89494F">
          <w:pPr>
            <w:pStyle w:val="27"/>
            <w:tabs>
              <w:tab w:val="right" w:leader="dot" w:pos="9355"/>
            </w:tabs>
          </w:pPr>
          <w:r>
            <w:rPr>
              <w:lang w:val="en-US" w:eastAsia="zh-CN"/>
            </w:rPr>
            <w:fldChar w:fldCharType="begin"/>
          </w:r>
          <w:r>
            <w:rPr>
              <w:lang w:val="en-US" w:eastAsia="zh-CN"/>
            </w:rPr>
            <w:instrText xml:space="preserve"> HYPERLINK \l _Toc8408 </w:instrText>
          </w:r>
          <w:r>
            <w:rPr>
              <w:lang w:val="en-US" w:eastAsia="zh-CN"/>
            </w:rPr>
            <w:fldChar w:fldCharType="separate"/>
          </w:r>
          <w:r>
            <w:t>5.3安全验收评价结论</w:t>
          </w:r>
          <w:r>
            <w:tab/>
          </w:r>
          <w:r>
            <w:fldChar w:fldCharType="begin"/>
          </w:r>
          <w:r>
            <w:instrText xml:space="preserve"> PAGEREF _Toc8408 \h </w:instrText>
          </w:r>
          <w:r>
            <w:fldChar w:fldCharType="separate"/>
          </w:r>
          <w:r>
            <w:t>124</w:t>
          </w:r>
          <w:r>
            <w:fldChar w:fldCharType="end"/>
          </w:r>
          <w:r>
            <w:rPr>
              <w:lang w:val="en-US" w:eastAsia="zh-CN"/>
            </w:rPr>
            <w:fldChar w:fldCharType="end"/>
          </w:r>
        </w:p>
        <w:p w14:paraId="7C4FA3E3">
          <w:pPr>
            <w:pStyle w:val="24"/>
            <w:tabs>
              <w:tab w:val="right" w:leader="dot" w:pos="9355"/>
            </w:tabs>
          </w:pPr>
          <w:r>
            <w:rPr>
              <w:lang w:val="en-US" w:eastAsia="zh-CN"/>
            </w:rPr>
            <w:fldChar w:fldCharType="begin"/>
          </w:r>
          <w:r>
            <w:rPr>
              <w:lang w:val="en-US" w:eastAsia="zh-CN"/>
            </w:rPr>
            <w:instrText xml:space="preserve"> HYPERLINK \l _Toc14295 </w:instrText>
          </w:r>
          <w:r>
            <w:rPr>
              <w:lang w:val="en-US" w:eastAsia="zh-CN"/>
            </w:rPr>
            <w:fldChar w:fldCharType="separate"/>
          </w:r>
          <w:r>
            <w:rPr>
              <w:rFonts w:hint="eastAsia"/>
              <w:snapToGrid w:val="0"/>
              <w:lang w:val="en-US" w:eastAsia="zh-CN"/>
            </w:rPr>
            <w:t>6</w:t>
          </w:r>
          <w:r>
            <w:rPr>
              <w:snapToGrid w:val="0"/>
            </w:rPr>
            <w:t>附件</w:t>
          </w:r>
          <w:r>
            <w:rPr>
              <w:rFonts w:hint="eastAsia"/>
              <w:snapToGrid w:val="0"/>
              <w:lang w:val="en-US" w:eastAsia="zh-CN"/>
            </w:rPr>
            <w:t>、附图</w:t>
          </w:r>
          <w:r>
            <w:tab/>
          </w:r>
          <w:r>
            <w:fldChar w:fldCharType="begin"/>
          </w:r>
          <w:r>
            <w:instrText xml:space="preserve"> PAGEREF _Toc14295 \h </w:instrText>
          </w:r>
          <w:r>
            <w:fldChar w:fldCharType="separate"/>
          </w:r>
          <w:r>
            <w:t>126</w:t>
          </w:r>
          <w:r>
            <w:fldChar w:fldCharType="end"/>
          </w:r>
          <w:r>
            <w:rPr>
              <w:lang w:val="en-US" w:eastAsia="zh-CN"/>
            </w:rPr>
            <w:fldChar w:fldCharType="end"/>
          </w:r>
        </w:p>
        <w:p w14:paraId="12AEF80A">
          <w:pPr>
            <w:pStyle w:val="27"/>
            <w:tabs>
              <w:tab w:val="right" w:leader="dot" w:pos="9355"/>
            </w:tabs>
          </w:pPr>
          <w:r>
            <w:rPr>
              <w:lang w:val="en-US" w:eastAsia="zh-CN"/>
            </w:rPr>
            <w:fldChar w:fldCharType="begin"/>
          </w:r>
          <w:r>
            <w:rPr>
              <w:lang w:val="en-US" w:eastAsia="zh-CN"/>
            </w:rPr>
            <w:instrText xml:space="preserve"> HYPERLINK \l _Toc9571 </w:instrText>
          </w:r>
          <w:r>
            <w:rPr>
              <w:lang w:val="en-US" w:eastAsia="zh-CN"/>
            </w:rPr>
            <w:fldChar w:fldCharType="separate"/>
          </w:r>
          <w:r>
            <w:rPr>
              <w:rFonts w:hint="eastAsia"/>
              <w:lang w:val="en-US" w:eastAsia="zh-CN"/>
            </w:rPr>
            <w:t>6.1附件</w:t>
          </w:r>
          <w:r>
            <w:tab/>
          </w:r>
          <w:r>
            <w:fldChar w:fldCharType="begin"/>
          </w:r>
          <w:r>
            <w:instrText xml:space="preserve"> PAGEREF _Toc9571 \h </w:instrText>
          </w:r>
          <w:r>
            <w:fldChar w:fldCharType="separate"/>
          </w:r>
          <w:r>
            <w:t>126</w:t>
          </w:r>
          <w:r>
            <w:fldChar w:fldCharType="end"/>
          </w:r>
          <w:r>
            <w:rPr>
              <w:lang w:val="en-US" w:eastAsia="zh-CN"/>
            </w:rPr>
            <w:fldChar w:fldCharType="end"/>
          </w:r>
        </w:p>
        <w:p w14:paraId="01D2D36E">
          <w:pPr>
            <w:pStyle w:val="27"/>
            <w:tabs>
              <w:tab w:val="right" w:leader="dot" w:pos="9355"/>
            </w:tabs>
          </w:pPr>
          <w:r>
            <w:rPr>
              <w:lang w:val="en-US" w:eastAsia="zh-CN"/>
            </w:rPr>
            <w:fldChar w:fldCharType="begin"/>
          </w:r>
          <w:r>
            <w:rPr>
              <w:lang w:val="en-US" w:eastAsia="zh-CN"/>
            </w:rPr>
            <w:instrText xml:space="preserve"> HYPERLINK \l _Toc15191 </w:instrText>
          </w:r>
          <w:r>
            <w:rPr>
              <w:lang w:val="en-US" w:eastAsia="zh-CN"/>
            </w:rPr>
            <w:fldChar w:fldCharType="separate"/>
          </w:r>
          <w:r>
            <w:rPr>
              <w:rFonts w:hint="eastAsia"/>
              <w:lang w:val="en-US" w:eastAsia="zh-CN"/>
            </w:rPr>
            <w:t>6.2</w:t>
          </w:r>
          <w:r>
            <w:t>附图</w:t>
          </w:r>
          <w:r>
            <w:tab/>
          </w:r>
          <w:r>
            <w:fldChar w:fldCharType="begin"/>
          </w:r>
          <w:r>
            <w:instrText xml:space="preserve"> PAGEREF _Toc15191 \h </w:instrText>
          </w:r>
          <w:r>
            <w:fldChar w:fldCharType="separate"/>
          </w:r>
          <w:r>
            <w:t>127</w:t>
          </w:r>
          <w:r>
            <w:fldChar w:fldCharType="end"/>
          </w:r>
          <w:r>
            <w:rPr>
              <w:lang w:val="en-US" w:eastAsia="zh-CN"/>
            </w:rPr>
            <w:fldChar w:fldCharType="end"/>
          </w:r>
        </w:p>
        <w:p w14:paraId="3D4656A1">
          <w:pPr>
            <w:pStyle w:val="27"/>
            <w:bidi w:val="0"/>
            <w:rPr>
              <w:lang w:val="en-US" w:eastAsia="zh-CN"/>
            </w:rPr>
          </w:pPr>
          <w:r>
            <w:rPr>
              <w:lang w:val="en-US" w:eastAsia="zh-CN"/>
            </w:rPr>
            <w:fldChar w:fldCharType="end"/>
          </w:r>
        </w:p>
      </w:sdtContent>
    </w:sdt>
    <w:p w14:paraId="0ABE8A0F">
      <w:pPr>
        <w:keepNext w:val="0"/>
        <w:keepLines w:val="0"/>
        <w:pageBreakBefore w:val="0"/>
        <w:widowControl w:val="0"/>
        <w:kinsoku/>
        <w:wordWrap/>
        <w:overflowPunct/>
        <w:topLinePunct w:val="0"/>
        <w:autoSpaceDE/>
        <w:autoSpaceDN/>
        <w:bidi w:val="0"/>
        <w:adjustRightInd w:val="0"/>
        <w:snapToGrid w:val="0"/>
        <w:ind w:left="0"/>
        <w:textAlignment w:val="auto"/>
        <w:rPr>
          <w:rFonts w:ascii="Calibri" w:hAnsi="Calibri" w:eastAsia="宋体" w:cs="Times New Roman"/>
          <w:spacing w:val="-2"/>
          <w:sz w:val="28"/>
          <w:lang w:val="en-US" w:eastAsia="zh-CN" w:bidi="ar-SA"/>
        </w:rPr>
      </w:pPr>
    </w:p>
    <w:p w14:paraId="7944AE95">
      <w:pPr>
        <w:pStyle w:val="2"/>
        <w:rPr>
          <w:rFonts w:hint="eastAsia"/>
          <w:color w:val="000000" w:themeColor="text1"/>
          <w:lang w:val="en-US" w:eastAsia="zh-CN"/>
          <w14:textFill>
            <w14:solidFill>
              <w14:schemeClr w14:val="tx1"/>
            </w14:solidFill>
          </w14:textFill>
        </w:rPr>
        <w:sectPr>
          <w:footerReference r:id="rId13" w:type="default"/>
          <w:pgSz w:w="11906" w:h="16838"/>
          <w:pgMar w:top="1134" w:right="1134" w:bottom="1134" w:left="1417" w:header="794" w:footer="794" w:gutter="0"/>
          <w:pgBorders>
            <w:top w:val="none" w:sz="0" w:space="0"/>
            <w:left w:val="none" w:sz="0" w:space="0"/>
            <w:bottom w:val="none" w:sz="0" w:space="0"/>
            <w:right w:val="none" w:sz="0" w:space="0"/>
          </w:pgBorders>
          <w:pgNumType w:fmt="upperRoman"/>
          <w:cols w:space="720" w:num="1"/>
          <w:docGrid w:type="lines" w:linePitch="312" w:charSpace="0"/>
        </w:sectPr>
      </w:pPr>
      <w:bookmarkStart w:id="3" w:name="_Toc501328796"/>
      <w:bookmarkEnd w:id="3"/>
      <w:bookmarkStart w:id="4" w:name="_Toc501328860"/>
      <w:bookmarkEnd w:id="4"/>
      <w:bookmarkStart w:id="5" w:name="_Toc501120256"/>
      <w:bookmarkStart w:id="6" w:name="_Toc23966"/>
      <w:bookmarkStart w:id="7" w:name="_Toc503469775"/>
      <w:bookmarkStart w:id="8" w:name="_Toc214283984"/>
    </w:p>
    <w:p w14:paraId="64533134">
      <w:pPr>
        <w:rPr>
          <w:rFonts w:hint="eastAsia"/>
          <w:lang w:val="en-US" w:eastAsia="zh-CN"/>
        </w:rPr>
      </w:pPr>
    </w:p>
    <w:p w14:paraId="64470D33">
      <w:pPr>
        <w:pStyle w:val="2"/>
        <w:keepNext/>
        <w:keepLines/>
        <w:pageBreakBefore w:val="0"/>
        <w:widowControl w:val="0"/>
        <w:kinsoku/>
        <w:wordWrap/>
        <w:overflowPunct/>
        <w:topLinePunct w:val="0"/>
        <w:autoSpaceDE/>
        <w:autoSpaceDN/>
        <w:bidi w:val="0"/>
        <w:adjustRightInd w:val="0"/>
        <w:snapToGrid w:val="0"/>
        <w:spacing w:before="937" w:beforeLines="300" w:after="157" w:afterLines="50"/>
        <w:textAlignment w:val="auto"/>
        <w:rPr>
          <w:color w:val="000000" w:themeColor="text1"/>
          <w14:textFill>
            <w14:solidFill>
              <w14:schemeClr w14:val="tx1"/>
            </w14:solidFill>
          </w14:textFill>
        </w:rPr>
      </w:pPr>
      <w:bookmarkStart w:id="9" w:name="_Toc12371"/>
      <w:r>
        <w:rPr>
          <w:rFonts w:hint="eastAsia"/>
          <w:color w:val="000000" w:themeColor="text1"/>
          <w:lang w:val="en-US" w:eastAsia="zh-CN"/>
          <w14:textFill>
            <w14:solidFill>
              <w14:schemeClr w14:val="tx1"/>
            </w14:solidFill>
          </w14:textFill>
        </w:rPr>
        <w:t>1</w:t>
      </w:r>
      <w:r>
        <w:rPr>
          <w:color w:val="000000" w:themeColor="text1"/>
          <w14:textFill>
            <w14:solidFill>
              <w14:schemeClr w14:val="tx1"/>
            </w14:solidFill>
          </w14:textFill>
        </w:rPr>
        <w:t>评价范围与依据</w:t>
      </w:r>
      <w:bookmarkEnd w:id="5"/>
      <w:bookmarkEnd w:id="6"/>
      <w:bookmarkEnd w:id="7"/>
      <w:bookmarkEnd w:id="8"/>
      <w:bookmarkEnd w:id="9"/>
    </w:p>
    <w:p w14:paraId="14D23D24">
      <w:pPr>
        <w:pStyle w:val="3"/>
      </w:pPr>
      <w:bookmarkStart w:id="10" w:name="_Toc214283985"/>
      <w:bookmarkStart w:id="11" w:name="_Toc501120257"/>
      <w:bookmarkStart w:id="12" w:name="_Toc503469776"/>
      <w:bookmarkStart w:id="13" w:name="_Toc15625"/>
      <w:bookmarkStart w:id="14" w:name="_Toc58"/>
      <w:r>
        <w:t>1.1评价对象和范围</w:t>
      </w:r>
      <w:bookmarkEnd w:id="10"/>
      <w:bookmarkEnd w:id="11"/>
      <w:bookmarkEnd w:id="12"/>
      <w:bookmarkEnd w:id="13"/>
      <w:bookmarkEnd w:id="14"/>
    </w:p>
    <w:p w14:paraId="608038DC">
      <w:pPr>
        <w:pStyle w:val="4"/>
      </w:pPr>
      <w:bookmarkStart w:id="15" w:name="_Toc501120258"/>
      <w:bookmarkStart w:id="16" w:name="_Toc503469777"/>
      <w:bookmarkStart w:id="17" w:name="_Toc6896"/>
      <w:bookmarkStart w:id="18" w:name="_Toc214283986"/>
      <w:bookmarkStart w:id="19" w:name="_Toc10783"/>
      <w:r>
        <w:t>1.1.1评价对象</w:t>
      </w:r>
      <w:bookmarkEnd w:id="15"/>
      <w:bookmarkEnd w:id="16"/>
      <w:bookmarkEnd w:id="17"/>
      <w:bookmarkEnd w:id="18"/>
      <w:bookmarkEnd w:id="19"/>
    </w:p>
    <w:p w14:paraId="3D59195E">
      <w:pPr>
        <w:bidi w:val="0"/>
      </w:pPr>
      <w:bookmarkStart w:id="20" w:name="_Toc503469778"/>
      <w:bookmarkStart w:id="21" w:name="_Toc501120259"/>
      <w:bookmarkStart w:id="22" w:name="_Toc214283987"/>
      <w:r>
        <w:t>根据</w:t>
      </w:r>
      <w:r>
        <w:rPr>
          <w:rFonts w:hint="eastAsia"/>
          <w:lang w:val="en-US" w:eastAsia="zh-CN"/>
        </w:rPr>
        <w:t>《国家安全监管总局关于印发金属非金属矿山建设项目安全评价报告编写提纲的通知》（安监总管一〔2016〕49号）、</w:t>
      </w:r>
      <w:r>
        <w:rPr>
          <w:rFonts w:hint="eastAsia"/>
        </w:rPr>
        <w:t>《国家安全监管总局关于规范金属非金属矿山建设项目安全设施竣工验收工作的通知》（</w:t>
      </w:r>
      <w:r>
        <w:rPr>
          <w:rFonts w:hint="eastAsia"/>
          <w:lang w:eastAsia="zh-CN"/>
        </w:rPr>
        <w:t>安监</w:t>
      </w:r>
      <w:r>
        <w:rPr>
          <w:rFonts w:hint="eastAsia"/>
        </w:rPr>
        <w:t>总管一〔2016〕14号）</w:t>
      </w:r>
      <w:r>
        <w:t>、《金属非金属矿山建设项目安全设施目录（试行）》（国家安全监管总局令第75号）和有关法律法规，本次评价对象为：《</w:t>
      </w:r>
      <w:r>
        <w:rPr>
          <w:rFonts w:hint="eastAsia"/>
          <w:lang w:eastAsia="zh-CN"/>
        </w:rPr>
        <w:t>广南县麦地大山建筑石料用石灰岩矿</w:t>
      </w:r>
      <w:r>
        <w:rPr>
          <w:rFonts w:hint="eastAsia"/>
        </w:rPr>
        <w:t>50万t/a露天采矿工程</w:t>
      </w:r>
      <w:r>
        <w:t>安全设施设计》设计开采范围内的露天</w:t>
      </w:r>
      <w:r>
        <w:rPr>
          <w:rFonts w:hint="eastAsia"/>
          <w:lang w:val="en-US" w:eastAsia="zh-CN"/>
        </w:rPr>
        <w:t>采矿工程</w:t>
      </w:r>
      <w:r>
        <w:t>及公用辅助设施</w:t>
      </w:r>
      <w:r>
        <w:rPr>
          <w:rFonts w:hint="eastAsia"/>
          <w:lang w:val="en-US" w:eastAsia="zh-CN"/>
        </w:rPr>
        <w:t>和安全管理</w:t>
      </w:r>
      <w:r>
        <w:t>。</w:t>
      </w:r>
    </w:p>
    <w:p w14:paraId="01F7E00E">
      <w:pPr>
        <w:pStyle w:val="4"/>
      </w:pPr>
      <w:bookmarkStart w:id="23" w:name="_Toc7050"/>
      <w:bookmarkStart w:id="24" w:name="_Toc5370"/>
      <w:r>
        <w:t>1.1.2评价范围</w:t>
      </w:r>
      <w:bookmarkEnd w:id="20"/>
      <w:bookmarkEnd w:id="21"/>
      <w:bookmarkEnd w:id="22"/>
      <w:bookmarkEnd w:id="23"/>
      <w:bookmarkEnd w:id="24"/>
    </w:p>
    <w:p w14:paraId="018BB652">
      <w:pPr>
        <w:bidi w:val="0"/>
        <w:ind w:firstLine="552" w:firstLineChars="200"/>
        <w:outlineLvl w:val="3"/>
      </w:pPr>
      <w:bookmarkStart w:id="25" w:name="_Toc92173036"/>
      <w:bookmarkStart w:id="26" w:name="_Toc23944573"/>
      <w:bookmarkStart w:id="27" w:name="_Toc29991"/>
      <w:bookmarkStart w:id="28" w:name="_Toc15189157"/>
      <w:bookmarkStart w:id="29" w:name="_Toc40432550"/>
      <w:bookmarkStart w:id="30" w:name="_Toc20114061"/>
      <w:bookmarkStart w:id="31" w:name="_Toc62397040"/>
      <w:bookmarkStart w:id="32" w:name="_Toc33409087"/>
      <w:bookmarkStart w:id="33" w:name="_Toc71798308"/>
      <w:bookmarkStart w:id="34" w:name="_Toc43199261"/>
      <w:bookmarkStart w:id="35" w:name="_Toc91061467"/>
      <w:bookmarkStart w:id="36" w:name="_Toc91061384"/>
      <w:bookmarkStart w:id="37" w:name="_Toc214283988"/>
      <w:bookmarkStart w:id="38" w:name="_Toc91061087"/>
      <w:bookmarkStart w:id="39" w:name="_Toc43191078"/>
      <w:bookmarkStart w:id="40" w:name="_Toc20043491"/>
      <w:bookmarkStart w:id="41" w:name="_Toc503469779"/>
      <w:bookmarkStart w:id="42" w:name="_Toc19930500"/>
      <w:bookmarkStart w:id="43" w:name="_Toc31434362"/>
      <w:bookmarkStart w:id="44" w:name="_Toc33343438"/>
      <w:bookmarkStart w:id="45" w:name="_Toc501120260"/>
      <w:bookmarkStart w:id="46" w:name="_Toc91758840"/>
      <w:bookmarkStart w:id="47" w:name="_Toc91061524"/>
      <w:bookmarkStart w:id="48" w:name="_Toc374352217"/>
      <w:bookmarkStart w:id="49" w:name="_Toc20114382"/>
      <w:bookmarkStart w:id="50" w:name="_Toc91061312"/>
      <w:bookmarkStart w:id="51" w:name="_Toc20114861"/>
      <w:r>
        <w:t>1、矿区范围</w:t>
      </w:r>
    </w:p>
    <w:p w14:paraId="0CC9BFF8">
      <w:pPr>
        <w:bidi w:val="0"/>
      </w:pPr>
      <w:r>
        <w:t>根据广南县自然资源局</w:t>
      </w:r>
      <w:r>
        <w:rPr>
          <w:rFonts w:hint="default"/>
          <w:lang w:eastAsia="zh-CN"/>
        </w:rPr>
        <w:t>202</w:t>
      </w:r>
      <w:r>
        <w:rPr>
          <w:rFonts w:hint="eastAsia"/>
          <w:lang w:val="en-US" w:eastAsia="zh-CN"/>
        </w:rPr>
        <w:t>4</w:t>
      </w:r>
      <w:r>
        <w:rPr>
          <w:rFonts w:hint="default"/>
          <w:lang w:eastAsia="zh-CN"/>
        </w:rPr>
        <w:t>年1</w:t>
      </w:r>
      <w:r>
        <w:rPr>
          <w:rFonts w:hint="eastAsia"/>
          <w:lang w:val="en-US" w:eastAsia="zh-CN"/>
        </w:rPr>
        <w:t>2</w:t>
      </w:r>
      <w:r>
        <w:rPr>
          <w:rFonts w:hint="default"/>
          <w:lang w:eastAsia="zh-CN"/>
        </w:rPr>
        <w:t>月</w:t>
      </w:r>
      <w:r>
        <w:rPr>
          <w:rFonts w:hint="eastAsia"/>
          <w:lang w:val="en-US" w:eastAsia="zh-CN"/>
        </w:rPr>
        <w:t>20</w:t>
      </w:r>
      <w:r>
        <w:rPr>
          <w:rFonts w:hint="default"/>
          <w:lang w:eastAsia="zh-CN"/>
        </w:rPr>
        <w:t>日</w:t>
      </w:r>
      <w:r>
        <w:t>颁发的采矿许可证（证号：</w:t>
      </w:r>
      <w:r>
        <w:rPr>
          <w:rFonts w:hint="eastAsia"/>
          <w:lang w:eastAsia="zh-CN"/>
        </w:rPr>
        <w:t>C5326272024127230157765</w:t>
      </w:r>
      <w:r>
        <w:t>），矿区范围详见</w:t>
      </w:r>
      <w:r>
        <w:rPr>
          <w:rFonts w:hint="eastAsia"/>
          <w:lang w:val="en-US" w:eastAsia="zh-CN"/>
        </w:rPr>
        <w:t>表1.1</w:t>
      </w:r>
      <w:r>
        <w:rPr>
          <w:lang w:val="en-US" w:eastAsia="zh-CN"/>
        </w:rPr>
        <w:t>-1</w:t>
      </w:r>
      <w:r>
        <w:rPr>
          <w:rFonts w:hint="eastAsia"/>
          <w:lang w:val="en-US" w:eastAsia="zh-CN"/>
        </w:rPr>
        <w:t>。</w:t>
      </w:r>
    </w:p>
    <w:p w14:paraId="4851B1F6">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color w:val="auto"/>
          <w:lang w:eastAsia="zh-CN"/>
        </w:rPr>
      </w:pPr>
      <w:r>
        <w:rPr>
          <w:rFonts w:hint="eastAsia" w:ascii="Times New Roman" w:hAnsi="Times New Roman" w:eastAsia="宋体" w:cs="Times New Roman"/>
          <w:lang w:eastAsia="zh-CN"/>
        </w:rPr>
        <w:t>广南县麦地大山建筑石料用石灰岩矿</w:t>
      </w:r>
      <w:r>
        <w:rPr>
          <w:rFonts w:hint="default" w:ascii="Times New Roman" w:hAnsi="Times New Roman" w:eastAsia="宋体" w:cs="Times New Roman"/>
          <w:szCs w:val="28"/>
        </w:rPr>
        <w:t>，矿界关系清楚，无矿业权交叉重叠、无矿权纠纷。矿权关系及本次资源储量核实范围关系详见图</w:t>
      </w:r>
      <w:r>
        <w:rPr>
          <w:rFonts w:hint="eastAsia"/>
          <w:color w:val="auto"/>
          <w:lang w:val="en-US" w:eastAsia="zh-CN"/>
        </w:rPr>
        <w:t>1.1-1</w:t>
      </w:r>
      <w:r>
        <w:rPr>
          <w:rFonts w:hint="eastAsia"/>
          <w:color w:val="auto"/>
          <w:lang w:eastAsia="zh-CN"/>
        </w:rPr>
        <w:t>。</w:t>
      </w:r>
    </w:p>
    <w:p w14:paraId="624AC8AA">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color w:val="auto"/>
          <w:sz w:val="24"/>
        </w:rPr>
      </w:pPr>
      <w:r>
        <w:rPr>
          <w:rFonts w:hint="eastAsia"/>
          <w:color w:val="auto"/>
        </w:rPr>
        <w:t>经</w:t>
      </w:r>
      <w:r>
        <w:rPr>
          <w:rFonts w:hint="eastAsia"/>
          <w:color w:val="auto"/>
          <w:lang w:eastAsia="zh-CN"/>
        </w:rPr>
        <w:t>广南县</w:t>
      </w:r>
      <w:r>
        <w:rPr>
          <w:rFonts w:hint="eastAsia"/>
          <w:color w:val="auto"/>
        </w:rPr>
        <w:t>自然资源局组织相关部门开展实地联勘联审，并汇总自然资源、生态环境、文化旅游、交通、应急管理、镇政府、林业和草原、水务等相关部门审查意见，区内无自然保护区、重要风景区、重要文物和名胜古迹、水源保护区、生态红线、城乡建设保护区、地质灾害易发区、无违法开采情况等分布，符合</w:t>
      </w:r>
      <w:r>
        <w:rPr>
          <w:rFonts w:hint="eastAsia"/>
          <w:color w:val="auto"/>
          <w:lang w:eastAsia="zh-CN"/>
        </w:rPr>
        <w:t>广南县</w:t>
      </w:r>
      <w:r>
        <w:rPr>
          <w:rFonts w:hint="eastAsia"/>
          <w:color w:val="auto"/>
        </w:rPr>
        <w:t>自然资源局矿产资源总体规划及土地利用总体规划要求，</w:t>
      </w:r>
      <w:r>
        <w:rPr>
          <w:rFonts w:hint="eastAsia"/>
          <w:color w:val="auto"/>
          <w:lang w:eastAsia="zh-CN"/>
        </w:rPr>
        <w:t>本</w:t>
      </w:r>
      <w:r>
        <w:rPr>
          <w:rFonts w:hint="eastAsia"/>
          <w:color w:val="auto"/>
        </w:rPr>
        <w:t>采矿权范围不占生态红线、与基本农田无重叠。</w:t>
      </w:r>
    </w:p>
    <w:p w14:paraId="3B5D9756">
      <w:pPr>
        <w:keepNext w:val="0"/>
        <w:keepLines w:val="0"/>
        <w:pageBreakBefore w:val="0"/>
        <w:widowControl w:val="0"/>
        <w:kinsoku/>
        <w:wordWrap/>
        <w:overflowPunct/>
        <w:topLinePunct w:val="0"/>
        <w:autoSpaceDE/>
        <w:autoSpaceDN/>
        <w:bidi w:val="0"/>
        <w:adjustRightInd w:val="0"/>
        <w:snapToGrid w:val="0"/>
        <w:ind w:firstLine="552" w:firstLineChars="200"/>
        <w:textAlignment w:val="auto"/>
        <w:outlineLvl w:val="9"/>
      </w:pPr>
    </w:p>
    <w:p w14:paraId="6F231330">
      <w:pPr>
        <w:keepNext w:val="0"/>
        <w:keepLines w:val="0"/>
        <w:pageBreakBefore w:val="0"/>
        <w:widowControl w:val="0"/>
        <w:kinsoku/>
        <w:wordWrap/>
        <w:overflowPunct/>
        <w:topLinePunct w:val="0"/>
        <w:autoSpaceDE/>
        <w:autoSpaceDN/>
        <w:bidi w:val="0"/>
        <w:adjustRightInd w:val="0"/>
        <w:snapToGrid w:val="0"/>
        <w:ind w:left="0" w:leftChars="0" w:firstLine="0" w:firstLineChars="0"/>
        <w:jc w:val="center"/>
        <w:textAlignment w:val="auto"/>
        <w:outlineLvl w:val="9"/>
        <w:rPr>
          <w:rFonts w:hint="eastAsia" w:ascii="Times New Roman" w:hAnsi="Times New Roman" w:eastAsia="宋体" w:cs="Times New Roman"/>
          <w:b/>
          <w:bCs/>
          <w:kern w:val="2"/>
          <w:sz w:val="21"/>
          <w:szCs w:val="21"/>
          <w:lang w:val="en-US" w:eastAsia="zh-CN" w:bidi="ar-SA"/>
        </w:rPr>
      </w:pPr>
    </w:p>
    <w:p w14:paraId="68F2A045">
      <w:pPr>
        <w:keepNext w:val="0"/>
        <w:keepLines w:val="0"/>
        <w:pageBreakBefore w:val="0"/>
        <w:widowControl w:val="0"/>
        <w:kinsoku/>
        <w:wordWrap/>
        <w:overflowPunct/>
        <w:topLinePunct w:val="0"/>
        <w:autoSpaceDE/>
        <w:autoSpaceDN/>
        <w:bidi w:val="0"/>
        <w:adjustRightInd w:val="0"/>
        <w:snapToGrid w:val="0"/>
        <w:ind w:left="0" w:leftChars="0" w:firstLine="0" w:firstLineChars="0"/>
        <w:jc w:val="center"/>
        <w:textAlignment w:val="auto"/>
        <w:outlineLvl w:val="9"/>
        <w:rPr>
          <w:rFonts w:hint="eastAsia" w:ascii="Times New Roman" w:hAnsi="Times New Roman" w:eastAsia="宋体" w:cs="Times New Roman"/>
          <w:b/>
          <w:bCs/>
          <w:kern w:val="2"/>
          <w:sz w:val="21"/>
          <w:szCs w:val="21"/>
          <w:lang w:val="en-US" w:eastAsia="zh-CN" w:bidi="ar-SA"/>
        </w:rPr>
      </w:pPr>
    </w:p>
    <w:p w14:paraId="017E97CA">
      <w:pPr>
        <w:bidi w:val="0"/>
        <w:ind w:left="0" w:leftChars="0" w:firstLine="0" w:firstLineChars="0"/>
        <w:jc w:val="center"/>
        <w:outlineLvl w:val="3"/>
      </w:pPr>
      <w:r>
        <w:rPr>
          <w:rFonts w:hint="eastAsia" w:ascii="Times New Roman" w:hAnsi="Times New Roman" w:eastAsia="宋体" w:cs="Times New Roman"/>
          <w:b/>
          <w:bCs/>
          <w:kern w:val="2"/>
          <w:sz w:val="21"/>
          <w:szCs w:val="21"/>
          <w:lang w:val="en-US" w:eastAsia="zh-CN" w:bidi="ar-SA"/>
        </w:rPr>
        <w:t>表</w:t>
      </w:r>
      <w:r>
        <w:rPr>
          <w:rFonts w:hint="eastAsia" w:ascii="Times New Roman" w:hAnsi="Times New Roman" w:cs="Times New Roman"/>
          <w:b/>
          <w:bCs/>
          <w:kern w:val="2"/>
          <w:sz w:val="21"/>
          <w:szCs w:val="21"/>
          <w:lang w:val="en-US" w:eastAsia="zh-CN" w:bidi="ar-SA"/>
        </w:rPr>
        <w:t>1</w:t>
      </w:r>
      <w:r>
        <w:rPr>
          <w:rFonts w:hint="eastAsia" w:ascii="Times New Roman" w:hAnsi="Times New Roman" w:eastAsia="宋体" w:cs="Times New Roman"/>
          <w:b/>
          <w:bCs/>
          <w:kern w:val="2"/>
          <w:sz w:val="21"/>
          <w:szCs w:val="21"/>
          <w:lang w:val="en-US" w:eastAsia="zh-CN" w:bidi="ar-SA"/>
        </w:rPr>
        <w:t>.1</w:t>
      </w:r>
      <w:r>
        <w:rPr>
          <w:rFonts w:ascii="Times New Roman" w:hAnsi="Times New Roman" w:eastAsia="宋体" w:cs="Times New Roman"/>
          <w:b/>
          <w:bCs/>
          <w:kern w:val="2"/>
          <w:sz w:val="21"/>
          <w:szCs w:val="21"/>
          <w:lang w:val="en-US" w:eastAsia="zh-CN" w:bidi="ar-SA"/>
        </w:rPr>
        <w:t>-1</w:t>
      </w:r>
      <w:r>
        <w:rPr>
          <w:rFonts w:hint="eastAsia" w:ascii="Times New Roman" w:hAnsi="Times New Roman" w:eastAsia="宋体" w:cs="Times New Roman"/>
          <w:b/>
          <w:bCs/>
          <w:kern w:val="2"/>
          <w:sz w:val="21"/>
          <w:szCs w:val="21"/>
          <w:lang w:val="en-US" w:eastAsia="zh-CN" w:bidi="ar-SA"/>
        </w:rPr>
        <w:t>矿区范围拐点坐标表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935"/>
        <w:gridCol w:w="3290"/>
        <w:gridCol w:w="3291"/>
      </w:tblGrid>
      <w:tr w14:paraId="532948A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Merge w:val="restart"/>
            <w:vAlign w:val="center"/>
          </w:tcPr>
          <w:p w14:paraId="61EAB83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拐点编号</w:t>
            </w:r>
          </w:p>
        </w:tc>
        <w:tc>
          <w:tcPr>
            <w:tcW w:w="6581" w:type="dxa"/>
            <w:gridSpan w:val="2"/>
            <w:vAlign w:val="center"/>
          </w:tcPr>
          <w:p w14:paraId="3B8D026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2000国家大地坐标</w:t>
            </w:r>
          </w:p>
        </w:tc>
      </w:tr>
      <w:tr w14:paraId="1922F4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Merge w:val="continue"/>
            <w:vAlign w:val="center"/>
          </w:tcPr>
          <w:p w14:paraId="0123FB3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p>
        </w:tc>
        <w:tc>
          <w:tcPr>
            <w:tcW w:w="3290" w:type="dxa"/>
            <w:vAlign w:val="center"/>
          </w:tcPr>
          <w:p w14:paraId="23616C9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X坐标</w:t>
            </w:r>
          </w:p>
        </w:tc>
        <w:tc>
          <w:tcPr>
            <w:tcW w:w="3291" w:type="dxa"/>
            <w:vAlign w:val="center"/>
          </w:tcPr>
          <w:p w14:paraId="76A1D89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Y坐标</w:t>
            </w:r>
          </w:p>
        </w:tc>
      </w:tr>
      <w:tr w14:paraId="7EA240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1E9446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1</w:t>
            </w:r>
          </w:p>
        </w:tc>
        <w:tc>
          <w:tcPr>
            <w:tcW w:w="3290" w:type="dxa"/>
            <w:vAlign w:val="center"/>
          </w:tcPr>
          <w:p w14:paraId="03EB2A7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2620459.050</w:t>
            </w:r>
          </w:p>
        </w:tc>
        <w:tc>
          <w:tcPr>
            <w:tcW w:w="3291" w:type="dxa"/>
            <w:vAlign w:val="center"/>
          </w:tcPr>
          <w:p w14:paraId="67E2F57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35491831.640</w:t>
            </w:r>
          </w:p>
        </w:tc>
      </w:tr>
      <w:tr w14:paraId="3B995A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7E652B2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w:t>
            </w:r>
          </w:p>
        </w:tc>
        <w:tc>
          <w:tcPr>
            <w:tcW w:w="3290" w:type="dxa"/>
            <w:vAlign w:val="center"/>
          </w:tcPr>
          <w:p w14:paraId="2993C1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2620291.600</w:t>
            </w:r>
          </w:p>
        </w:tc>
        <w:tc>
          <w:tcPr>
            <w:tcW w:w="3291" w:type="dxa"/>
            <w:vAlign w:val="center"/>
          </w:tcPr>
          <w:p w14:paraId="6F575C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35491847.520</w:t>
            </w:r>
          </w:p>
        </w:tc>
      </w:tr>
      <w:tr w14:paraId="495025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0FFE272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w:t>
            </w:r>
          </w:p>
        </w:tc>
        <w:tc>
          <w:tcPr>
            <w:tcW w:w="3290" w:type="dxa"/>
            <w:vAlign w:val="center"/>
          </w:tcPr>
          <w:p w14:paraId="0A4083F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2620279.920</w:t>
            </w:r>
          </w:p>
        </w:tc>
        <w:tc>
          <w:tcPr>
            <w:tcW w:w="3291" w:type="dxa"/>
            <w:vAlign w:val="center"/>
          </w:tcPr>
          <w:p w14:paraId="6F62B97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35491808.560</w:t>
            </w:r>
          </w:p>
        </w:tc>
      </w:tr>
      <w:tr w14:paraId="6B41E0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7DF9011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4</w:t>
            </w:r>
          </w:p>
        </w:tc>
        <w:tc>
          <w:tcPr>
            <w:tcW w:w="3290" w:type="dxa"/>
            <w:vAlign w:val="center"/>
          </w:tcPr>
          <w:p w14:paraId="526B4EE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2620209.800</w:t>
            </w:r>
          </w:p>
        </w:tc>
        <w:tc>
          <w:tcPr>
            <w:tcW w:w="3291" w:type="dxa"/>
            <w:vAlign w:val="center"/>
          </w:tcPr>
          <w:p w14:paraId="1EBF86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35491769.320</w:t>
            </w:r>
          </w:p>
        </w:tc>
      </w:tr>
      <w:tr w14:paraId="42218D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3D7B4E4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5</w:t>
            </w:r>
          </w:p>
        </w:tc>
        <w:tc>
          <w:tcPr>
            <w:tcW w:w="3290" w:type="dxa"/>
            <w:vAlign w:val="center"/>
          </w:tcPr>
          <w:p w14:paraId="13AC910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2620170.800</w:t>
            </w:r>
          </w:p>
        </w:tc>
        <w:tc>
          <w:tcPr>
            <w:tcW w:w="3291" w:type="dxa"/>
            <w:vAlign w:val="center"/>
          </w:tcPr>
          <w:p w14:paraId="4C6093F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35491723.320</w:t>
            </w:r>
          </w:p>
        </w:tc>
      </w:tr>
      <w:tr w14:paraId="31BAD0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57279BFC">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6</w:t>
            </w:r>
          </w:p>
        </w:tc>
        <w:tc>
          <w:tcPr>
            <w:tcW w:w="3290" w:type="dxa"/>
            <w:vAlign w:val="center"/>
          </w:tcPr>
          <w:p w14:paraId="372206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2620255.790</w:t>
            </w:r>
          </w:p>
        </w:tc>
        <w:tc>
          <w:tcPr>
            <w:tcW w:w="3291" w:type="dxa"/>
            <w:vAlign w:val="center"/>
          </w:tcPr>
          <w:p w14:paraId="5F45324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35491654.000</w:t>
            </w:r>
          </w:p>
        </w:tc>
      </w:tr>
      <w:tr w14:paraId="429F7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75CA628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7</w:t>
            </w:r>
          </w:p>
        </w:tc>
        <w:tc>
          <w:tcPr>
            <w:tcW w:w="3290" w:type="dxa"/>
            <w:vAlign w:val="center"/>
          </w:tcPr>
          <w:p w14:paraId="3193601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2620301.910</w:t>
            </w:r>
          </w:p>
        </w:tc>
        <w:tc>
          <w:tcPr>
            <w:tcW w:w="3291" w:type="dxa"/>
            <w:vAlign w:val="center"/>
          </w:tcPr>
          <w:p w14:paraId="48FFDDA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35491668.420</w:t>
            </w:r>
          </w:p>
        </w:tc>
      </w:tr>
      <w:tr w14:paraId="401E24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2047910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8</w:t>
            </w:r>
          </w:p>
        </w:tc>
        <w:tc>
          <w:tcPr>
            <w:tcW w:w="3290" w:type="dxa"/>
            <w:vAlign w:val="center"/>
          </w:tcPr>
          <w:p w14:paraId="760D3F0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2620360.110</w:t>
            </w:r>
          </w:p>
        </w:tc>
        <w:tc>
          <w:tcPr>
            <w:tcW w:w="3291" w:type="dxa"/>
            <w:vAlign w:val="center"/>
          </w:tcPr>
          <w:p w14:paraId="318CF6D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35491766.060</w:t>
            </w:r>
          </w:p>
        </w:tc>
      </w:tr>
      <w:tr w14:paraId="26D485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0BF7F1B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9</w:t>
            </w:r>
          </w:p>
        </w:tc>
        <w:tc>
          <w:tcPr>
            <w:tcW w:w="3290" w:type="dxa"/>
            <w:vAlign w:val="center"/>
          </w:tcPr>
          <w:p w14:paraId="601150F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2620386.990</w:t>
            </w:r>
          </w:p>
        </w:tc>
        <w:tc>
          <w:tcPr>
            <w:tcW w:w="3291" w:type="dxa"/>
            <w:vAlign w:val="center"/>
          </w:tcPr>
          <w:p w14:paraId="71DF7D6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35491777.690</w:t>
            </w:r>
          </w:p>
        </w:tc>
      </w:tr>
      <w:tr w14:paraId="547F8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118E557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10</w:t>
            </w:r>
          </w:p>
        </w:tc>
        <w:tc>
          <w:tcPr>
            <w:tcW w:w="3290" w:type="dxa"/>
            <w:vAlign w:val="center"/>
          </w:tcPr>
          <w:p w14:paraId="693CA12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2620425.270</w:t>
            </w:r>
          </w:p>
        </w:tc>
        <w:tc>
          <w:tcPr>
            <w:tcW w:w="3291" w:type="dxa"/>
            <w:vAlign w:val="center"/>
          </w:tcPr>
          <w:p w14:paraId="7A6BEB6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35491766.130</w:t>
            </w:r>
          </w:p>
        </w:tc>
      </w:tr>
      <w:tr w14:paraId="60F8264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5A0478C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矿区面积</w:t>
            </w:r>
          </w:p>
        </w:tc>
        <w:tc>
          <w:tcPr>
            <w:tcW w:w="6581" w:type="dxa"/>
            <w:gridSpan w:val="2"/>
            <w:vAlign w:val="center"/>
          </w:tcPr>
          <w:p w14:paraId="602998E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0.0266</w:t>
            </w:r>
            <w:r>
              <w:rPr>
                <w:rFonts w:hint="eastAsia" w:ascii="宋体" w:hAnsi="宋体" w:eastAsia="宋体" w:cs="宋体"/>
                <w:snapToGrid w:val="0"/>
                <w:color w:val="000000"/>
                <w:spacing w:val="0"/>
                <w:kern w:val="0"/>
                <w:sz w:val="21"/>
                <w:szCs w:val="21"/>
              </w:rPr>
              <w:t>km</w:t>
            </w:r>
            <w:r>
              <w:rPr>
                <w:rFonts w:hint="eastAsia" w:ascii="宋体" w:hAnsi="宋体" w:eastAsia="宋体" w:cs="宋体"/>
                <w:snapToGrid w:val="0"/>
                <w:color w:val="000000"/>
                <w:spacing w:val="0"/>
                <w:kern w:val="0"/>
                <w:sz w:val="21"/>
                <w:szCs w:val="21"/>
                <w:vertAlign w:val="superscript"/>
              </w:rPr>
              <w:t>2</w:t>
            </w:r>
          </w:p>
        </w:tc>
      </w:tr>
      <w:tr w14:paraId="51A61A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3" w:hRule="atLeast"/>
          <w:jc w:val="center"/>
        </w:trPr>
        <w:tc>
          <w:tcPr>
            <w:tcW w:w="1935" w:type="dxa"/>
            <w:vAlign w:val="center"/>
          </w:tcPr>
          <w:p w14:paraId="0973FC9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矿区高程</w:t>
            </w:r>
          </w:p>
        </w:tc>
        <w:tc>
          <w:tcPr>
            <w:tcW w:w="6581" w:type="dxa"/>
            <w:gridSpan w:val="2"/>
            <w:vAlign w:val="center"/>
          </w:tcPr>
          <w:p w14:paraId="38E821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vertAlign w:val="baseline"/>
              </w:rPr>
            </w:pPr>
            <w:r>
              <w:rPr>
                <w:rFonts w:hint="eastAsia" w:ascii="宋体" w:hAnsi="宋体" w:eastAsia="宋体" w:cs="宋体"/>
                <w:spacing w:val="0"/>
                <w:kern w:val="0"/>
                <w:sz w:val="21"/>
                <w:szCs w:val="21"/>
              </w:rPr>
              <w:t>1724m</w:t>
            </w:r>
            <w:r>
              <w:rPr>
                <w:rFonts w:hint="eastAsia" w:ascii="Times New Roman" w:hAnsi="Times New Roman" w:eastAsia="宋体" w:cs="宋体"/>
                <w:spacing w:val="0"/>
                <w:kern w:val="2"/>
                <w:sz w:val="21"/>
                <w:szCs w:val="21"/>
                <w:lang w:eastAsia="zh-CN"/>
              </w:rPr>
              <w:t>～</w:t>
            </w:r>
            <w:r>
              <w:rPr>
                <w:rFonts w:hint="eastAsia" w:ascii="宋体" w:hAnsi="宋体" w:eastAsia="宋体" w:cs="宋体"/>
                <w:spacing w:val="0"/>
                <w:kern w:val="0"/>
                <w:sz w:val="21"/>
                <w:szCs w:val="21"/>
              </w:rPr>
              <w:t>1607m</w:t>
            </w:r>
          </w:p>
        </w:tc>
      </w:tr>
    </w:tbl>
    <w:p w14:paraId="65EAE78B">
      <w:pPr>
        <w:rPr>
          <w:rFonts w:hint="eastAsia"/>
          <w:lang w:val="en-US" w:eastAsia="zh-CN"/>
        </w:rPr>
      </w:pPr>
      <w:r>
        <w:rPr>
          <w:rFonts w:hint="eastAsia"/>
          <w:lang w:val="en-US" w:eastAsia="zh-CN"/>
        </w:rPr>
        <w:br w:type="page"/>
      </w:r>
    </w:p>
    <w:p w14:paraId="7E83CFBD">
      <w:pPr>
        <w:bidi w:val="0"/>
        <w:rPr>
          <w:rFonts w:hint="eastAsia"/>
          <w:lang w:val="en-US" w:eastAsia="zh-CN"/>
        </w:rPr>
      </w:pPr>
    </w:p>
    <w:p w14:paraId="067EA117">
      <w:pPr>
        <w:bidi w:val="0"/>
        <w:rPr>
          <w:rFonts w:hint="default" w:ascii="Times New Roman" w:hAnsi="Times New Roman" w:eastAsia="宋体" w:cs="Times New Roman"/>
          <w:b/>
          <w:bCs/>
          <w:kern w:val="2"/>
          <w:szCs w:val="21"/>
          <w:lang w:val="en-US" w:eastAsia="zh-CN" w:bidi="ar-SA"/>
        </w:rPr>
      </w:pPr>
      <w:r>
        <w:rPr>
          <w:rFonts w:hint="eastAsia"/>
          <w:lang w:val="en-US" w:eastAsia="zh-CN"/>
        </w:rPr>
        <w:t>矿权关系见表矿权关系示意图（图1.1-1）</w:t>
      </w:r>
    </w:p>
    <w:tbl>
      <w:tblPr>
        <w:tblStyle w:val="36"/>
        <w:tblW w:w="0" w:type="auto"/>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8898"/>
      </w:tblGrid>
      <w:tr w14:paraId="20484E8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jc w:val="center"/>
        </w:trPr>
        <w:tc>
          <w:tcPr>
            <w:tcW w:w="8898" w:type="dxa"/>
            <w:tcBorders>
              <w:tl2br w:val="nil"/>
              <w:tr2bl w:val="nil"/>
            </w:tcBorders>
            <w:vAlign w:val="top"/>
          </w:tcPr>
          <w:p w14:paraId="715EBF63">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0" w:firstLineChars="0"/>
              <w:jc w:val="both"/>
              <w:textAlignment w:val="auto"/>
              <w:outlineLvl w:val="9"/>
              <w:rPr>
                <w:rFonts w:hint="eastAsia" w:ascii="Times New Roman" w:hAnsi="Times New Roman" w:eastAsia="宋体" w:cs="Times New Roman"/>
                <w:vertAlign w:val="baseline"/>
                <w:lang w:eastAsia="zh-CN"/>
              </w:rPr>
            </w:pPr>
            <w:r>
              <w:rPr>
                <w:rFonts w:hint="eastAsia" w:ascii="宋体" w:hAnsi="宋体" w:cs="宋体"/>
                <w:b/>
                <w:bCs/>
                <w:color w:val="00B050"/>
                <w:sz w:val="28"/>
                <w:szCs w:val="28"/>
              </w:rPr>
              <w:drawing>
                <wp:inline distT="0" distB="0" distL="114300" distR="114300">
                  <wp:extent cx="5758180" cy="7173595"/>
                  <wp:effectExtent l="0" t="0" r="13970" b="8255"/>
                  <wp:docPr id="9" name="图片 1" descr="叠合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1" descr="叠合图"/>
                          <pic:cNvPicPr>
                            <a:picLocks noChangeAspect="1"/>
                          </pic:cNvPicPr>
                        </pic:nvPicPr>
                        <pic:blipFill>
                          <a:blip r:embed="rId17"/>
                          <a:srcRect b="3806"/>
                          <a:stretch>
                            <a:fillRect/>
                          </a:stretch>
                        </pic:blipFill>
                        <pic:spPr>
                          <a:xfrm>
                            <a:off x="0" y="0"/>
                            <a:ext cx="5758180" cy="7173595"/>
                          </a:xfrm>
                          <a:prstGeom prst="rect">
                            <a:avLst/>
                          </a:prstGeom>
                          <a:noFill/>
                          <a:ln>
                            <a:noFill/>
                          </a:ln>
                        </pic:spPr>
                      </pic:pic>
                    </a:graphicData>
                  </a:graphic>
                </wp:inline>
              </w:drawing>
            </w:r>
          </w:p>
        </w:tc>
      </w:tr>
      <w:tr w14:paraId="1F4318E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72" w:hRule="atLeast"/>
          <w:jc w:val="center"/>
        </w:trPr>
        <w:tc>
          <w:tcPr>
            <w:tcW w:w="8898" w:type="dxa"/>
            <w:tcBorders>
              <w:tl2br w:val="nil"/>
              <w:tr2bl w:val="nil"/>
            </w:tcBorders>
            <w:vAlign w:val="center"/>
          </w:tcPr>
          <w:p w14:paraId="334F0E17">
            <w:pPr>
              <w:pStyle w:val="47"/>
              <w:bidi w:val="0"/>
              <w:rPr>
                <w:rFonts w:hint="eastAsia" w:ascii="宋体" w:hAnsi="宋体" w:cs="宋体"/>
                <w:b/>
                <w:bCs/>
                <w:color w:val="00B050"/>
                <w:szCs w:val="28"/>
              </w:rPr>
            </w:pPr>
            <w:r>
              <w:rPr>
                <w:rFonts w:hint="eastAsia"/>
                <w:lang w:val="en-US" w:eastAsia="zh-CN"/>
              </w:rPr>
              <w:t>图1.1-1矿权关系见表矿权关系示意图</w:t>
            </w:r>
          </w:p>
        </w:tc>
      </w:tr>
    </w:tbl>
    <w:p w14:paraId="3EAFE320">
      <w:pPr>
        <w:bidi w:val="0"/>
        <w:ind w:firstLine="552" w:firstLineChars="200"/>
        <w:outlineLvl w:val="3"/>
      </w:pPr>
      <w:r>
        <w:t>2、设计范围</w:t>
      </w:r>
    </w:p>
    <w:p w14:paraId="33724BCD">
      <w:pPr>
        <w:bidi w:val="0"/>
      </w:pPr>
      <w:r>
        <w:rPr>
          <w:color w:val="auto"/>
        </w:rPr>
        <w:t>设计开采范围为：</w:t>
      </w:r>
      <w:r>
        <w:rPr>
          <w:rFonts w:hint="eastAsia"/>
          <w:color w:val="auto"/>
          <w:lang w:val="en-US" w:eastAsia="zh-CN"/>
        </w:rPr>
        <w:t>按照</w:t>
      </w:r>
      <w:r>
        <w:rPr>
          <w:color w:val="auto"/>
        </w:rPr>
        <w:t>表1-1矿区范围拐点坐标表</w:t>
      </w:r>
      <w:r>
        <w:rPr>
          <w:rFonts w:hint="eastAsia" w:hAnsi="宋体"/>
          <w:i w:val="0"/>
          <w:iCs w:val="0"/>
          <w:color w:val="auto"/>
          <w:kern w:val="0"/>
          <w:sz w:val="28"/>
          <w:szCs w:val="28"/>
        </w:rPr>
        <w:t>云南省广南县麦地大山建筑石料用石灰岩矿</w:t>
      </w:r>
      <w:r>
        <w:rPr>
          <w:i w:val="0"/>
          <w:iCs w:val="0"/>
          <w:color w:val="auto"/>
          <w:sz w:val="28"/>
          <w:szCs w:val="28"/>
        </w:rPr>
        <w:t>拟设矿区范围由</w:t>
      </w:r>
      <w:r>
        <w:rPr>
          <w:rFonts w:hint="eastAsia"/>
          <w:i w:val="0"/>
          <w:iCs w:val="0"/>
          <w:color w:val="auto"/>
          <w:sz w:val="28"/>
          <w:szCs w:val="28"/>
        </w:rPr>
        <w:t>10</w:t>
      </w:r>
      <w:r>
        <w:rPr>
          <w:i w:val="0"/>
          <w:iCs w:val="0"/>
          <w:color w:val="auto"/>
          <w:sz w:val="28"/>
          <w:szCs w:val="28"/>
        </w:rPr>
        <w:t>个拐点圈定，矿区面积</w:t>
      </w:r>
      <w:r>
        <w:rPr>
          <w:i w:val="0"/>
          <w:iCs w:val="0"/>
          <w:color w:val="auto"/>
          <w:kern w:val="0"/>
          <w:sz w:val="28"/>
          <w:szCs w:val="28"/>
        </w:rPr>
        <w:t>0.</w:t>
      </w:r>
      <w:r>
        <w:rPr>
          <w:rFonts w:hint="eastAsia"/>
          <w:i w:val="0"/>
          <w:iCs w:val="0"/>
          <w:color w:val="auto"/>
          <w:kern w:val="0"/>
          <w:sz w:val="28"/>
          <w:szCs w:val="28"/>
        </w:rPr>
        <w:t>0266</w:t>
      </w:r>
      <w:r>
        <w:rPr>
          <w:i w:val="0"/>
          <w:iCs w:val="0"/>
          <w:color w:val="auto"/>
          <w:sz w:val="28"/>
          <w:szCs w:val="28"/>
        </w:rPr>
        <w:t>km</w:t>
      </w:r>
      <w:r>
        <w:rPr>
          <w:i w:val="0"/>
          <w:iCs w:val="0"/>
          <w:color w:val="auto"/>
          <w:sz w:val="28"/>
          <w:szCs w:val="28"/>
          <w:vertAlign w:val="superscript"/>
        </w:rPr>
        <w:t>2</w:t>
      </w:r>
      <w:r>
        <w:rPr>
          <w:i w:val="0"/>
          <w:iCs w:val="0"/>
          <w:color w:val="auto"/>
          <w:sz w:val="28"/>
          <w:szCs w:val="28"/>
        </w:rPr>
        <w:t>，开采标高为</w:t>
      </w:r>
      <w:r>
        <w:rPr>
          <w:rFonts w:hint="eastAsia"/>
          <w:i w:val="0"/>
          <w:iCs w:val="0"/>
          <w:snapToGrid w:val="0"/>
          <w:color w:val="auto"/>
          <w:kern w:val="0"/>
          <w:sz w:val="28"/>
          <w:szCs w:val="28"/>
        </w:rPr>
        <w:t>1724</w:t>
      </w:r>
      <w:r>
        <w:rPr>
          <w:i w:val="0"/>
          <w:iCs w:val="0"/>
          <w:snapToGrid w:val="0"/>
          <w:color w:val="auto"/>
          <w:kern w:val="0"/>
          <w:sz w:val="28"/>
          <w:szCs w:val="28"/>
        </w:rPr>
        <w:t>m～</w:t>
      </w:r>
      <w:r>
        <w:rPr>
          <w:rFonts w:hint="eastAsia"/>
          <w:i w:val="0"/>
          <w:iCs w:val="0"/>
          <w:snapToGrid w:val="0"/>
          <w:color w:val="auto"/>
          <w:kern w:val="0"/>
          <w:sz w:val="28"/>
          <w:szCs w:val="28"/>
        </w:rPr>
        <w:t>1607</w:t>
      </w:r>
      <w:r>
        <w:rPr>
          <w:i w:val="0"/>
          <w:iCs w:val="0"/>
          <w:snapToGrid w:val="0"/>
          <w:color w:val="auto"/>
          <w:kern w:val="0"/>
          <w:sz w:val="28"/>
          <w:szCs w:val="28"/>
        </w:rPr>
        <w:t>m</w:t>
      </w:r>
      <w:r>
        <w:rPr>
          <w:rFonts w:hint="eastAsia"/>
          <w:i w:val="0"/>
          <w:iCs w:val="0"/>
          <w:snapToGrid w:val="0"/>
          <w:color w:val="auto"/>
          <w:kern w:val="0"/>
          <w:sz w:val="28"/>
          <w:szCs w:val="28"/>
          <w:lang w:eastAsia="zh-CN"/>
        </w:rPr>
        <w:t>，</w:t>
      </w:r>
      <w:r>
        <w:rPr>
          <w:rFonts w:hint="eastAsia"/>
          <w:i w:val="0"/>
          <w:iCs w:val="0"/>
          <w:snapToGrid w:val="0"/>
          <w:color w:val="auto"/>
          <w:kern w:val="0"/>
          <w:sz w:val="28"/>
          <w:szCs w:val="28"/>
          <w:lang w:val="en-US" w:eastAsia="zh-CN"/>
        </w:rPr>
        <w:t>开采深度117m</w:t>
      </w:r>
      <w:r>
        <w:rPr>
          <w:rFonts w:hint="default" w:ascii="Times New Roman" w:hAnsi="Times New Roman" w:eastAsia="宋体" w:cs="Times New Roman"/>
          <w:color w:val="auto"/>
          <w:lang w:val="zh-TW"/>
        </w:rPr>
        <w:t>。</w:t>
      </w:r>
      <w:r>
        <w:rPr>
          <w:color w:val="auto"/>
        </w:rPr>
        <w:t>从矿权范围内最高地形标高</w:t>
      </w:r>
      <w:r>
        <w:rPr>
          <w:rFonts w:hint="eastAsia"/>
          <w:color w:val="auto"/>
          <w:lang w:val="en-US" w:eastAsia="zh-CN"/>
        </w:rPr>
        <w:t>1720</w:t>
      </w:r>
      <w:r>
        <w:rPr>
          <w:color w:val="auto"/>
        </w:rPr>
        <w:t>m（</w:t>
      </w:r>
      <w:r>
        <w:rPr>
          <w:rFonts w:hint="eastAsia"/>
          <w:color w:val="auto"/>
        </w:rPr>
        <w:t>最高点</w:t>
      </w:r>
      <w:r>
        <w:rPr>
          <w:color w:val="auto"/>
        </w:rPr>
        <w:t>）往下分台阶开采，开采最低标高为1</w:t>
      </w:r>
      <w:r>
        <w:rPr>
          <w:rFonts w:hint="eastAsia"/>
          <w:color w:val="auto"/>
          <w:lang w:val="en-US" w:eastAsia="zh-CN"/>
        </w:rPr>
        <w:t>607</w:t>
      </w:r>
      <w:r>
        <w:rPr>
          <w:color w:val="auto"/>
        </w:rPr>
        <w:t>m</w:t>
      </w:r>
      <w:r>
        <w:rPr>
          <w:rFonts w:hint="eastAsia"/>
          <w:color w:val="auto"/>
          <w:lang w:eastAsia="zh-CN"/>
        </w:rPr>
        <w:t>，</w:t>
      </w:r>
      <w:r>
        <w:rPr>
          <w:rFonts w:hint="eastAsia"/>
          <w:color w:val="auto"/>
          <w:lang w:val="en-US" w:eastAsia="zh-CN"/>
        </w:rPr>
        <w:t>台阶高度15m</w:t>
      </w:r>
      <w:r>
        <w:rPr>
          <w:color w:val="auto"/>
        </w:rPr>
        <w:t>；最终露天采场边坡为1</w:t>
      </w:r>
      <w:r>
        <w:rPr>
          <w:rFonts w:hint="eastAsia"/>
          <w:color w:val="auto"/>
          <w:lang w:val="en-US" w:eastAsia="zh-CN"/>
        </w:rPr>
        <w:t>720</w:t>
      </w:r>
      <w:r>
        <w:rPr>
          <w:rFonts w:hint="eastAsia"/>
          <w:color w:val="auto"/>
        </w:rPr>
        <w:t>～</w:t>
      </w:r>
      <w:r>
        <w:rPr>
          <w:color w:val="auto"/>
        </w:rPr>
        <w:t>1</w:t>
      </w:r>
      <w:r>
        <w:rPr>
          <w:rFonts w:hint="eastAsia"/>
          <w:color w:val="auto"/>
          <w:lang w:val="en-US" w:eastAsia="zh-CN"/>
        </w:rPr>
        <w:t>607</w:t>
      </w:r>
      <w:r>
        <w:rPr>
          <w:color w:val="auto"/>
        </w:rPr>
        <w:t>m，边坡垂高11</w:t>
      </w:r>
      <w:r>
        <w:rPr>
          <w:rFonts w:hint="eastAsia"/>
          <w:color w:val="auto"/>
          <w:lang w:val="en-US" w:eastAsia="zh-CN"/>
        </w:rPr>
        <w:t>3</w:t>
      </w:r>
      <w:r>
        <w:rPr>
          <w:color w:val="auto"/>
        </w:rPr>
        <w:t>m。</w:t>
      </w:r>
      <w:r>
        <w:t>该矿山</w:t>
      </w:r>
      <w:r>
        <w:rPr>
          <w:rFonts w:hint="eastAsia"/>
          <w:lang w:val="en-US" w:eastAsia="zh-CN"/>
        </w:rPr>
        <w:t>对</w:t>
      </w:r>
      <w:r>
        <w:t>设计排土场</w:t>
      </w:r>
      <w:r>
        <w:rPr>
          <w:rFonts w:hint="eastAsia"/>
          <w:lang w:val="en-US" w:eastAsia="zh-CN"/>
        </w:rPr>
        <w:t>进行了变更</w:t>
      </w:r>
      <w:r>
        <w:t>。</w:t>
      </w:r>
    </w:p>
    <w:p w14:paraId="74037D07">
      <w:pPr>
        <w:bidi w:val="0"/>
        <w:ind w:firstLine="552" w:firstLineChars="200"/>
        <w:outlineLvl w:val="3"/>
      </w:pPr>
      <w:r>
        <w:t>3、安全验收评价范围</w:t>
      </w:r>
    </w:p>
    <w:p w14:paraId="202DBD37">
      <w:pPr>
        <w:bidi w:val="0"/>
      </w:pPr>
      <w:r>
        <w:t>根据委托书所载评价范围及</w:t>
      </w:r>
      <w:r>
        <w:rPr>
          <w:rFonts w:hint="eastAsia"/>
          <w:lang w:val="en-US" w:eastAsia="zh-CN"/>
        </w:rPr>
        <w:t>云南增股</w:t>
      </w:r>
      <w:r>
        <w:t>勘察设计有限公司编制的《</w:t>
      </w:r>
      <w:r>
        <w:rPr>
          <w:rFonts w:hint="eastAsia" w:hAnsi="宋体"/>
          <w:i w:val="0"/>
          <w:iCs w:val="0"/>
          <w:color w:val="000000"/>
          <w:kern w:val="0"/>
          <w:sz w:val="28"/>
          <w:szCs w:val="28"/>
        </w:rPr>
        <w:t>广南县麦地大山建筑石料用石灰岩矿</w:t>
      </w:r>
      <w:r>
        <w:rPr>
          <w:rFonts w:hint="eastAsia"/>
          <w:lang w:val="en-US" w:eastAsia="zh-CN"/>
        </w:rPr>
        <w:t>5</w:t>
      </w:r>
      <w:r>
        <w:t>0万t/a露天采矿工程安全设施设计》的内容，本次评价范围主要为</w:t>
      </w:r>
      <w:r>
        <w:rPr>
          <w:rFonts w:hint="eastAsia"/>
          <w:lang w:eastAsia="zh-CN"/>
        </w:rPr>
        <w:t>安全设施“三同时”程序、露天采场、</w:t>
      </w:r>
      <w:r>
        <w:rPr>
          <w:rFonts w:hint="eastAsia"/>
          <w:lang w:val="en-US" w:eastAsia="zh-CN"/>
        </w:rPr>
        <w:t>采场</w:t>
      </w:r>
      <w:r>
        <w:rPr>
          <w:rFonts w:hint="eastAsia"/>
          <w:lang w:eastAsia="zh-CN"/>
        </w:rPr>
        <w:t>防排水、</w:t>
      </w:r>
      <w:r>
        <w:rPr>
          <w:rFonts w:hint="eastAsia"/>
          <w:lang w:val="en-US" w:eastAsia="zh-CN"/>
        </w:rPr>
        <w:t>矿岩运输系统及破碎系统</w:t>
      </w:r>
      <w:r>
        <w:rPr>
          <w:rFonts w:hint="eastAsia"/>
          <w:lang w:eastAsia="zh-CN"/>
        </w:rPr>
        <w:t>、供配电</w:t>
      </w:r>
      <w:r>
        <w:rPr>
          <w:rFonts w:hint="eastAsia"/>
          <w:lang w:val="en-US" w:eastAsia="zh-CN"/>
        </w:rPr>
        <w:t>系统</w:t>
      </w:r>
      <w:r>
        <w:rPr>
          <w:rFonts w:hint="eastAsia"/>
          <w:lang w:eastAsia="zh-CN"/>
        </w:rPr>
        <w:t>、总平面布置、</w:t>
      </w:r>
      <w:r>
        <w:rPr>
          <w:rFonts w:hint="eastAsia"/>
          <w:lang w:val="en-US" w:eastAsia="zh-CN"/>
        </w:rPr>
        <w:t>通信系统、防尘与</w:t>
      </w:r>
      <w:r>
        <w:rPr>
          <w:rFonts w:hint="eastAsia"/>
          <w:lang w:eastAsia="zh-CN"/>
        </w:rPr>
        <w:t>个人安全防护</w:t>
      </w:r>
      <w:r>
        <w:rPr>
          <w:rFonts w:hint="eastAsia"/>
          <w:lang w:val="en-US" w:eastAsia="zh-CN"/>
        </w:rPr>
        <w:t>、</w:t>
      </w:r>
      <w:r>
        <w:rPr>
          <w:rFonts w:hint="eastAsia"/>
          <w:lang w:eastAsia="zh-CN"/>
        </w:rPr>
        <w:t>安全标志</w:t>
      </w:r>
      <w:r>
        <w:rPr>
          <w:rFonts w:hint="eastAsia"/>
          <w:lang w:val="en-US" w:eastAsia="zh-CN"/>
        </w:rPr>
        <w:t>、</w:t>
      </w:r>
      <w:r>
        <w:rPr>
          <w:rFonts w:hint="eastAsia"/>
          <w:lang w:eastAsia="zh-CN"/>
        </w:rPr>
        <w:t>安全管理</w:t>
      </w:r>
      <w:r>
        <w:rPr>
          <w:rFonts w:hint="eastAsia"/>
          <w:lang w:val="en-US" w:eastAsia="zh-CN"/>
        </w:rPr>
        <w:t>以及重大事故隐患判定、办公生活辅助设施</w:t>
      </w:r>
      <w:r>
        <w:t>等。</w:t>
      </w:r>
    </w:p>
    <w:p w14:paraId="703380DC">
      <w:pPr>
        <w:ind w:firstLine="560"/>
      </w:pPr>
      <w:r>
        <w:t>特别说明：凡涉及本项目的</w:t>
      </w:r>
      <w:r>
        <w:rPr>
          <w:rFonts w:hint="eastAsia"/>
          <w:lang w:val="en-US" w:eastAsia="zh-CN"/>
        </w:rPr>
        <w:t>炸药运输与管理、</w:t>
      </w:r>
      <w:r>
        <w:t>职业病及防治、环保、地质灾害评估问题</w:t>
      </w:r>
      <w:r>
        <w:rPr>
          <w:rFonts w:hint="eastAsia"/>
          <w:color w:val="000000"/>
          <w:lang w:eastAsia="zh-CN"/>
        </w:rPr>
        <w:t>，</w:t>
      </w:r>
      <w:r>
        <w:t>不在本次评价范围之内。但评价报告中会涉及到相关内容，企业应执行国家相关法律、法规、标准和规范要求。</w:t>
      </w:r>
    </w:p>
    <w:p w14:paraId="326AB353">
      <w:pPr>
        <w:pStyle w:val="3"/>
        <w:bidi w:val="0"/>
      </w:pPr>
      <w:bookmarkStart w:id="52" w:name="_Toc19461"/>
      <w:bookmarkStart w:id="53" w:name="_Toc19767"/>
      <w:r>
        <w:t>1.2评价依据</w:t>
      </w:r>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p>
    <w:p w14:paraId="426E357E">
      <w:pPr>
        <w:pStyle w:val="4"/>
      </w:pPr>
      <w:bookmarkStart w:id="54" w:name="_Toc503469780"/>
      <w:bookmarkStart w:id="55" w:name="_Toc214283989"/>
      <w:bookmarkStart w:id="56" w:name="_Toc27739"/>
      <w:bookmarkStart w:id="57" w:name="_Toc22166"/>
      <w:r>
        <w:t>1.2.1法律法规</w:t>
      </w:r>
      <w:bookmarkEnd w:id="54"/>
      <w:bookmarkEnd w:id="55"/>
      <w:bookmarkEnd w:id="56"/>
      <w:bookmarkEnd w:id="57"/>
    </w:p>
    <w:p w14:paraId="19070169">
      <w:pPr>
        <w:pStyle w:val="5"/>
      </w:pPr>
      <w:bookmarkStart w:id="58" w:name="_Toc3770"/>
      <w:bookmarkStart w:id="59" w:name="_Toc501120261"/>
      <w:bookmarkStart w:id="60" w:name="_Toc79"/>
      <w:bookmarkStart w:id="61" w:name="OLE_LINK13"/>
      <w:r>
        <w:t>1.2.1.1法律</w:t>
      </w:r>
      <w:bookmarkEnd w:id="58"/>
      <w:bookmarkEnd w:id="59"/>
      <w:bookmarkEnd w:id="60"/>
    </w:p>
    <w:p w14:paraId="73ED6411">
      <w:pPr>
        <w:bidi w:val="0"/>
        <w:rPr>
          <w:rFonts w:hint="default"/>
          <w:lang w:val="en-US" w:eastAsia="zh-CN"/>
        </w:rPr>
      </w:pPr>
      <w:r>
        <w:rPr>
          <w:rFonts w:hint="eastAsia"/>
          <w:lang w:val="en-US" w:eastAsia="zh-CN"/>
        </w:rPr>
        <w:t>1、《中华人民共和国矿产资源法》（1986年3月19日第六届全国人民代表大会常务委员会第十五次会议通过，自1986年10月1日起施行。由中华人民共和国第十四届全国人民代表大会常务委员会第十二次会议于2024年11月8日第3次修订通过，自2025年7月1日起施行）；</w:t>
      </w:r>
    </w:p>
    <w:p w14:paraId="0311AB1E">
      <w:pPr>
        <w:bidi w:val="0"/>
        <w:rPr>
          <w:rFonts w:hint="eastAsia"/>
          <w:lang w:val="en-US" w:eastAsia="zh-CN"/>
        </w:rPr>
      </w:pPr>
      <w:r>
        <w:rPr>
          <w:rFonts w:hint="eastAsia"/>
          <w:lang w:val="en-US" w:eastAsia="zh-CN"/>
        </w:rPr>
        <w:t>2、《中华人民共和国环境保护法》（1989年12月26日第七届全国人民代表大会常务委员会第十一次会议通过，2014年4月24日第十二届全国人民代表大会常务委员会第八次会议修订，2015年1月1日起施行）；</w:t>
      </w:r>
    </w:p>
    <w:p w14:paraId="5607514D">
      <w:pPr>
        <w:bidi w:val="0"/>
        <w:rPr>
          <w:rFonts w:hint="default"/>
          <w:lang w:val="en-US" w:eastAsia="zh-CN"/>
        </w:rPr>
      </w:pPr>
      <w:r>
        <w:rPr>
          <w:rFonts w:hint="eastAsia"/>
          <w:lang w:val="en-US" w:eastAsia="zh-CN"/>
        </w:rPr>
        <w:t>3、《中华人民共和国水土保持法》（1991年6月29日第七届全国人民代表大会常务委员会第二十次会议通过；2010年12月25日第十一届全国人民代表大会常务委员会第十八次会议修订，自2011年3月1日起施行）；</w:t>
      </w:r>
    </w:p>
    <w:p w14:paraId="61D9BD8D">
      <w:pPr>
        <w:bidi w:val="0"/>
      </w:pPr>
      <w:r>
        <w:rPr>
          <w:rFonts w:hint="eastAsia"/>
          <w:lang w:val="en-US" w:eastAsia="zh-CN"/>
        </w:rPr>
        <w:t>4、</w:t>
      </w:r>
      <w:r>
        <w:t>《中华人民共和国矿山安全法》（1992年11月7日第七届全国</w:t>
      </w:r>
      <w:r>
        <w:rPr>
          <w:rFonts w:hint="eastAsia"/>
          <w:lang w:eastAsia="zh-CN"/>
        </w:rPr>
        <w:t>人民代表大会常务委员会</w:t>
      </w:r>
      <w:r>
        <w:t>第二十八次会议通过，1992年11月7日中华人民共和国主席令第六十五号公布，根据2009年8月27日第十一届全国人民代表大会常务委员会第十次会议《关于修改部分法律的决定》修正；自2009年8月27日起施行）；</w:t>
      </w:r>
    </w:p>
    <w:p w14:paraId="00EB4389">
      <w:pPr>
        <w:bidi w:val="0"/>
        <w:rPr>
          <w:rFonts w:hint="eastAsia" w:eastAsia="楷体_gb2312"/>
          <w:lang w:eastAsia="zh-CN"/>
        </w:rPr>
      </w:pPr>
      <w:r>
        <w:rPr>
          <w:rFonts w:hint="eastAsia"/>
          <w:lang w:val="en-US" w:eastAsia="zh-CN"/>
        </w:rPr>
        <w:t>5、</w:t>
      </w:r>
      <w:r>
        <w:rPr>
          <w:rFonts w:hint="eastAsia"/>
        </w:rPr>
        <w:t>《中华人民共和国劳动法》</w:t>
      </w:r>
      <w:r>
        <w:rPr>
          <w:rFonts w:ascii="楷体_gb2312" w:hAnsi="楷体_gb2312" w:eastAsia="楷体_gb2312" w:cs="楷体_gb2312"/>
          <w:i w:val="0"/>
          <w:iCs w:val="0"/>
          <w:caps w:val="0"/>
          <w:spacing w:val="0"/>
          <w:sz w:val="31"/>
          <w:szCs w:val="31"/>
          <w:shd w:val="clear" w:color="auto" w:fill="FFFFFF"/>
        </w:rPr>
        <w:t>（</w:t>
      </w:r>
      <w:r>
        <w:rPr>
          <w:rFonts w:ascii="Times New Roman" w:hAnsi="Times New Roman" w:eastAsia="宋体" w:cs="Times New Roman"/>
          <w:i w:val="0"/>
          <w:iCs w:val="0"/>
          <w:caps w:val="0"/>
          <w:spacing w:val="0"/>
          <w:sz w:val="31"/>
          <w:szCs w:val="31"/>
          <w:shd w:val="clear" w:color="auto" w:fill="FFFFFF"/>
        </w:rPr>
        <w:t>1</w:t>
      </w:r>
      <w:r>
        <w:rPr>
          <w:rFonts w:hint="default" w:ascii="Times New Roman" w:hAnsi="Times New Roman" w:eastAsia="宋体" w:cs="Times New Roman"/>
          <w:i w:val="0"/>
          <w:iCs w:val="0"/>
          <w:caps w:val="0"/>
          <w:spacing w:val="0"/>
          <w:sz w:val="31"/>
          <w:szCs w:val="31"/>
          <w:shd w:val="clear" w:color="auto" w:fill="FFFFFF"/>
        </w:rPr>
        <w:t>994</w:t>
      </w:r>
      <w:r>
        <w:rPr>
          <w:rFonts w:hint="default" w:ascii="楷体_gb2312" w:hAnsi="楷体_gb2312" w:eastAsia="楷体_gb2312" w:cs="楷体_gb2312"/>
          <w:i w:val="0"/>
          <w:iCs w:val="0"/>
          <w:caps w:val="0"/>
          <w:spacing w:val="0"/>
          <w:sz w:val="31"/>
          <w:szCs w:val="31"/>
          <w:shd w:val="clear" w:color="auto" w:fill="FFFFFF"/>
        </w:rPr>
        <w:t>年</w:t>
      </w:r>
      <w:r>
        <w:rPr>
          <w:rFonts w:hint="default" w:ascii="Times New Roman" w:hAnsi="Times New Roman" w:eastAsia="宋体" w:cs="Times New Roman"/>
          <w:i w:val="0"/>
          <w:iCs w:val="0"/>
          <w:caps w:val="0"/>
          <w:spacing w:val="0"/>
          <w:sz w:val="31"/>
          <w:szCs w:val="31"/>
          <w:shd w:val="clear" w:color="auto" w:fill="FFFFFF"/>
        </w:rPr>
        <w:t>7</w:t>
      </w:r>
      <w:r>
        <w:rPr>
          <w:rFonts w:hint="default" w:ascii="楷体_gb2312" w:hAnsi="楷体_gb2312" w:eastAsia="楷体_gb2312" w:cs="楷体_gb2312"/>
          <w:i w:val="0"/>
          <w:iCs w:val="0"/>
          <w:caps w:val="0"/>
          <w:spacing w:val="0"/>
          <w:sz w:val="31"/>
          <w:szCs w:val="31"/>
          <w:shd w:val="clear" w:color="auto" w:fill="FFFFFF"/>
        </w:rPr>
        <w:t>月</w:t>
      </w:r>
      <w:r>
        <w:rPr>
          <w:rFonts w:hint="default" w:ascii="Times New Roman" w:hAnsi="Times New Roman" w:eastAsia="宋体" w:cs="Times New Roman"/>
          <w:i w:val="0"/>
          <w:iCs w:val="0"/>
          <w:caps w:val="0"/>
          <w:spacing w:val="0"/>
          <w:sz w:val="31"/>
          <w:szCs w:val="31"/>
          <w:shd w:val="clear" w:color="auto" w:fill="FFFFFF"/>
        </w:rPr>
        <w:t>5</w:t>
      </w:r>
      <w:r>
        <w:rPr>
          <w:rFonts w:hint="default" w:ascii="楷体_gb2312" w:hAnsi="楷体_gb2312" w:eastAsia="楷体_gb2312" w:cs="楷体_gb2312"/>
          <w:i w:val="0"/>
          <w:iCs w:val="0"/>
          <w:caps w:val="0"/>
          <w:spacing w:val="0"/>
          <w:sz w:val="31"/>
          <w:szCs w:val="31"/>
          <w:shd w:val="clear" w:color="auto" w:fill="FFFFFF"/>
        </w:rPr>
        <w:t>日第八届全国人民代表大会常务委员会第八次会议通过</w:t>
      </w:r>
      <w:r>
        <w:rPr>
          <w:rFonts w:hint="eastAsia" w:ascii="楷体_gb2312" w:hAnsi="楷体_gb2312" w:eastAsia="楷体_gb2312" w:cs="楷体_gb2312"/>
          <w:i w:val="0"/>
          <w:iCs w:val="0"/>
          <w:caps w:val="0"/>
          <w:spacing w:val="0"/>
          <w:sz w:val="31"/>
          <w:szCs w:val="31"/>
          <w:shd w:val="clear" w:color="auto" w:fill="FFFFFF"/>
          <w:lang w:eastAsia="zh-CN"/>
        </w:rPr>
        <w:t>；</w:t>
      </w:r>
      <w:r>
        <w:rPr>
          <w:rFonts w:hint="default" w:ascii="楷体_gb2312" w:hAnsi="楷体_gb2312" w:eastAsia="楷体_gb2312" w:cs="楷体_gb2312"/>
          <w:i w:val="0"/>
          <w:iCs w:val="0"/>
          <w:caps w:val="0"/>
          <w:spacing w:val="0"/>
          <w:sz w:val="31"/>
          <w:szCs w:val="31"/>
          <w:shd w:val="clear" w:color="auto" w:fill="FFFFFF"/>
        </w:rPr>
        <w:t>根据</w:t>
      </w:r>
      <w:r>
        <w:rPr>
          <w:rFonts w:hint="default" w:ascii="Times New Roman" w:hAnsi="Times New Roman" w:eastAsia="宋体" w:cs="Times New Roman"/>
          <w:i w:val="0"/>
          <w:iCs w:val="0"/>
          <w:caps w:val="0"/>
          <w:spacing w:val="0"/>
          <w:sz w:val="31"/>
          <w:szCs w:val="31"/>
          <w:shd w:val="clear" w:color="auto" w:fill="FFFFFF"/>
        </w:rPr>
        <w:t>2009</w:t>
      </w:r>
      <w:r>
        <w:rPr>
          <w:rFonts w:hint="default" w:ascii="楷体_gb2312" w:hAnsi="楷体_gb2312" w:eastAsia="楷体_gb2312" w:cs="楷体_gb2312"/>
          <w:i w:val="0"/>
          <w:iCs w:val="0"/>
          <w:caps w:val="0"/>
          <w:spacing w:val="0"/>
          <w:sz w:val="31"/>
          <w:szCs w:val="31"/>
          <w:shd w:val="clear" w:color="auto" w:fill="FFFFFF"/>
        </w:rPr>
        <w:t>年</w:t>
      </w:r>
      <w:r>
        <w:rPr>
          <w:rFonts w:hint="default" w:ascii="Times New Roman" w:hAnsi="Times New Roman" w:eastAsia="宋体" w:cs="Times New Roman"/>
          <w:i w:val="0"/>
          <w:iCs w:val="0"/>
          <w:caps w:val="0"/>
          <w:spacing w:val="0"/>
          <w:sz w:val="31"/>
          <w:szCs w:val="31"/>
          <w:shd w:val="clear" w:color="auto" w:fill="FFFFFF"/>
        </w:rPr>
        <w:t>8</w:t>
      </w:r>
      <w:r>
        <w:rPr>
          <w:rFonts w:hint="default" w:ascii="楷体_gb2312" w:hAnsi="楷体_gb2312" w:eastAsia="楷体_gb2312" w:cs="楷体_gb2312"/>
          <w:i w:val="0"/>
          <w:iCs w:val="0"/>
          <w:caps w:val="0"/>
          <w:spacing w:val="0"/>
          <w:sz w:val="31"/>
          <w:szCs w:val="31"/>
          <w:shd w:val="clear" w:color="auto" w:fill="FFFFFF"/>
        </w:rPr>
        <w:t>月</w:t>
      </w:r>
      <w:r>
        <w:rPr>
          <w:rFonts w:hint="default" w:ascii="Times New Roman" w:hAnsi="Times New Roman" w:eastAsia="宋体" w:cs="Times New Roman"/>
          <w:i w:val="0"/>
          <w:iCs w:val="0"/>
          <w:caps w:val="0"/>
          <w:spacing w:val="0"/>
          <w:sz w:val="31"/>
          <w:szCs w:val="31"/>
          <w:shd w:val="clear" w:color="auto" w:fill="FFFFFF"/>
        </w:rPr>
        <w:t>27</w:t>
      </w:r>
      <w:r>
        <w:rPr>
          <w:rFonts w:hint="default" w:ascii="楷体_gb2312" w:hAnsi="楷体_gb2312" w:eastAsia="楷体_gb2312" w:cs="楷体_gb2312"/>
          <w:i w:val="0"/>
          <w:iCs w:val="0"/>
          <w:caps w:val="0"/>
          <w:spacing w:val="0"/>
          <w:sz w:val="31"/>
          <w:szCs w:val="31"/>
          <w:shd w:val="clear" w:color="auto" w:fill="FFFFFF"/>
        </w:rPr>
        <w:t>日第十一届全国人民代表大会常务委员会第十次会议《关于修改部分法律的决定》第一次修正</w:t>
      </w:r>
      <w:r>
        <w:rPr>
          <w:rFonts w:hint="eastAsia" w:ascii="楷体_gb2312" w:hAnsi="楷体_gb2312" w:eastAsia="楷体_gb2312" w:cs="楷体_gb2312"/>
          <w:i w:val="0"/>
          <w:iCs w:val="0"/>
          <w:caps w:val="0"/>
          <w:spacing w:val="0"/>
          <w:sz w:val="31"/>
          <w:szCs w:val="31"/>
          <w:shd w:val="clear" w:color="auto" w:fill="FFFFFF"/>
          <w:lang w:eastAsia="zh-CN"/>
        </w:rPr>
        <w:t>；</w:t>
      </w:r>
      <w:r>
        <w:rPr>
          <w:rFonts w:hint="default" w:ascii="楷体_gb2312" w:hAnsi="楷体_gb2312" w:eastAsia="楷体_gb2312" w:cs="楷体_gb2312"/>
          <w:i w:val="0"/>
          <w:iCs w:val="0"/>
          <w:caps w:val="0"/>
          <w:spacing w:val="0"/>
          <w:sz w:val="31"/>
          <w:szCs w:val="31"/>
          <w:shd w:val="clear" w:color="auto" w:fill="FFFFFF"/>
        </w:rPr>
        <w:t>根据</w:t>
      </w:r>
      <w:r>
        <w:rPr>
          <w:rFonts w:hint="default" w:ascii="Times New Roman" w:hAnsi="Times New Roman" w:eastAsia="宋体" w:cs="Times New Roman"/>
          <w:i w:val="0"/>
          <w:iCs w:val="0"/>
          <w:caps w:val="0"/>
          <w:spacing w:val="0"/>
          <w:sz w:val="31"/>
          <w:szCs w:val="31"/>
          <w:shd w:val="clear" w:color="auto" w:fill="FFFFFF"/>
        </w:rPr>
        <w:t>2018</w:t>
      </w:r>
      <w:r>
        <w:rPr>
          <w:rFonts w:hint="default" w:ascii="楷体_gb2312" w:hAnsi="楷体_gb2312" w:eastAsia="楷体_gb2312" w:cs="楷体_gb2312"/>
          <w:i w:val="0"/>
          <w:iCs w:val="0"/>
          <w:caps w:val="0"/>
          <w:spacing w:val="0"/>
          <w:sz w:val="31"/>
          <w:szCs w:val="31"/>
          <w:shd w:val="clear" w:color="auto" w:fill="FFFFFF"/>
        </w:rPr>
        <w:t>年</w:t>
      </w:r>
      <w:r>
        <w:rPr>
          <w:rFonts w:hint="default" w:ascii="Times New Roman" w:hAnsi="Times New Roman" w:eastAsia="宋体" w:cs="Times New Roman"/>
          <w:i w:val="0"/>
          <w:iCs w:val="0"/>
          <w:caps w:val="0"/>
          <w:spacing w:val="0"/>
          <w:sz w:val="31"/>
          <w:szCs w:val="31"/>
          <w:shd w:val="clear" w:color="auto" w:fill="FFFFFF"/>
        </w:rPr>
        <w:t>12</w:t>
      </w:r>
      <w:r>
        <w:rPr>
          <w:rFonts w:hint="default" w:ascii="楷体_gb2312" w:hAnsi="楷体_gb2312" w:eastAsia="楷体_gb2312" w:cs="楷体_gb2312"/>
          <w:i w:val="0"/>
          <w:iCs w:val="0"/>
          <w:caps w:val="0"/>
          <w:spacing w:val="0"/>
          <w:sz w:val="31"/>
          <w:szCs w:val="31"/>
          <w:shd w:val="clear" w:color="auto" w:fill="FFFFFF"/>
        </w:rPr>
        <w:t>月</w:t>
      </w:r>
      <w:r>
        <w:rPr>
          <w:rFonts w:hint="default" w:ascii="Times New Roman" w:hAnsi="Times New Roman" w:eastAsia="宋体" w:cs="Times New Roman"/>
          <w:i w:val="0"/>
          <w:iCs w:val="0"/>
          <w:caps w:val="0"/>
          <w:spacing w:val="0"/>
          <w:sz w:val="31"/>
          <w:szCs w:val="31"/>
          <w:shd w:val="clear" w:color="auto" w:fill="FFFFFF"/>
        </w:rPr>
        <w:t>29</w:t>
      </w:r>
      <w:r>
        <w:rPr>
          <w:rFonts w:hint="default" w:ascii="楷体_gb2312" w:hAnsi="楷体_gb2312" w:eastAsia="楷体_gb2312" w:cs="楷体_gb2312"/>
          <w:i w:val="0"/>
          <w:iCs w:val="0"/>
          <w:caps w:val="0"/>
          <w:spacing w:val="0"/>
          <w:sz w:val="31"/>
          <w:szCs w:val="31"/>
          <w:shd w:val="clear" w:color="auto" w:fill="FFFFFF"/>
        </w:rPr>
        <w:t>日第十三届全国人民代表大会常务委员会第七次会议《关于修改〈中华人民共和国劳动法〉等七部法律的决定》第二次修正</w:t>
      </w:r>
      <w:r>
        <w:rPr>
          <w:rFonts w:hint="eastAsia" w:ascii="楷体_gb2312" w:hAnsi="楷体_gb2312" w:eastAsia="楷体_gb2312" w:cs="楷体_gb2312"/>
          <w:i w:val="0"/>
          <w:iCs w:val="0"/>
          <w:caps w:val="0"/>
          <w:spacing w:val="0"/>
          <w:sz w:val="31"/>
          <w:szCs w:val="31"/>
          <w:shd w:val="clear" w:color="auto" w:fill="FFFFFF"/>
          <w:lang w:eastAsia="zh-CN"/>
        </w:rPr>
        <w:t>）；</w:t>
      </w:r>
    </w:p>
    <w:p w14:paraId="11402548">
      <w:pPr>
        <w:bidi w:val="0"/>
        <w:rPr>
          <w:rFonts w:hint="eastAsia"/>
          <w:lang w:eastAsia="zh-CN"/>
        </w:rPr>
      </w:pPr>
      <w:r>
        <w:rPr>
          <w:rFonts w:hint="eastAsia"/>
          <w:lang w:val="en-US" w:eastAsia="zh-CN"/>
        </w:rPr>
        <w:t>6、</w:t>
      </w:r>
      <w:r>
        <w:rPr>
          <w:rFonts w:hint="eastAsia"/>
        </w:rPr>
        <w:t>《中华人民共和国</w:t>
      </w:r>
      <w:r>
        <w:rPr>
          <w:rFonts w:hint="eastAsia"/>
          <w:lang w:val="en-US" w:eastAsia="zh-CN"/>
        </w:rPr>
        <w:t>电力</w:t>
      </w:r>
      <w:r>
        <w:rPr>
          <w:rFonts w:hint="eastAsia"/>
        </w:rPr>
        <w:t>法》（1995年12月28日第八届全国人民代表大会常务委员会第十七次会议通过</w:t>
      </w:r>
      <w:r>
        <w:rPr>
          <w:rFonts w:hint="eastAsia"/>
          <w:lang w:eastAsia="zh-CN"/>
        </w:rPr>
        <w:t>；</w:t>
      </w:r>
      <w:r>
        <w:rPr>
          <w:rFonts w:hint="eastAsia"/>
        </w:rPr>
        <w:t>2009年8月27日第十一届全国人民代表大会常务委员会第十次会议第一次修正</w:t>
      </w:r>
      <w:r>
        <w:rPr>
          <w:rFonts w:hint="eastAsia"/>
          <w:lang w:eastAsia="zh-CN"/>
        </w:rPr>
        <w:t>；</w:t>
      </w:r>
      <w:r>
        <w:rPr>
          <w:rFonts w:hint="eastAsia"/>
        </w:rPr>
        <w:t>2015年4月24日第十二届全国人民代表大会常务委员会第十四次会议第二次修正</w:t>
      </w:r>
      <w:r>
        <w:rPr>
          <w:rFonts w:hint="eastAsia"/>
          <w:lang w:eastAsia="zh-CN"/>
        </w:rPr>
        <w:t>；</w:t>
      </w:r>
      <w:r>
        <w:rPr>
          <w:rFonts w:hint="eastAsia"/>
        </w:rPr>
        <w:t>2018年12月29日第十三届全国人民代表大会常务委员会第七次会议第三次修正</w:t>
      </w:r>
      <w:r>
        <w:rPr>
          <w:rFonts w:hint="eastAsia"/>
          <w:lang w:eastAsia="zh-CN"/>
        </w:rPr>
        <w:t>）；</w:t>
      </w:r>
    </w:p>
    <w:p w14:paraId="39D6524F">
      <w:pPr>
        <w:bidi w:val="0"/>
        <w:rPr>
          <w:rFonts w:hint="eastAsia"/>
          <w:lang w:val="en-US" w:eastAsia="zh-CN"/>
        </w:rPr>
      </w:pPr>
      <w:r>
        <w:rPr>
          <w:rFonts w:hint="eastAsia" w:ascii="宋体" w:hAnsi="宋体" w:eastAsia="宋体" w:cs="宋体"/>
          <w:color w:val="000000"/>
          <w:szCs w:val="28"/>
          <w:lang w:val="en-US" w:eastAsia="zh-CN"/>
        </w:rPr>
        <w:t>7、</w:t>
      </w:r>
      <w:r>
        <w:rPr>
          <w:rFonts w:hint="eastAsia"/>
          <w:lang w:val="en-US" w:eastAsia="zh-CN"/>
        </w:rPr>
        <w:t>《中华人民共和国气象法》（1999年10月31日第九届全国人民代表大会常务委员会第十二次会议通过；2009年8月27日第十一届全国人民代表大会常务委员会第一次修正；2014年8月31日第十二届全国人民代表大会常务委员会第二次修正；2016年11月7日第十二届全国人民代表大会常务委员会第二十四次会议第三次修正）；</w:t>
      </w:r>
    </w:p>
    <w:p w14:paraId="6AF4AA40">
      <w:pPr>
        <w:bidi w:val="0"/>
        <w:rPr>
          <w:rFonts w:hint="eastAsia" w:eastAsia="宋体"/>
          <w:lang w:val="en-US" w:eastAsia="zh-CN"/>
        </w:rPr>
      </w:pPr>
      <w:r>
        <w:rPr>
          <w:rFonts w:hint="eastAsia"/>
          <w:lang w:val="en-US" w:eastAsia="zh-CN"/>
        </w:rPr>
        <w:t>8、《中华人民共和国安全生产法》</w:t>
      </w:r>
      <w:r>
        <w:t>（2002年6月29日第九届全国人民代表大会常务委员会第二十八次会议通过</w:t>
      </w:r>
      <w:r>
        <w:rPr>
          <w:rFonts w:hint="eastAsia"/>
          <w:lang w:eastAsia="zh-CN"/>
        </w:rPr>
        <w:t>；</w:t>
      </w:r>
      <w:r>
        <w:t>根据2009年8月27日第十一届全国人民代表大会常务委员会第十次会议《关于修改部分法律的决定》第一次修正</w:t>
      </w:r>
      <w:r>
        <w:rPr>
          <w:rFonts w:hint="eastAsia"/>
          <w:lang w:eastAsia="zh-CN"/>
        </w:rPr>
        <w:t>；</w:t>
      </w:r>
      <w:r>
        <w:t>根据2014年8月31日第十二届全国人民代表大会常务委员会第十次会议《关于修改</w:t>
      </w:r>
      <w:r>
        <w:rPr>
          <w:rFonts w:hint="eastAsia"/>
          <w:lang w:eastAsia="zh-CN"/>
        </w:rPr>
        <w:t>〈</w:t>
      </w:r>
      <w:r>
        <w:t>中华人民共和国安全生产法</w:t>
      </w:r>
      <w:r>
        <w:rPr>
          <w:rFonts w:hint="eastAsia"/>
          <w:lang w:eastAsia="zh-CN"/>
        </w:rPr>
        <w:t>〉</w:t>
      </w:r>
      <w:r>
        <w:t>的决定》第二次修正</w:t>
      </w:r>
      <w:r>
        <w:rPr>
          <w:rFonts w:hint="eastAsia"/>
          <w:lang w:eastAsia="zh-CN"/>
        </w:rPr>
        <w:t>；</w:t>
      </w:r>
      <w:r>
        <w:t>根据2021年6月10日第十三届全国人民代表大会常务委员会第二十九次会议《关于修改</w:t>
      </w:r>
      <w:r>
        <w:rPr>
          <w:rFonts w:hint="eastAsia"/>
          <w:lang w:eastAsia="zh-CN"/>
        </w:rPr>
        <w:t>〈</w:t>
      </w:r>
      <w:r>
        <w:t>中华人民共和国安全生产法</w:t>
      </w:r>
      <w:r>
        <w:rPr>
          <w:rFonts w:hint="eastAsia"/>
          <w:lang w:eastAsia="zh-CN"/>
        </w:rPr>
        <w:t>〉</w:t>
      </w:r>
      <w:r>
        <w:t>的决定》第三次修正</w:t>
      </w:r>
      <w:r>
        <w:rPr>
          <w:rFonts w:hint="eastAsia"/>
          <w:lang w:eastAsia="zh-CN"/>
        </w:rPr>
        <w:t>）；</w:t>
      </w:r>
    </w:p>
    <w:p w14:paraId="2E201C7A">
      <w:pPr>
        <w:bidi w:val="0"/>
        <w:rPr>
          <w:rFonts w:hint="eastAsia" w:eastAsia="宋体"/>
          <w:lang w:eastAsia="zh-CN"/>
        </w:rPr>
      </w:pPr>
      <w:r>
        <w:rPr>
          <w:rFonts w:hint="eastAsia"/>
          <w:lang w:val="en-US" w:eastAsia="zh-CN"/>
        </w:rPr>
        <w:t>9、</w:t>
      </w:r>
      <w:r>
        <w:rPr>
          <w:rFonts w:hint="eastAsia"/>
        </w:rPr>
        <w:t>《中华人民共和国劳动合同法》</w:t>
      </w:r>
      <w:r>
        <w:t>（2</w:t>
      </w:r>
      <w:r>
        <w:rPr>
          <w:rFonts w:hint="default"/>
        </w:rPr>
        <w:t>007</w:t>
      </w:r>
      <w:r>
        <w:rPr>
          <w:rFonts w:hint="eastAsia"/>
        </w:rPr>
        <w:t>年</w:t>
      </w:r>
      <w:r>
        <w:rPr>
          <w:rFonts w:hint="default"/>
        </w:rPr>
        <w:t>6</w:t>
      </w:r>
      <w:r>
        <w:rPr>
          <w:rFonts w:hint="eastAsia"/>
        </w:rPr>
        <w:t>月</w:t>
      </w:r>
      <w:r>
        <w:rPr>
          <w:rFonts w:hint="default"/>
        </w:rPr>
        <w:t>29</w:t>
      </w:r>
      <w:r>
        <w:rPr>
          <w:rFonts w:hint="eastAsia"/>
        </w:rPr>
        <w:t>日第十届全国人民代表大会常务委员会第二十八次会议通过</w:t>
      </w:r>
      <w:r>
        <w:rPr>
          <w:rFonts w:hint="eastAsia"/>
          <w:lang w:eastAsia="zh-CN"/>
        </w:rPr>
        <w:t>；</w:t>
      </w:r>
      <w:r>
        <w:rPr>
          <w:rFonts w:hint="eastAsia"/>
        </w:rPr>
        <w:t>根据</w:t>
      </w:r>
      <w:r>
        <w:rPr>
          <w:rFonts w:hint="default"/>
        </w:rPr>
        <w:t>2012</w:t>
      </w:r>
      <w:r>
        <w:rPr>
          <w:rFonts w:hint="eastAsia"/>
        </w:rPr>
        <w:t>年</w:t>
      </w:r>
      <w:r>
        <w:rPr>
          <w:rFonts w:hint="default"/>
        </w:rPr>
        <w:t>12</w:t>
      </w:r>
      <w:r>
        <w:rPr>
          <w:rFonts w:hint="eastAsia"/>
        </w:rPr>
        <w:t>月</w:t>
      </w:r>
      <w:r>
        <w:rPr>
          <w:rFonts w:hint="default"/>
        </w:rPr>
        <w:t>28</w:t>
      </w:r>
      <w:r>
        <w:rPr>
          <w:rFonts w:hint="eastAsia"/>
        </w:rPr>
        <w:t>日第十一届全国人民代表大会常务委员会第三十次会议《关于修改</w:t>
      </w:r>
      <w:r>
        <w:rPr>
          <w:rFonts w:hint="eastAsia"/>
          <w:lang w:eastAsia="zh-CN"/>
        </w:rPr>
        <w:t>〈</w:t>
      </w:r>
      <w:r>
        <w:rPr>
          <w:rFonts w:hint="eastAsia"/>
        </w:rPr>
        <w:t>中华人民共和国劳动合同法</w:t>
      </w:r>
      <w:r>
        <w:rPr>
          <w:rFonts w:hint="eastAsia"/>
          <w:lang w:eastAsia="zh-CN"/>
        </w:rPr>
        <w:t>〉</w:t>
      </w:r>
      <w:r>
        <w:rPr>
          <w:rFonts w:hint="eastAsia"/>
        </w:rPr>
        <w:t>的决定》修正</w:t>
      </w:r>
      <w:r>
        <w:rPr>
          <w:rFonts w:hint="eastAsia"/>
          <w:lang w:eastAsia="zh-CN"/>
        </w:rPr>
        <w:t>）；</w:t>
      </w:r>
    </w:p>
    <w:p w14:paraId="5C2D5D62">
      <w:pPr>
        <w:bidi w:val="0"/>
        <w:rPr>
          <w:rFonts w:hint="eastAsia"/>
          <w:lang w:eastAsia="zh-CN"/>
        </w:rPr>
      </w:pPr>
      <w:r>
        <w:rPr>
          <w:rFonts w:hint="eastAsia"/>
          <w:lang w:val="en-US" w:eastAsia="zh-CN"/>
        </w:rPr>
        <w:t>10、</w:t>
      </w:r>
      <w:r>
        <w:rPr>
          <w:rFonts w:hint="eastAsia"/>
        </w:rPr>
        <w:t>《中华人民共和国突发事件应对法》</w:t>
      </w:r>
      <w:r>
        <w:t>（2</w:t>
      </w:r>
      <w:r>
        <w:rPr>
          <w:rFonts w:hint="default"/>
        </w:rPr>
        <w:t>007年8月30日第十届全国人民代表大会常务委员会第二十九次会议通过</w:t>
      </w:r>
      <w:r>
        <w:rPr>
          <w:rFonts w:hint="eastAsia"/>
          <w:lang w:eastAsia="zh-CN"/>
        </w:rPr>
        <w:t>；</w:t>
      </w:r>
      <w:r>
        <w:rPr>
          <w:rFonts w:hint="default"/>
        </w:rPr>
        <w:t>2024年6月28日第十四届全国人民代表大会常务委员会第十次会议修订</w:t>
      </w:r>
      <w:r>
        <w:rPr>
          <w:rFonts w:hint="eastAsia"/>
          <w:lang w:eastAsia="zh-CN"/>
        </w:rPr>
        <w:t>）；</w:t>
      </w:r>
    </w:p>
    <w:p w14:paraId="46121F4E">
      <w:pPr>
        <w:bidi w:val="0"/>
        <w:rPr>
          <w:rFonts w:hint="eastAsia"/>
          <w:color w:val="auto"/>
          <w:lang w:val="en-US" w:eastAsia="zh-CN"/>
        </w:rPr>
      </w:pPr>
      <w:r>
        <w:rPr>
          <w:rFonts w:hint="eastAsia"/>
          <w:lang w:val="en-US" w:eastAsia="zh-CN"/>
        </w:rPr>
        <w:t>11、《中华人民共和国特种设备安全法》（</w:t>
      </w:r>
      <w:r>
        <w:rPr>
          <w:rFonts w:hint="eastAsia"/>
          <w:color w:val="auto"/>
          <w:lang w:val="en-US" w:eastAsia="zh-CN"/>
        </w:rPr>
        <w:t>中华人民共和国主席令第四号，中华人民共和国第十二届全国人民代表大会常务委员会第三次会议2013年6月29日通过，自2014年1月1日起施行）；</w:t>
      </w:r>
    </w:p>
    <w:p w14:paraId="5D8C9F85">
      <w:pPr>
        <w:bidi w:val="0"/>
        <w:rPr>
          <w:rFonts w:hint="eastAsia"/>
          <w:lang w:eastAsia="zh-CN"/>
        </w:rPr>
      </w:pPr>
      <w:r>
        <w:rPr>
          <w:rFonts w:hint="eastAsia"/>
          <w:color w:val="auto"/>
          <w:lang w:val="en-US" w:eastAsia="zh-CN"/>
        </w:rPr>
        <w:t>12、</w:t>
      </w:r>
      <w:r>
        <w:rPr>
          <w:rFonts w:hint="eastAsia"/>
          <w:color w:val="auto"/>
          <w:lang w:val="zh-TW" w:eastAsia="zh-TW"/>
        </w:rPr>
        <w:t>《中华人民共和国</w:t>
      </w:r>
      <w:r>
        <w:rPr>
          <w:rFonts w:hint="eastAsia"/>
          <w:color w:val="auto"/>
          <w:lang w:val="en-US" w:eastAsia="zh-CN"/>
        </w:rPr>
        <w:t>民法典</w:t>
      </w:r>
      <w:r>
        <w:rPr>
          <w:rFonts w:hint="eastAsia"/>
          <w:color w:val="auto"/>
          <w:lang w:val="zh-TW" w:eastAsia="zh-TW"/>
        </w:rPr>
        <w:t>》（</w:t>
      </w:r>
      <w:r>
        <w:rPr>
          <w:rFonts w:hint="eastAsia"/>
          <w:color w:val="auto"/>
          <w:lang w:val="en-US" w:eastAsia="zh-CN"/>
        </w:rPr>
        <w:t>中华人民共和国主席令第四十五号，</w:t>
      </w:r>
      <w:r>
        <w:rPr>
          <w:rFonts w:hint="eastAsia"/>
        </w:rPr>
        <w:t>2020年5月28日十三届全国人大三次会议表决通过</w:t>
      </w:r>
      <w:r>
        <w:rPr>
          <w:rFonts w:hint="eastAsia"/>
          <w:lang w:eastAsia="zh-CN"/>
        </w:rPr>
        <w:t>，</w:t>
      </w:r>
      <w:r>
        <w:rPr>
          <w:rFonts w:hint="eastAsia"/>
        </w:rPr>
        <w:t>自2021年1月1日起施行</w:t>
      </w:r>
      <w:r>
        <w:rPr>
          <w:rFonts w:hint="eastAsia"/>
          <w:lang w:eastAsia="zh-CN"/>
        </w:rPr>
        <w:t>）；</w:t>
      </w:r>
    </w:p>
    <w:p w14:paraId="1A75FD75">
      <w:pPr>
        <w:bidi w:val="0"/>
        <w:rPr>
          <w:rFonts w:hint="eastAsia"/>
          <w:lang w:eastAsia="zh-CN"/>
        </w:rPr>
      </w:pPr>
      <w:r>
        <w:rPr>
          <w:rFonts w:hint="eastAsia"/>
          <w:color w:val="auto"/>
          <w:lang w:val="en-US" w:eastAsia="zh-CN"/>
        </w:rPr>
        <w:t>13、</w:t>
      </w:r>
      <w:r>
        <w:rPr>
          <w:rFonts w:hint="eastAsia"/>
          <w:color w:val="auto"/>
          <w:lang w:val="zh-TW" w:eastAsia="zh-TW"/>
        </w:rPr>
        <w:t>《中华人民共和国</w:t>
      </w:r>
      <w:r>
        <w:rPr>
          <w:rFonts w:hint="eastAsia"/>
          <w:color w:val="auto"/>
          <w:lang w:val="en-US" w:eastAsia="zh-CN"/>
        </w:rPr>
        <w:t>噪声污染防治</w:t>
      </w:r>
      <w:r>
        <w:rPr>
          <w:rFonts w:hint="eastAsia"/>
          <w:color w:val="auto"/>
          <w:lang w:val="zh-TW" w:eastAsia="zh-TW"/>
        </w:rPr>
        <w:t>法》</w:t>
      </w:r>
      <w:r>
        <w:rPr>
          <w:rFonts w:hint="eastAsia"/>
          <w:color w:val="auto"/>
          <w:lang w:val="zh-TW" w:eastAsia="zh-CN"/>
        </w:rPr>
        <w:t>（</w:t>
      </w:r>
      <w:r>
        <w:rPr>
          <w:rFonts w:hint="default"/>
          <w:color w:val="auto"/>
          <w:lang w:val="en-US" w:eastAsia="zh-CN"/>
        </w:rPr>
        <w:t>中华人民共和国主席令第一〇四号</w:t>
      </w:r>
      <w:r>
        <w:rPr>
          <w:rFonts w:hint="eastAsia"/>
          <w:color w:val="auto"/>
          <w:lang w:val="en-US" w:eastAsia="zh-CN"/>
        </w:rPr>
        <w:t>，</w:t>
      </w:r>
      <w:r>
        <w:rPr>
          <w:rFonts w:hint="eastAsia"/>
          <w:color w:val="auto"/>
        </w:rPr>
        <w:t>202</w:t>
      </w:r>
      <w:r>
        <w:rPr>
          <w:rFonts w:hint="eastAsia"/>
        </w:rPr>
        <w:t>1年12月24日中华人民共和国第十三届全国人民代表大会常务委员会第三十二次会议通过</w:t>
      </w:r>
      <w:r>
        <w:rPr>
          <w:rFonts w:hint="eastAsia"/>
          <w:lang w:eastAsia="zh-CN"/>
        </w:rPr>
        <w:t>，</w:t>
      </w:r>
      <w:r>
        <w:rPr>
          <w:rFonts w:hint="eastAsia"/>
        </w:rPr>
        <w:t>自2022年6月5日起施行</w:t>
      </w:r>
      <w:r>
        <w:rPr>
          <w:rFonts w:hint="eastAsia"/>
          <w:lang w:eastAsia="zh-CN"/>
        </w:rPr>
        <w:t>）。</w:t>
      </w:r>
    </w:p>
    <w:p w14:paraId="1D074117">
      <w:pPr>
        <w:pStyle w:val="5"/>
      </w:pPr>
      <w:bookmarkStart w:id="62" w:name="_Toc6971"/>
      <w:r>
        <w:t>1.2.1.2行政法规</w:t>
      </w:r>
      <w:bookmarkEnd w:id="62"/>
    </w:p>
    <w:p w14:paraId="27BC6EC5">
      <w:pPr>
        <w:bidi w:val="0"/>
        <w:rPr>
          <w:rFonts w:hint="eastAsia"/>
          <w:lang w:val="en-US" w:eastAsia="zh-CN"/>
        </w:rPr>
      </w:pPr>
      <w:r>
        <w:rPr>
          <w:rFonts w:hint="eastAsia"/>
          <w:lang w:val="en-US" w:eastAsia="zh-CN"/>
        </w:rPr>
        <w:t>1、《电力设施保护条例》（国务院令第588号，根据2011年1月8日</w:t>
      </w:r>
      <w:r>
        <w:t>《</w:t>
      </w:r>
      <w:r>
        <w:rPr>
          <w:rFonts w:hint="default"/>
          <w:color w:val="auto"/>
        </w:rPr>
        <w:fldChar w:fldCharType="begin"/>
      </w:r>
      <w:r>
        <w:rPr>
          <w:rFonts w:hint="default"/>
          <w:color w:val="auto"/>
        </w:rPr>
        <w:instrText xml:space="preserve"> HYPERLINK "https://baike.baidu.com/item/%E5%9B%BD%E5%8A%A1%E9%99%A2/343590?fromModule=lemma_inlink" \t "https://baike.baidu.com/item/%E5%9B%BD%E5%8A%A1%E9%99%A2%E5%85%B3%E4%BA%8E%E5%BA%9F%E6%AD%A2%E5%92%8C%E4%BF%AE%E6%94%B9%E9%83%A8%E5%88%86%E8%A1%8C%E6%94%BF%E6%B3%95%E8%A7%84%E7%9A%84%E5%86%B3%E5%AE%9A/_blank" </w:instrText>
      </w:r>
      <w:r>
        <w:rPr>
          <w:rFonts w:hint="default"/>
          <w:color w:val="auto"/>
        </w:rPr>
        <w:fldChar w:fldCharType="separate"/>
      </w:r>
      <w:r>
        <w:rPr>
          <w:rStyle w:val="39"/>
          <w:rFonts w:hint="default" w:ascii="Helvetica" w:hAnsi="Helvetica" w:eastAsia="Helvetica" w:cs="Helvetica"/>
          <w:i w:val="0"/>
          <w:iCs w:val="0"/>
          <w:caps w:val="0"/>
          <w:color w:val="auto"/>
          <w:spacing w:val="0"/>
          <w:szCs w:val="21"/>
          <w:u w:val="none"/>
          <w:shd w:val="clear" w:color="auto" w:fill="FFFFFF"/>
        </w:rPr>
        <w:t>国务院</w:t>
      </w:r>
      <w:r>
        <w:rPr>
          <w:rFonts w:hint="default"/>
          <w:color w:val="auto"/>
        </w:rPr>
        <w:fldChar w:fldCharType="end"/>
      </w:r>
      <w:r>
        <w:rPr>
          <w:rFonts w:hint="default"/>
        </w:rPr>
        <w:t>关于废止和修改部分行政法规的决定》</w:t>
      </w:r>
      <w:r>
        <w:rPr>
          <w:rFonts w:hint="eastAsia"/>
          <w:lang w:val="en-US" w:eastAsia="zh-CN"/>
        </w:rPr>
        <w:t>第二次修订并施行）；</w:t>
      </w:r>
    </w:p>
    <w:p w14:paraId="1E2A840B">
      <w:pPr>
        <w:bidi w:val="0"/>
        <w:rPr>
          <w:rFonts w:hint="eastAsia"/>
          <w:lang w:val="en-US" w:eastAsia="zh-CN"/>
        </w:rPr>
      </w:pPr>
      <w:r>
        <w:rPr>
          <w:rFonts w:hint="eastAsia"/>
          <w:lang w:val="en-US" w:eastAsia="zh-CN"/>
        </w:rPr>
        <w:t>2、《中华人民共和国矿产资源法实施细则》（国务院令152号，1994年3月26日发布并施行）；</w:t>
      </w:r>
    </w:p>
    <w:p w14:paraId="70CF6FCF">
      <w:pPr>
        <w:bidi w:val="0"/>
        <w:rPr>
          <w:rFonts w:hint="eastAsia"/>
          <w:color w:val="auto"/>
          <w:lang w:val="en-US" w:eastAsia="zh-CN"/>
        </w:rPr>
      </w:pPr>
      <w:r>
        <w:rPr>
          <w:rFonts w:hint="eastAsia"/>
          <w:color w:val="auto"/>
          <w:lang w:val="en-US" w:eastAsia="zh-CN"/>
        </w:rPr>
        <w:t>3、《特种设备安全监察条例》（</w:t>
      </w:r>
      <w:r>
        <w:rPr>
          <w:rFonts w:hint="eastAsia" w:ascii="宋体" w:hAnsi="宋体" w:eastAsia="宋体" w:cs="宋体"/>
          <w:color w:val="000000"/>
          <w:sz w:val="28"/>
          <w:szCs w:val="28"/>
          <w:lang w:val="en-US" w:eastAsia="zh-CN"/>
        </w:rPr>
        <w:t>国务院令第373号</w:t>
      </w:r>
      <w:r>
        <w:rPr>
          <w:rFonts w:hint="eastAsia"/>
          <w:color w:val="auto"/>
          <w:lang w:val="en-US" w:eastAsia="zh-CN"/>
        </w:rPr>
        <w:t>，</w:t>
      </w:r>
      <w:r>
        <w:rPr>
          <w:rFonts w:hint="eastAsia"/>
          <w:lang w:val="en-US" w:eastAsia="zh-CN"/>
        </w:rPr>
        <w:t>根据</w:t>
      </w:r>
      <w:r>
        <w:rPr>
          <w:rFonts w:hint="eastAsia"/>
          <w:color w:val="auto"/>
          <w:lang w:val="en-US" w:eastAsia="zh-CN"/>
        </w:rPr>
        <w:t>2009年1月24日</w:t>
      </w:r>
      <w:r>
        <w:rPr>
          <w:color w:val="auto"/>
        </w:rPr>
        <w:t>《</w:t>
      </w:r>
      <w:r>
        <w:rPr>
          <w:rFonts w:hint="default"/>
          <w:color w:val="auto"/>
        </w:rPr>
        <w:fldChar w:fldCharType="begin"/>
      </w:r>
      <w:r>
        <w:rPr>
          <w:rFonts w:hint="default"/>
          <w:color w:val="auto"/>
        </w:rPr>
        <w:instrText xml:space="preserve"> HYPERLINK "https://baike.baidu.com/item/%E5%9B%BD%E5%8A%A1%E9%99%A2%E5%85%B3%E4%BA%8E%E4%BF%AE%E6%94%B9%E3%80%88%E7%89%B9%E7%A7%8D%E8%AE%BE%E5%A4%87%E5%AE%89%E5%85%A8%E7%9B%91%E5%AF%9F%E6%9D%A1%E4%BE%8B%E3%80%89%E7%9A%84%E5%86%B3%E5%AE%9A/12700418?fromModule=lemma_inlink" \t "https://baike.baidu.com/item/%E4%B8%AD%E5%8D%8E%E4%BA%BA%E6%B0%91%E5%85%B1%E5%92%8C%E5%9B%BD%E5%9B%BD%E5%8A%A1%E9%99%A2%E4%BB%A4%EF%BC%88%E7%AC%AC549%E5%8F%B7%EF%BC%89/_blank" </w:instrText>
      </w:r>
      <w:r>
        <w:rPr>
          <w:rFonts w:hint="default"/>
          <w:color w:val="auto"/>
        </w:rPr>
        <w:fldChar w:fldCharType="separate"/>
      </w:r>
      <w:r>
        <w:rPr>
          <w:rStyle w:val="39"/>
          <w:rFonts w:hint="default" w:ascii="Helvetica" w:hAnsi="Helvetica" w:eastAsia="Helvetica" w:cs="Helvetica"/>
          <w:i w:val="0"/>
          <w:iCs w:val="0"/>
          <w:caps w:val="0"/>
          <w:color w:val="auto"/>
          <w:spacing w:val="0"/>
          <w:szCs w:val="21"/>
          <w:u w:val="none"/>
          <w:shd w:val="clear" w:color="auto" w:fill="FFFFFF"/>
        </w:rPr>
        <w:t>国务院关于修改〈特种设备安全监察条例〉的决定</w:t>
      </w:r>
      <w:r>
        <w:rPr>
          <w:rFonts w:hint="default"/>
          <w:color w:val="auto"/>
        </w:rPr>
        <w:fldChar w:fldCharType="end"/>
      </w:r>
      <w:r>
        <w:rPr>
          <w:rFonts w:hint="default"/>
          <w:color w:val="auto"/>
        </w:rPr>
        <w:t>》</w:t>
      </w:r>
      <w:r>
        <w:rPr>
          <w:rFonts w:hint="eastAsia"/>
          <w:color w:val="auto"/>
          <w:lang w:val="en-US" w:eastAsia="zh-CN"/>
        </w:rPr>
        <w:t>修订并公布，自2009年5月1日起施行）；</w:t>
      </w:r>
    </w:p>
    <w:p w14:paraId="579D0572">
      <w:pPr>
        <w:bidi w:val="0"/>
        <w:rPr>
          <w:rFonts w:hint="default"/>
          <w:lang w:val="en-US"/>
        </w:rPr>
      </w:pPr>
      <w:r>
        <w:rPr>
          <w:rFonts w:hint="eastAsia"/>
          <w:lang w:val="en-US" w:eastAsia="zh-CN"/>
        </w:rPr>
        <w:t>4、</w:t>
      </w:r>
      <w:r>
        <w:rPr>
          <w:rFonts w:hint="eastAsia"/>
          <w:lang w:eastAsia="zh-CN"/>
        </w:rPr>
        <w:t>《</w:t>
      </w:r>
      <w:r>
        <w:rPr>
          <w:rFonts w:hint="eastAsia"/>
        </w:rPr>
        <w:t>工伤保险条例</w:t>
      </w:r>
      <w:r>
        <w:rPr>
          <w:rFonts w:hint="eastAsia"/>
          <w:lang w:eastAsia="zh-CN"/>
        </w:rPr>
        <w:t>》（</w:t>
      </w:r>
      <w:r>
        <w:rPr>
          <w:rFonts w:hint="eastAsia"/>
        </w:rPr>
        <w:t>国务院令第</w:t>
      </w:r>
      <w:r>
        <w:rPr>
          <w:rFonts w:hint="eastAsia"/>
          <w:lang w:val="en-US" w:eastAsia="zh-CN"/>
        </w:rPr>
        <w:t>586</w:t>
      </w:r>
      <w:r>
        <w:rPr>
          <w:rFonts w:hint="eastAsia"/>
        </w:rPr>
        <w:t>号</w:t>
      </w:r>
      <w:r>
        <w:rPr>
          <w:rFonts w:hint="eastAsia"/>
          <w:lang w:eastAsia="zh-CN"/>
        </w:rPr>
        <w:t>，</w:t>
      </w:r>
      <w:r>
        <w:rPr>
          <w:rFonts w:hint="eastAsia"/>
        </w:rPr>
        <w:t>根据2010年12月20日《国务院关于修改〈工伤保险条例〉的决定》修订</w:t>
      </w:r>
      <w:r>
        <w:rPr>
          <w:rFonts w:hint="eastAsia"/>
          <w:lang w:eastAsia="zh-CN"/>
        </w:rPr>
        <w:t>，</w:t>
      </w:r>
      <w:r>
        <w:rPr>
          <w:rFonts w:hint="eastAsia"/>
        </w:rPr>
        <w:t>自2011年1月1日起施行</w:t>
      </w:r>
      <w:r>
        <w:rPr>
          <w:rFonts w:hint="eastAsia"/>
          <w:lang w:eastAsia="zh-CN"/>
        </w:rPr>
        <w:t>）；</w:t>
      </w:r>
    </w:p>
    <w:p w14:paraId="13EDE066">
      <w:pPr>
        <w:bidi w:val="0"/>
        <w:rPr>
          <w:rFonts w:hint="default"/>
          <w:lang w:val="en-US" w:eastAsia="zh-CN"/>
        </w:rPr>
      </w:pPr>
      <w:r>
        <w:rPr>
          <w:rFonts w:hint="eastAsia"/>
          <w:lang w:val="en-US" w:eastAsia="zh-CN"/>
        </w:rPr>
        <w:t>5</w:t>
      </w:r>
      <w:r>
        <w:rPr>
          <w:rFonts w:hint="eastAsia"/>
          <w:lang w:eastAsia="zh-CN"/>
        </w:rPr>
        <w:t>、《建设工程安全生产管理条例》（国务院令第393号，2003年11月24日公布，自2004年2月1日起施行）；</w:t>
      </w:r>
    </w:p>
    <w:p w14:paraId="70CD741A">
      <w:pPr>
        <w:bidi w:val="0"/>
        <w:rPr>
          <w:rFonts w:hint="default"/>
          <w:lang w:val="en-US" w:eastAsia="zh-CN"/>
        </w:rPr>
      </w:pPr>
      <w:r>
        <w:rPr>
          <w:rFonts w:hint="eastAsia"/>
          <w:lang w:val="en-US" w:eastAsia="zh-CN"/>
        </w:rPr>
        <w:t>6</w:t>
      </w:r>
      <w:r>
        <w:rPr>
          <w:rFonts w:hint="eastAsia"/>
          <w:lang w:eastAsia="zh-CN"/>
        </w:rPr>
        <w:t>、</w:t>
      </w:r>
      <w:r>
        <w:rPr>
          <w:rFonts w:hint="eastAsia"/>
        </w:rPr>
        <w:t>《地质灾害防治条例》</w:t>
      </w:r>
      <w:r>
        <w:rPr>
          <w:rFonts w:hint="eastAsia"/>
          <w:lang w:eastAsia="zh-CN"/>
        </w:rPr>
        <w:t>（</w:t>
      </w:r>
      <w:r>
        <w:rPr>
          <w:rFonts w:hint="eastAsia"/>
        </w:rPr>
        <w:t>国务院令第394号</w:t>
      </w:r>
      <w:r>
        <w:rPr>
          <w:rFonts w:hint="eastAsia"/>
          <w:lang w:eastAsia="zh-CN"/>
        </w:rPr>
        <w:t>，</w:t>
      </w:r>
      <w:r>
        <w:rPr>
          <w:rFonts w:hint="eastAsia"/>
        </w:rPr>
        <w:t>2003年11月24日公布</w:t>
      </w:r>
      <w:r>
        <w:rPr>
          <w:rFonts w:hint="eastAsia"/>
          <w:lang w:eastAsia="zh-CN"/>
        </w:rPr>
        <w:t>，</w:t>
      </w:r>
      <w:r>
        <w:rPr>
          <w:rFonts w:hint="eastAsia"/>
        </w:rPr>
        <w:t>自2004年3月1日起施行</w:t>
      </w:r>
      <w:r>
        <w:rPr>
          <w:rFonts w:hint="eastAsia"/>
          <w:lang w:eastAsia="zh-CN"/>
        </w:rPr>
        <w:t>）；</w:t>
      </w:r>
    </w:p>
    <w:p w14:paraId="3D165AED">
      <w:pPr>
        <w:bidi w:val="0"/>
        <w:rPr>
          <w:rFonts w:hint="default"/>
          <w:lang w:val="en-US" w:eastAsia="zh-CN"/>
        </w:rPr>
      </w:pPr>
      <w:r>
        <w:rPr>
          <w:rFonts w:hint="eastAsia"/>
          <w:lang w:val="en-US" w:eastAsia="zh-CN"/>
        </w:rPr>
        <w:t>7、</w:t>
      </w:r>
      <w:r>
        <w:rPr>
          <w:rFonts w:hint="eastAsia"/>
          <w:lang w:eastAsia="zh-CN"/>
        </w:rPr>
        <w:t>《</w:t>
      </w:r>
      <w:r>
        <w:rPr>
          <w:rFonts w:hint="eastAsia"/>
        </w:rPr>
        <w:t>安全生产许可证条例</w:t>
      </w:r>
      <w:r>
        <w:rPr>
          <w:rFonts w:hint="eastAsia"/>
          <w:lang w:eastAsia="zh-CN"/>
        </w:rPr>
        <w:t>》（</w:t>
      </w:r>
      <w:r>
        <w:rPr>
          <w:rFonts w:hint="eastAsia" w:ascii="宋体" w:hAnsi="宋体" w:eastAsia="宋体" w:cs="宋体"/>
          <w:color w:val="000000"/>
          <w:sz w:val="28"/>
          <w:szCs w:val="28"/>
          <w:lang w:val="en-US" w:eastAsia="zh-CN"/>
        </w:rPr>
        <w:t>国务院令第397号</w:t>
      </w:r>
      <w:r>
        <w:rPr>
          <w:rFonts w:hint="eastAsia"/>
          <w:lang w:eastAsia="zh-CN"/>
        </w:rPr>
        <w:t>，</w:t>
      </w:r>
      <w:r>
        <w:rPr>
          <w:rFonts w:hint="eastAsia"/>
          <w:lang w:val="en-US" w:eastAsia="zh-CN"/>
        </w:rPr>
        <w:t>根据</w:t>
      </w:r>
      <w:r>
        <w:rPr>
          <w:rFonts w:hint="eastAsia"/>
          <w:lang w:eastAsia="zh-CN"/>
        </w:rPr>
        <w:t>2014年7月29日《</w:t>
      </w:r>
      <w:r>
        <w:rPr>
          <w:rFonts w:hint="eastAsia"/>
        </w:rPr>
        <w:t>国务院关于修改部分行政法规的决定》第二次修订</w:t>
      </w:r>
      <w:r>
        <w:rPr>
          <w:rFonts w:hint="eastAsia"/>
          <w:lang w:eastAsia="zh-CN"/>
        </w:rPr>
        <w:t>）；</w:t>
      </w:r>
    </w:p>
    <w:p w14:paraId="52A666B1">
      <w:pPr>
        <w:bidi w:val="0"/>
        <w:rPr>
          <w:rFonts w:hint="default"/>
          <w:lang w:val="en-US" w:eastAsia="zh-CN"/>
        </w:rPr>
      </w:pPr>
      <w:r>
        <w:rPr>
          <w:rFonts w:hint="eastAsia"/>
          <w:lang w:val="en-US" w:eastAsia="zh-CN"/>
        </w:rPr>
        <w:t>8、</w:t>
      </w:r>
      <w:r>
        <w:rPr>
          <w:rFonts w:hint="eastAsia"/>
          <w:lang w:eastAsia="zh-CN"/>
        </w:rPr>
        <w:t>《民用爆炸物品安全管理条例》（国务院令第653号，</w:t>
      </w:r>
      <w:r>
        <w:rPr>
          <w:rFonts w:hint="eastAsia"/>
          <w:lang w:val="en-US" w:eastAsia="zh-CN"/>
        </w:rPr>
        <w:t>根据</w:t>
      </w:r>
      <w:r>
        <w:rPr>
          <w:rFonts w:hint="eastAsia"/>
          <w:lang w:eastAsia="zh-CN"/>
        </w:rPr>
        <w:t>2014年7月29日《</w:t>
      </w:r>
      <w:r>
        <w:rPr>
          <w:rFonts w:hint="eastAsia"/>
        </w:rPr>
        <w:t>国务院关于修改部分行政法规的决定》</w:t>
      </w:r>
      <w:r>
        <w:rPr>
          <w:rFonts w:hint="eastAsia"/>
          <w:lang w:eastAsia="zh-CN"/>
        </w:rPr>
        <w:t>进行修正</w:t>
      </w:r>
      <w:r>
        <w:rPr>
          <w:rFonts w:hint="eastAsia"/>
          <w:lang w:val="en-US" w:eastAsia="zh-CN"/>
        </w:rPr>
        <w:t>并施行）</w:t>
      </w:r>
      <w:r>
        <w:rPr>
          <w:rFonts w:hint="eastAsia"/>
          <w:lang w:eastAsia="zh-CN"/>
        </w:rPr>
        <w:t>；</w:t>
      </w:r>
    </w:p>
    <w:p w14:paraId="3B848D48">
      <w:pPr>
        <w:bidi w:val="0"/>
        <w:rPr>
          <w:rFonts w:hint="eastAsia"/>
          <w:lang w:val="en-US" w:eastAsia="zh-CN"/>
        </w:rPr>
      </w:pPr>
      <w:r>
        <w:rPr>
          <w:rFonts w:hint="eastAsia"/>
          <w:lang w:val="en-US" w:eastAsia="zh-CN"/>
        </w:rPr>
        <w:t>9</w:t>
      </w:r>
      <w:r>
        <w:rPr>
          <w:rFonts w:hint="eastAsia"/>
          <w:lang w:eastAsia="zh-CN"/>
        </w:rPr>
        <w:t>、《生产安全事故报告和调查处理条例》（</w:t>
      </w:r>
      <w:r>
        <w:rPr>
          <w:rFonts w:hint="eastAsia"/>
        </w:rPr>
        <w:t>国务院令第493号</w:t>
      </w:r>
      <w:r>
        <w:rPr>
          <w:rFonts w:hint="eastAsia"/>
          <w:lang w:eastAsia="zh-CN"/>
        </w:rPr>
        <w:t>，</w:t>
      </w:r>
      <w:r>
        <w:rPr>
          <w:rFonts w:hint="eastAsia"/>
        </w:rPr>
        <w:t>2007年4月9日公布</w:t>
      </w:r>
      <w:r>
        <w:rPr>
          <w:rFonts w:hint="eastAsia"/>
          <w:lang w:eastAsia="zh-CN"/>
        </w:rPr>
        <w:t>，</w:t>
      </w:r>
      <w:r>
        <w:rPr>
          <w:rFonts w:hint="eastAsia"/>
        </w:rPr>
        <w:t>自2007年6月1日起施行</w:t>
      </w:r>
      <w:r>
        <w:rPr>
          <w:rFonts w:hint="eastAsia"/>
          <w:lang w:eastAsia="zh-CN"/>
        </w:rPr>
        <w:t>）；</w:t>
      </w:r>
    </w:p>
    <w:p w14:paraId="0BE4D0AA">
      <w:pPr>
        <w:bidi w:val="0"/>
        <w:rPr>
          <w:rFonts w:hint="eastAsia" w:eastAsia="宋体"/>
          <w:lang w:val="en-US" w:eastAsia="zh-CN"/>
        </w:rPr>
      </w:pPr>
      <w:r>
        <w:rPr>
          <w:rFonts w:hint="eastAsia"/>
          <w:lang w:val="en-US" w:eastAsia="zh-CN"/>
        </w:rPr>
        <w:t>10</w:t>
      </w:r>
      <w:r>
        <w:rPr>
          <w:rFonts w:hint="eastAsia"/>
          <w:lang w:eastAsia="zh-CN"/>
        </w:rPr>
        <w:t>、</w:t>
      </w:r>
      <w:r>
        <w:rPr>
          <w:rFonts w:hint="eastAsia"/>
        </w:rPr>
        <w:t>《中华人民共和国劳动合同法实施条例》（国务院令第535号</w:t>
      </w:r>
      <w:r>
        <w:rPr>
          <w:rFonts w:hint="eastAsia"/>
          <w:lang w:eastAsia="zh-CN"/>
        </w:rPr>
        <w:t>，</w:t>
      </w:r>
      <w:r>
        <w:rPr>
          <w:rFonts w:hint="eastAsia"/>
        </w:rPr>
        <w:t>2008年9月18日公布</w:t>
      </w:r>
      <w:r>
        <w:rPr>
          <w:rFonts w:hint="eastAsia"/>
          <w:lang w:eastAsia="zh-CN"/>
        </w:rPr>
        <w:t>，</w:t>
      </w:r>
      <w:r>
        <w:rPr>
          <w:rFonts w:hint="eastAsia"/>
        </w:rPr>
        <w:t>自公布之日起施行</w:t>
      </w:r>
      <w:r>
        <w:rPr>
          <w:rFonts w:hint="eastAsia"/>
          <w:lang w:eastAsia="zh-CN"/>
        </w:rPr>
        <w:t>）；</w:t>
      </w:r>
    </w:p>
    <w:p w14:paraId="7E225F0D">
      <w:pPr>
        <w:bidi w:val="0"/>
        <w:rPr>
          <w:rFonts w:hint="eastAsia" w:eastAsia="宋体"/>
          <w:lang w:val="en-US" w:eastAsia="zh-CN"/>
        </w:rPr>
      </w:pPr>
      <w:r>
        <w:rPr>
          <w:rFonts w:hint="eastAsia"/>
          <w:lang w:val="en-US" w:eastAsia="zh-CN"/>
        </w:rPr>
        <w:t>11、</w:t>
      </w:r>
      <w:r>
        <w:t>《公路安全保护条例》（国务院令第593号</w:t>
      </w:r>
      <w:r>
        <w:rPr>
          <w:rFonts w:hint="eastAsia"/>
          <w:lang w:eastAsia="zh-CN"/>
        </w:rPr>
        <w:t>，</w:t>
      </w:r>
      <w:r>
        <w:t>2011年7月1日施行</w:t>
      </w:r>
      <w:r>
        <w:rPr>
          <w:rFonts w:hint="eastAsia"/>
          <w:lang w:eastAsia="zh-CN"/>
        </w:rPr>
        <w:t>）；</w:t>
      </w:r>
    </w:p>
    <w:p w14:paraId="08706CEA">
      <w:pPr>
        <w:bidi w:val="0"/>
        <w:rPr>
          <w:rFonts w:ascii="Times New Roman" w:hAnsi="Times New Roman"/>
          <w:color w:val="000000" w:themeColor="text1"/>
          <w14:textFill>
            <w14:solidFill>
              <w14:schemeClr w14:val="tx1"/>
            </w14:solidFill>
          </w14:textFill>
        </w:rPr>
      </w:pPr>
      <w:r>
        <w:rPr>
          <w:rFonts w:hint="eastAsia"/>
          <w:lang w:val="en-US" w:eastAsia="zh-CN"/>
        </w:rPr>
        <w:t>12、《</w:t>
      </w:r>
      <w:r>
        <w:rPr>
          <w:rFonts w:hint="eastAsia"/>
        </w:rPr>
        <w:t>生产安全事故应急条例</w:t>
      </w:r>
      <w:r>
        <w:rPr>
          <w:rFonts w:hint="eastAsia"/>
          <w:lang w:eastAsia="zh-CN"/>
        </w:rPr>
        <w:t>》（</w:t>
      </w:r>
      <w:r>
        <w:rPr>
          <w:rFonts w:hint="eastAsia"/>
        </w:rPr>
        <w:t>国务院令第708号</w:t>
      </w:r>
      <w:r>
        <w:rPr>
          <w:rFonts w:hint="eastAsia"/>
          <w:lang w:eastAsia="zh-CN"/>
        </w:rPr>
        <w:t>，</w:t>
      </w:r>
      <w:r>
        <w:rPr>
          <w:rFonts w:hint="eastAsia"/>
        </w:rPr>
        <w:t>2019年2月17日公布</w:t>
      </w:r>
      <w:r>
        <w:rPr>
          <w:rFonts w:hint="eastAsia"/>
          <w:lang w:eastAsia="zh-CN"/>
        </w:rPr>
        <w:t>，</w:t>
      </w:r>
      <w:r>
        <w:rPr>
          <w:rFonts w:hint="eastAsia"/>
        </w:rPr>
        <w:t>自2019年4月1日起施行</w:t>
      </w:r>
      <w:r>
        <w:rPr>
          <w:rFonts w:hint="eastAsia"/>
          <w:lang w:eastAsia="zh-CN"/>
        </w:rPr>
        <w:t>）。</w:t>
      </w:r>
    </w:p>
    <w:p w14:paraId="3833769D">
      <w:pPr>
        <w:pStyle w:val="5"/>
      </w:pPr>
      <w:bookmarkStart w:id="63" w:name="_Toc20399"/>
      <w:bookmarkStart w:id="64" w:name="_Toc501120262"/>
      <w:bookmarkStart w:id="65" w:name="_Toc476"/>
      <w:r>
        <w:t>1.2.1.3部门规章</w:t>
      </w:r>
      <w:bookmarkEnd w:id="63"/>
      <w:bookmarkEnd w:id="64"/>
      <w:r>
        <w:t>及规范性文件</w:t>
      </w:r>
      <w:bookmarkEnd w:id="65"/>
    </w:p>
    <w:p w14:paraId="58B9D08E">
      <w:pPr>
        <w:bidi w:val="0"/>
        <w:rPr>
          <w:rFonts w:hint="default" w:eastAsia="宋体" w:cs="Times New Roman"/>
          <w:lang w:val="en-US" w:eastAsia="zh-CN"/>
        </w:rPr>
      </w:pPr>
      <w:bookmarkStart w:id="66" w:name="_Toc501120263"/>
      <w:r>
        <w:rPr>
          <w:rFonts w:hint="eastAsia" w:eastAsia="宋体" w:cs="Times New Roman"/>
          <w:lang w:val="en-US" w:eastAsia="zh-CN"/>
        </w:rPr>
        <w:t>1、《特种设备作业人员监督管理办法》（国家质量监督检验检疫总局令第140号，2011年5月3日修订，2011年7月1日起施行）；</w:t>
      </w:r>
    </w:p>
    <w:p w14:paraId="10D9DC85">
      <w:pPr>
        <w:bidi w:val="0"/>
        <w:rPr>
          <w:rFonts w:hint="eastAsia" w:eastAsia="宋体" w:cs="Times New Roman"/>
          <w:lang w:val="en-US" w:eastAsia="zh-CN"/>
        </w:rPr>
      </w:pPr>
      <w:r>
        <w:rPr>
          <w:rFonts w:hint="eastAsia" w:eastAsia="宋体" w:cs="Times New Roman"/>
          <w:lang w:val="en-US" w:eastAsia="zh-CN"/>
        </w:rPr>
        <w:t>2、《国家安全监管总局关于发布金属非金属矿山新型适用安全技术及装备推广目录（第一批）的通知》（安监总管—〔2015〕12号，2015年2月13日</w:t>
      </w:r>
      <w:r>
        <w:rPr>
          <w:rFonts w:hint="eastAsia" w:eastAsia="宋体" w:cs="Times New Roman"/>
          <w:lang w:val="sq-AL" w:eastAsia="zh-CN"/>
        </w:rPr>
        <w:t>起施行）</w:t>
      </w:r>
      <w:r>
        <w:rPr>
          <w:rFonts w:hint="eastAsia" w:eastAsia="宋体" w:cs="Times New Roman"/>
          <w:lang w:val="en-US" w:eastAsia="zh-CN"/>
        </w:rPr>
        <w:t>；</w:t>
      </w:r>
    </w:p>
    <w:p w14:paraId="311EB6CE">
      <w:pPr>
        <w:bidi w:val="0"/>
        <w:rPr>
          <w:rFonts w:hint="eastAsia" w:eastAsia="宋体" w:cs="Times New Roman"/>
          <w:lang w:val="en-US" w:eastAsia="zh-CN"/>
        </w:rPr>
      </w:pPr>
      <w:r>
        <w:rPr>
          <w:rFonts w:hint="eastAsia" w:eastAsia="宋体" w:cs="Times New Roman"/>
          <w:lang w:val="en-US" w:eastAsia="zh-CN"/>
        </w:rPr>
        <w:t>3、《国家安全监管总局关于发布金属非金属矿山禁止使用的设备及工艺目录（第二批）的通知》（安监总管—〔2015〕13号，2015年2月13日</w:t>
      </w:r>
      <w:r>
        <w:rPr>
          <w:rFonts w:hint="eastAsia" w:eastAsia="宋体" w:cs="Times New Roman"/>
          <w:lang w:val="sq-AL" w:eastAsia="zh-CN"/>
        </w:rPr>
        <w:t>起施行）</w:t>
      </w:r>
      <w:r>
        <w:rPr>
          <w:rFonts w:hint="eastAsia" w:eastAsia="宋体" w:cs="Times New Roman"/>
          <w:lang w:val="en-US" w:eastAsia="zh-CN"/>
        </w:rPr>
        <w:t>；</w:t>
      </w:r>
    </w:p>
    <w:p w14:paraId="19367557">
      <w:pPr>
        <w:bidi w:val="0"/>
        <w:rPr>
          <w:rFonts w:hint="eastAsia" w:eastAsia="宋体" w:cs="Times New Roman"/>
          <w:lang w:val="en-US" w:eastAsia="zh-CN"/>
        </w:rPr>
      </w:pPr>
      <w:r>
        <w:rPr>
          <w:rFonts w:hint="eastAsia" w:eastAsia="宋体" w:cs="Times New Roman"/>
          <w:lang w:val="en-US" w:eastAsia="zh-CN"/>
        </w:rPr>
        <w:t>4、《金属非金属矿山建设项目安全设施目录（试行）》（国家安全监管总局令第75号，2015年7月1日施行）；</w:t>
      </w:r>
    </w:p>
    <w:p w14:paraId="38D1FA26">
      <w:pPr>
        <w:bidi w:val="0"/>
        <w:rPr>
          <w:rFonts w:hint="eastAsia" w:eastAsia="宋体" w:cs="Times New Roman"/>
          <w:lang w:val="en-US" w:eastAsia="zh-CN"/>
        </w:rPr>
      </w:pPr>
      <w:r>
        <w:rPr>
          <w:rFonts w:hint="eastAsia" w:eastAsia="宋体" w:cs="Times New Roman"/>
          <w:lang w:val="en-US" w:eastAsia="zh-CN"/>
        </w:rPr>
        <w:t>5、《建设项目安全设施“三同时”监督管理办法》（国家安全监管总局36号令；2015年4月2日国家安全生产监管总局令第77号修正，2015年5月1日起施行）；</w:t>
      </w:r>
    </w:p>
    <w:p w14:paraId="5A914C50">
      <w:pPr>
        <w:bidi w:val="0"/>
        <w:rPr>
          <w:rFonts w:hint="default" w:eastAsia="宋体" w:cs="Times New Roman"/>
          <w:lang w:val="en-US" w:eastAsia="zh-CN"/>
        </w:rPr>
      </w:pPr>
      <w:r>
        <w:rPr>
          <w:rFonts w:hint="eastAsia" w:eastAsia="宋体" w:cs="Times New Roman"/>
          <w:lang w:val="en-US" w:eastAsia="zh-CN"/>
        </w:rPr>
        <w:t>6、《非煤矿山企业安全生产许可证实施办法》（安全监管总局令第20号公布施行；根据</w:t>
      </w:r>
      <w:r>
        <w:rPr>
          <w:rFonts w:hint="default" w:eastAsia="宋体" w:cs="Times New Roman"/>
          <w:lang w:val="en-US" w:eastAsia="zh-CN"/>
        </w:rPr>
        <w:t>2015</w:t>
      </w:r>
      <w:r>
        <w:rPr>
          <w:rFonts w:hint="eastAsia" w:eastAsia="宋体" w:cs="Times New Roman"/>
          <w:lang w:val="en-US" w:eastAsia="zh-CN"/>
        </w:rPr>
        <w:t>年</w:t>
      </w:r>
      <w:r>
        <w:rPr>
          <w:rFonts w:hint="default" w:eastAsia="宋体" w:cs="Times New Roman"/>
          <w:lang w:val="en-US" w:eastAsia="zh-CN"/>
        </w:rPr>
        <w:t>5</w:t>
      </w:r>
      <w:r>
        <w:rPr>
          <w:rFonts w:hint="eastAsia" w:eastAsia="宋体" w:cs="Times New Roman"/>
          <w:lang w:val="en-US" w:eastAsia="zh-CN"/>
        </w:rPr>
        <w:t>月</w:t>
      </w:r>
      <w:r>
        <w:rPr>
          <w:rFonts w:hint="default" w:eastAsia="宋体" w:cs="Times New Roman"/>
          <w:lang w:val="en-US" w:eastAsia="zh-CN"/>
        </w:rPr>
        <w:t>26</w:t>
      </w:r>
      <w:r>
        <w:rPr>
          <w:rFonts w:hint="eastAsia" w:eastAsia="宋体" w:cs="Times New Roman"/>
          <w:lang w:val="en-US" w:eastAsia="zh-CN"/>
        </w:rPr>
        <w:t>日国家安全监管总局令第78号修正）；</w:t>
      </w:r>
    </w:p>
    <w:p w14:paraId="1839C65D">
      <w:pPr>
        <w:bidi w:val="0"/>
        <w:rPr>
          <w:rFonts w:hint="eastAsia" w:eastAsia="宋体" w:cs="Times New Roman"/>
          <w:lang w:val="en-US" w:eastAsia="zh-CN"/>
        </w:rPr>
      </w:pPr>
      <w:r>
        <w:rPr>
          <w:rFonts w:hint="eastAsia" w:eastAsia="宋体" w:cs="Times New Roman"/>
          <w:lang w:val="en-US" w:eastAsia="zh-CN"/>
        </w:rPr>
        <w:t>7、《生产经营单位安全培训规定》（国家安全监管总局令第3号；根据2015年5月29日国家安全生产监督管理总局令第80号第二次修正）；</w:t>
      </w:r>
    </w:p>
    <w:p w14:paraId="4D87EC74">
      <w:pPr>
        <w:bidi w:val="0"/>
        <w:rPr>
          <w:rFonts w:hint="eastAsia" w:eastAsia="宋体" w:cs="Times New Roman"/>
          <w:lang w:val="en-US" w:eastAsia="zh-CN"/>
        </w:rPr>
      </w:pPr>
      <w:r>
        <w:rPr>
          <w:rFonts w:hint="eastAsia" w:eastAsia="宋体" w:cs="Times New Roman"/>
          <w:lang w:val="en-US" w:eastAsia="zh-CN"/>
        </w:rPr>
        <w:t>8、《安全生产培训管理办法》（国家安全生产监督管理总局令第44号；</w:t>
      </w:r>
    </w:p>
    <w:p w14:paraId="3BD04D9C">
      <w:pPr>
        <w:bidi w:val="0"/>
        <w:rPr>
          <w:rFonts w:hint="eastAsia"/>
          <w:lang w:eastAsia="zh-CN"/>
        </w:rPr>
      </w:pPr>
      <w:r>
        <w:rPr>
          <w:rFonts w:hint="eastAsia"/>
          <w:lang w:val="en-US" w:eastAsia="zh-CN"/>
        </w:rPr>
        <w:t>9、《特种作业人员安全技术培训考核管理规定》</w:t>
      </w:r>
      <w:r>
        <w:t>（</w:t>
      </w:r>
      <w:r>
        <w:rPr>
          <w:rFonts w:hint="eastAsia"/>
        </w:rPr>
        <w:t>2025年12月17日应急管理部令第19号公布，自2026年6月1日起施行）</w:t>
      </w:r>
      <w:r>
        <w:rPr>
          <w:rFonts w:hint="eastAsia"/>
          <w:lang w:eastAsia="zh-CN"/>
        </w:rPr>
        <w:t>；</w:t>
      </w:r>
    </w:p>
    <w:p w14:paraId="450F3491">
      <w:pPr>
        <w:bidi w:val="0"/>
        <w:rPr>
          <w:rFonts w:hint="eastAsia"/>
          <w:lang w:eastAsia="zh-CN"/>
        </w:rPr>
      </w:pPr>
      <w:r>
        <w:rPr>
          <w:rFonts w:hint="eastAsia"/>
          <w:lang w:val="en-US" w:eastAsia="zh-CN"/>
        </w:rPr>
        <w:t>10、</w:t>
      </w:r>
      <w:r>
        <w:rPr>
          <w:rFonts w:hint="eastAsia"/>
        </w:rPr>
        <w:t>《国家安全监管总局关于印发金属非金属矿山建设项目安全评价</w:t>
      </w:r>
      <w:r>
        <w:rPr>
          <w:rFonts w:hint="eastAsia"/>
          <w:lang w:eastAsia="zh-CN"/>
        </w:rPr>
        <w:t>报告</w:t>
      </w:r>
      <w:r>
        <w:rPr>
          <w:rFonts w:hint="eastAsia"/>
        </w:rPr>
        <w:t>提纲的通知》（安监总管</w:t>
      </w:r>
      <w:r>
        <w:rPr>
          <w:rFonts w:hint="eastAsia"/>
          <w:lang w:eastAsia="zh-CN"/>
        </w:rPr>
        <w:t>—</w:t>
      </w:r>
      <w:r>
        <w:rPr>
          <w:rFonts w:hint="eastAsia"/>
        </w:rPr>
        <w:t>〔</w:t>
      </w:r>
      <w:r>
        <w:t>2016</w:t>
      </w:r>
      <w:r>
        <w:rPr>
          <w:rFonts w:hint="eastAsia"/>
        </w:rPr>
        <w:t>〕</w:t>
      </w:r>
      <w:r>
        <w:t>49</w:t>
      </w:r>
      <w:r>
        <w:rPr>
          <w:rFonts w:hint="eastAsia"/>
        </w:rPr>
        <w:t>号</w:t>
      </w:r>
      <w:r>
        <w:rPr>
          <w:rFonts w:hint="eastAsia"/>
          <w:lang w:eastAsia="zh-CN"/>
        </w:rPr>
        <w:t>）；</w:t>
      </w:r>
    </w:p>
    <w:p w14:paraId="33D7A810">
      <w:pPr>
        <w:bidi w:val="0"/>
      </w:pPr>
      <w:r>
        <w:rPr>
          <w:rFonts w:hint="eastAsia"/>
          <w:lang w:val="en-US" w:eastAsia="zh-CN"/>
        </w:rPr>
        <w:t>11、</w:t>
      </w:r>
      <w:r>
        <w:t>《国家安全监管总局办公厅关于修改用人单位劳动防护用品管理规范的通知》（2018年1月15日</w:t>
      </w:r>
      <w:r>
        <w:rPr>
          <w:rFonts w:hint="eastAsia"/>
          <w:lang w:eastAsia="zh-CN"/>
        </w:rPr>
        <w:t>，</w:t>
      </w:r>
      <w:r>
        <w:t>安监总厅安健〔2018〕3号）；</w:t>
      </w:r>
    </w:p>
    <w:p w14:paraId="2BF37EEB">
      <w:pPr>
        <w:bidi w:val="0"/>
        <w:rPr>
          <w:rFonts w:hint="eastAsia"/>
          <w:lang w:val="en-US" w:eastAsia="zh-CN"/>
        </w:rPr>
      </w:pPr>
      <w:r>
        <w:rPr>
          <w:rFonts w:hint="eastAsia"/>
          <w:lang w:val="en-US" w:eastAsia="zh-CN"/>
        </w:rPr>
        <w:t>12、《生产安全事故应急预案管理办法》（</w:t>
      </w:r>
      <w:r>
        <w:rPr>
          <w:rFonts w:hint="eastAsia"/>
        </w:rPr>
        <w:t>国家安全生产监督管理总局令第88号公布；根据2019年7月11日应急管理部令第2号修正</w:t>
      </w:r>
      <w:r>
        <w:rPr>
          <w:rFonts w:hint="eastAsia"/>
          <w:lang w:eastAsia="zh-CN"/>
        </w:rPr>
        <w:t>）；</w:t>
      </w:r>
    </w:p>
    <w:p w14:paraId="26C7D2AB">
      <w:pPr>
        <w:bidi w:val="0"/>
        <w:rPr>
          <w:rFonts w:hint="eastAsia"/>
          <w:lang w:val="en-US" w:eastAsia="zh-CN"/>
        </w:rPr>
      </w:pPr>
      <w:r>
        <w:rPr>
          <w:rFonts w:hint="eastAsia"/>
          <w:lang w:val="en-US" w:eastAsia="zh-CN"/>
        </w:rPr>
        <w:t>13、《国务院安委会办公室关于加强矿山安全生产工作的紧急通知》（安委办〔2021〕3号）；</w:t>
      </w:r>
    </w:p>
    <w:p w14:paraId="5AE57E30">
      <w:pPr>
        <w:bidi w:val="0"/>
        <w:rPr>
          <w:rFonts w:hint="eastAsia"/>
          <w:lang w:eastAsia="zh-CN"/>
        </w:rPr>
      </w:pPr>
      <w:r>
        <w:rPr>
          <w:rFonts w:hint="eastAsia"/>
          <w:lang w:val="en-US" w:eastAsia="zh-CN"/>
        </w:rPr>
        <w:t>14、《</w:t>
      </w:r>
      <w:r>
        <w:rPr>
          <w:rFonts w:hint="eastAsia"/>
        </w:rPr>
        <w:t>国家矿山安全监察局关于印发</w:t>
      </w:r>
      <w:r>
        <w:rPr>
          <w:rFonts w:hint="eastAsia"/>
          <w:lang w:eastAsia="zh-CN"/>
        </w:rPr>
        <w:t>〈</w:t>
      </w:r>
      <w:r>
        <w:rPr>
          <w:rFonts w:hint="eastAsia"/>
        </w:rPr>
        <w:t>矿山重大隐患调查处理办法（试行）</w:t>
      </w:r>
      <w:r>
        <w:rPr>
          <w:rFonts w:hint="eastAsia"/>
          <w:lang w:eastAsia="zh-CN"/>
        </w:rPr>
        <w:t>〉的通知》</w:t>
      </w:r>
      <w:r>
        <w:rPr>
          <w:rFonts w:hint="eastAsia"/>
        </w:rPr>
        <w:t>（矿安〔2021〕49号</w:t>
      </w:r>
      <w:r>
        <w:rPr>
          <w:rFonts w:hint="eastAsia"/>
          <w:lang w:eastAsia="zh-CN"/>
        </w:rPr>
        <w:t>）；</w:t>
      </w:r>
    </w:p>
    <w:p w14:paraId="45CAC945">
      <w:pPr>
        <w:numPr>
          <w:ilvl w:val="0"/>
          <w:numId w:val="0"/>
        </w:numPr>
        <w:ind w:firstLine="552" w:firstLineChars="200"/>
        <w:rPr>
          <w:rFonts w:ascii="Times New Roman" w:hAnsi="Times New Roman"/>
          <w:color w:val="auto"/>
        </w:rPr>
      </w:pPr>
      <w:r>
        <w:rPr>
          <w:rFonts w:hint="eastAsia" w:ascii="Times New Roman" w:hAnsi="Times New Roman"/>
          <w:color w:val="auto"/>
          <w:lang w:val="en-US" w:eastAsia="zh-CN"/>
        </w:rPr>
        <w:t>15、</w:t>
      </w:r>
      <w:r>
        <w:rPr>
          <w:rFonts w:ascii="Times New Roman" w:hAnsi="Times New Roman"/>
          <w:color w:val="auto"/>
        </w:rPr>
        <w:t>《工作场所职业卫生管理规定》（中华人民共和国国家卫生健康委员会令第5号，自2021年2月1日起施行）；</w:t>
      </w:r>
    </w:p>
    <w:p w14:paraId="6F432555">
      <w:pPr>
        <w:bidi w:val="0"/>
        <w:rPr>
          <w:rFonts w:hint="eastAsia"/>
          <w:lang w:val="en-US" w:eastAsia="zh-CN"/>
        </w:rPr>
      </w:pPr>
      <w:r>
        <w:rPr>
          <w:rFonts w:hint="eastAsia"/>
          <w:lang w:val="en-US" w:eastAsia="zh-CN"/>
        </w:rPr>
        <w:t>16、《国家矿山安全监察局关于印发〈关于加强非煤矿山安全生产工作的指导意见〉的通知》（矿安〔2022〕4号，2022年2月8日）；</w:t>
      </w:r>
    </w:p>
    <w:p w14:paraId="0A675666">
      <w:pPr>
        <w:bidi w:val="0"/>
        <w:rPr>
          <w:rFonts w:hint="eastAsia"/>
          <w:lang w:val="en-US" w:eastAsia="zh-CN"/>
        </w:rPr>
      </w:pPr>
      <w:r>
        <w:rPr>
          <w:rFonts w:hint="eastAsia"/>
          <w:lang w:val="en-US" w:eastAsia="zh-CN"/>
        </w:rPr>
        <w:t>17、《国家矿山安全监察局关于印发〈金属非金属矿山重大事故隐患判定标准〉的通知》（矿安〔2022〕88号公布，2022年9月1日施行）；</w:t>
      </w:r>
    </w:p>
    <w:p w14:paraId="1DCBB816">
      <w:pPr>
        <w:bidi w:val="0"/>
      </w:pPr>
      <w:r>
        <w:rPr>
          <w:rFonts w:hint="eastAsia"/>
          <w:lang w:val="en-US" w:eastAsia="zh-CN"/>
        </w:rPr>
        <w:t>18、</w:t>
      </w:r>
      <w:r>
        <w:t>《国家矿山安全监察局关于印发</w:t>
      </w:r>
      <w:r>
        <w:rPr>
          <w:rFonts w:hint="eastAsia"/>
          <w:lang w:eastAsia="zh-CN"/>
        </w:rPr>
        <w:t>〈</w:t>
      </w:r>
      <w:r>
        <w:t>矿山安全先进适用技术装备推广与落后技术装备淘汰目录管理办法（试行）</w:t>
      </w:r>
      <w:r>
        <w:rPr>
          <w:rFonts w:hint="eastAsia"/>
          <w:lang w:eastAsia="zh-CN"/>
        </w:rPr>
        <w:t>〉</w:t>
      </w:r>
      <w:r>
        <w:t>的通知》（矿安〔2022〕82号，2022年6月1日）；</w:t>
      </w:r>
    </w:p>
    <w:p w14:paraId="5C7E22C2">
      <w:pPr>
        <w:bidi w:val="0"/>
        <w:rPr>
          <w:rFonts w:hint="default"/>
          <w:lang w:val="en-US" w:eastAsia="zh-CN"/>
        </w:rPr>
      </w:pPr>
      <w:r>
        <w:rPr>
          <w:rFonts w:hint="eastAsia"/>
          <w:lang w:val="en-US" w:eastAsia="zh-CN"/>
        </w:rPr>
        <w:t>19、《</w:t>
      </w:r>
      <w:r>
        <w:rPr>
          <w:rFonts w:hint="eastAsia"/>
        </w:rPr>
        <w:t>财政部应急部关于印发</w:t>
      </w:r>
      <w:r>
        <w:rPr>
          <w:rFonts w:hint="eastAsia"/>
          <w:lang w:eastAsia="zh-CN"/>
        </w:rPr>
        <w:t>〈</w:t>
      </w:r>
      <w:r>
        <w:rPr>
          <w:rFonts w:hint="eastAsia"/>
        </w:rPr>
        <w:t>企业安全生产费用提取和使用管理办法</w:t>
      </w:r>
      <w:r>
        <w:rPr>
          <w:rFonts w:hint="eastAsia"/>
          <w:lang w:eastAsia="zh-CN"/>
        </w:rPr>
        <w:t>〉的通知》（</w:t>
      </w:r>
      <w:r>
        <w:rPr>
          <w:rFonts w:hint="eastAsia"/>
        </w:rPr>
        <w:t>财资〔2022〕136号</w:t>
      </w:r>
      <w:r>
        <w:rPr>
          <w:rFonts w:hint="eastAsia"/>
          <w:lang w:eastAsia="zh-CN"/>
        </w:rPr>
        <w:t>，</w:t>
      </w:r>
      <w:r>
        <w:rPr>
          <w:rFonts w:hint="eastAsia"/>
          <w:lang w:val="en-US" w:eastAsia="zh-CN"/>
        </w:rPr>
        <w:t>2022年11月21日发布施行）；</w:t>
      </w:r>
    </w:p>
    <w:p w14:paraId="3F2A411A">
      <w:pPr>
        <w:bidi w:val="0"/>
        <w:rPr>
          <w:rFonts w:hint="default"/>
          <w:color w:val="auto"/>
          <w:lang w:val="en-US" w:eastAsia="zh-CN"/>
        </w:rPr>
      </w:pPr>
      <w:r>
        <w:rPr>
          <w:rFonts w:hint="eastAsia"/>
          <w:color w:val="auto"/>
          <w:lang w:val="en-US" w:eastAsia="zh-CN"/>
        </w:rPr>
        <w:t>20、《中共中央办公厅国务院办公厅关于进一步加强矿山安全生产工作的意见》（</w:t>
      </w:r>
      <w:r>
        <w:rPr>
          <w:color w:val="auto"/>
        </w:rPr>
        <w:t>厅字〔2023〕21号</w:t>
      </w:r>
      <w:r>
        <w:rPr>
          <w:rFonts w:hint="eastAsia"/>
          <w:color w:val="auto"/>
          <w:lang w:val="en-US" w:eastAsia="zh-CN"/>
        </w:rPr>
        <w:t>，2023年9月6日）；</w:t>
      </w:r>
    </w:p>
    <w:p w14:paraId="7A146E78">
      <w:pPr>
        <w:bidi w:val="0"/>
        <w:rPr>
          <w:color w:val="auto"/>
        </w:rPr>
      </w:pPr>
      <w:r>
        <w:rPr>
          <w:rFonts w:hint="eastAsia" w:ascii="Times New Roman" w:hAnsi="Times New Roman" w:eastAsia="宋体" w:cs="Times New Roman"/>
          <w:color w:val="auto"/>
          <w:lang w:val="en-US" w:eastAsia="zh-CN"/>
        </w:rPr>
        <w:t>21、</w:t>
      </w:r>
      <w:r>
        <w:rPr>
          <w:color w:val="auto"/>
        </w:rPr>
        <w:t>《关于做好非煤矿山灾害情况发生重大变化及时报告和出现事故征兆等紧急情况及时撤人工作的通知》（矿安〔2023〕60号，2023年6月21日）；</w:t>
      </w:r>
    </w:p>
    <w:p w14:paraId="1929CD4B">
      <w:pPr>
        <w:bidi w:val="0"/>
        <w:rPr>
          <w:rFonts w:hint="eastAsia"/>
          <w:color w:val="auto"/>
          <w:lang w:val="en-US" w:eastAsia="zh-CN"/>
        </w:rPr>
      </w:pPr>
      <w:r>
        <w:rPr>
          <w:rFonts w:hint="eastAsia"/>
          <w:color w:val="auto"/>
          <w:lang w:val="en-US" w:eastAsia="zh-CN"/>
        </w:rPr>
        <w:t>22、</w:t>
      </w:r>
      <w:r>
        <w:rPr>
          <w:rFonts w:hint="eastAsia"/>
          <w:color w:val="auto"/>
        </w:rPr>
        <w:t>《国家矿山安全监察局关于开展露天矿山边坡监测系统建设及联网工作的通知》（矿安〔2023〕119号）</w:t>
      </w:r>
      <w:r>
        <w:rPr>
          <w:rFonts w:hint="eastAsia"/>
          <w:color w:val="auto"/>
          <w:lang w:eastAsia="zh-CN"/>
        </w:rPr>
        <w:t>；</w:t>
      </w:r>
    </w:p>
    <w:p w14:paraId="2E0C758E">
      <w:pPr>
        <w:bidi w:val="0"/>
        <w:rPr>
          <w:rFonts w:hint="eastAsia"/>
          <w:color w:val="auto"/>
          <w:lang w:eastAsia="zh-CN"/>
        </w:rPr>
      </w:pPr>
      <w:r>
        <w:rPr>
          <w:rFonts w:hint="eastAsia"/>
          <w:color w:val="auto"/>
          <w:lang w:val="en-US" w:eastAsia="zh-CN"/>
        </w:rPr>
        <w:t>23、《</w:t>
      </w:r>
      <w:r>
        <w:rPr>
          <w:rFonts w:hint="eastAsia"/>
          <w:color w:val="auto"/>
        </w:rPr>
        <w:t>国家矿山安全监察局关于印发</w:t>
      </w:r>
      <w:r>
        <w:rPr>
          <w:rFonts w:hint="eastAsia"/>
          <w:color w:val="auto"/>
          <w:lang w:eastAsia="zh-CN"/>
        </w:rPr>
        <w:t>〈</w:t>
      </w:r>
      <w:r>
        <w:rPr>
          <w:rFonts w:hint="eastAsia"/>
          <w:color w:val="auto"/>
        </w:rPr>
        <w:t>防范非煤矿山典型多发事故六十条措施</w:t>
      </w:r>
      <w:r>
        <w:rPr>
          <w:rFonts w:hint="eastAsia"/>
          <w:color w:val="auto"/>
          <w:lang w:eastAsia="zh-CN"/>
        </w:rPr>
        <w:t>〉的通知》</w:t>
      </w:r>
      <w:r>
        <w:rPr>
          <w:rFonts w:hint="eastAsia"/>
          <w:color w:val="auto"/>
        </w:rPr>
        <w:t>（矿安〔</w:t>
      </w:r>
      <w:r>
        <w:rPr>
          <w:color w:val="auto"/>
        </w:rPr>
        <w:t>2023</w:t>
      </w:r>
      <w:r>
        <w:rPr>
          <w:rFonts w:hint="eastAsia"/>
          <w:color w:val="auto"/>
        </w:rPr>
        <w:t>〕</w:t>
      </w:r>
      <w:r>
        <w:rPr>
          <w:color w:val="auto"/>
        </w:rPr>
        <w:t>124</w:t>
      </w:r>
      <w:r>
        <w:rPr>
          <w:rFonts w:hint="eastAsia"/>
          <w:color w:val="auto"/>
        </w:rPr>
        <w:t>号</w:t>
      </w:r>
      <w:r>
        <w:rPr>
          <w:rFonts w:hint="eastAsia"/>
          <w:color w:val="auto"/>
          <w:lang w:eastAsia="zh-CN"/>
        </w:rPr>
        <w:t>）；</w:t>
      </w:r>
    </w:p>
    <w:p w14:paraId="5A71F1FF">
      <w:pPr>
        <w:numPr>
          <w:ilvl w:val="0"/>
          <w:numId w:val="0"/>
        </w:numPr>
        <w:ind w:firstLine="552" w:firstLineChars="200"/>
        <w:rPr>
          <w:rFonts w:ascii="Times New Roman" w:hAnsi="Times New Roman"/>
          <w:color w:val="auto"/>
        </w:rPr>
      </w:pPr>
      <w:r>
        <w:rPr>
          <w:rFonts w:hint="eastAsia" w:ascii="Times New Roman" w:hAnsi="Times New Roman"/>
          <w:color w:val="auto"/>
          <w:lang w:val="en-US" w:eastAsia="zh-CN"/>
        </w:rPr>
        <w:t>24、</w:t>
      </w:r>
      <w:r>
        <w:rPr>
          <w:rFonts w:ascii="Times New Roman" w:hAnsi="Times New Roman"/>
          <w:color w:val="auto"/>
        </w:rPr>
        <w:t>《国家矿山安全监察局关于印发&lt;非煤矿山建设项目安全设施重大变更范围&gt;的通知》（矿安〔2023〕147号，2023年11月14日实施）；</w:t>
      </w:r>
    </w:p>
    <w:p w14:paraId="74C690B1">
      <w:pPr>
        <w:bidi w:val="0"/>
        <w:rPr>
          <w:rFonts w:hint="default"/>
          <w:color w:val="auto"/>
          <w:lang w:val="en-US" w:eastAsia="zh-CN"/>
        </w:rPr>
      </w:pPr>
      <w:r>
        <w:rPr>
          <w:rFonts w:hint="eastAsia"/>
          <w:color w:val="auto"/>
          <w:lang w:val="en-US" w:eastAsia="zh-CN"/>
        </w:rPr>
        <w:t>25、《电力设施保护条例实施细则</w:t>
      </w:r>
      <w:r>
        <w:rPr>
          <w:rFonts w:hint="eastAsia"/>
          <w:color w:val="auto"/>
          <w:lang w:eastAsia="zh-CN"/>
        </w:rPr>
        <w:t>》（</w:t>
      </w:r>
      <w:r>
        <w:rPr>
          <w:rFonts w:hint="eastAsia"/>
          <w:color w:val="auto"/>
          <w:lang w:val="en-US" w:eastAsia="zh-CN"/>
        </w:rPr>
        <w:t>国家发展和改革委员会令第11号，</w:t>
      </w:r>
      <w:r>
        <w:rPr>
          <w:rFonts w:hint="eastAsia"/>
          <w:color w:val="auto"/>
        </w:rPr>
        <w:t>2024年1月4日第二次修订</w:t>
      </w:r>
      <w:r>
        <w:rPr>
          <w:rFonts w:hint="eastAsia"/>
          <w:color w:val="auto"/>
          <w:lang w:eastAsia="zh-CN"/>
        </w:rPr>
        <w:t>，</w:t>
      </w:r>
      <w:r>
        <w:rPr>
          <w:rFonts w:hint="eastAsia"/>
          <w:color w:val="auto"/>
          <w:lang w:val="en-US" w:eastAsia="zh-CN"/>
        </w:rPr>
        <w:t>自2024年3月1日起施行）；</w:t>
      </w:r>
    </w:p>
    <w:p w14:paraId="6D550A1A">
      <w:pPr>
        <w:bidi w:val="0"/>
        <w:rPr>
          <w:rFonts w:hint="eastAsia"/>
          <w:color w:val="auto"/>
          <w:lang w:eastAsia="zh-CN"/>
        </w:rPr>
      </w:pPr>
      <w:r>
        <w:rPr>
          <w:rFonts w:hint="eastAsia"/>
          <w:color w:val="auto"/>
          <w:lang w:val="en-US" w:eastAsia="zh-CN"/>
        </w:rPr>
        <w:t>26、《</w:t>
      </w:r>
      <w:r>
        <w:rPr>
          <w:rFonts w:hint="eastAsia"/>
          <w:color w:val="auto"/>
        </w:rPr>
        <w:t>国务院安全生产委员会印发</w:t>
      </w:r>
      <w:r>
        <w:rPr>
          <w:rFonts w:hint="eastAsia"/>
          <w:color w:val="auto"/>
          <w:lang w:eastAsia="zh-CN"/>
        </w:rPr>
        <w:t>〈</w:t>
      </w:r>
      <w:r>
        <w:rPr>
          <w:rFonts w:hint="eastAsia"/>
          <w:color w:val="auto"/>
        </w:rPr>
        <w:t>关于防范遏制矿山领域重特大生产安全事故的硬措施</w:t>
      </w:r>
      <w:r>
        <w:rPr>
          <w:rFonts w:hint="eastAsia"/>
          <w:color w:val="auto"/>
          <w:lang w:eastAsia="zh-CN"/>
        </w:rPr>
        <w:t>〉的通知》</w:t>
      </w:r>
      <w:r>
        <w:rPr>
          <w:rFonts w:hint="eastAsia"/>
          <w:color w:val="auto"/>
        </w:rPr>
        <w:t>（安委〔</w:t>
      </w:r>
      <w:r>
        <w:rPr>
          <w:color w:val="auto"/>
        </w:rPr>
        <w:t>2024</w:t>
      </w:r>
      <w:r>
        <w:rPr>
          <w:rFonts w:hint="eastAsia"/>
          <w:color w:val="auto"/>
        </w:rPr>
        <w:t>〕</w:t>
      </w:r>
      <w:r>
        <w:rPr>
          <w:color w:val="auto"/>
        </w:rPr>
        <w:t>1</w:t>
      </w:r>
      <w:r>
        <w:rPr>
          <w:rFonts w:hint="eastAsia"/>
          <w:color w:val="auto"/>
        </w:rPr>
        <w:t>号</w:t>
      </w:r>
      <w:r>
        <w:rPr>
          <w:rFonts w:hint="eastAsia"/>
          <w:color w:val="auto"/>
          <w:lang w:eastAsia="zh-CN"/>
        </w:rPr>
        <w:t>，</w:t>
      </w:r>
      <w:r>
        <w:rPr>
          <w:color w:val="auto"/>
        </w:rPr>
        <w:t>2024</w:t>
      </w:r>
      <w:r>
        <w:rPr>
          <w:rFonts w:hint="eastAsia"/>
          <w:color w:val="auto"/>
        </w:rPr>
        <w:t>年</w:t>
      </w:r>
      <w:r>
        <w:rPr>
          <w:color w:val="auto"/>
        </w:rPr>
        <w:t>1</w:t>
      </w:r>
      <w:r>
        <w:rPr>
          <w:rFonts w:hint="eastAsia"/>
          <w:color w:val="auto"/>
        </w:rPr>
        <w:t>月</w:t>
      </w:r>
      <w:r>
        <w:rPr>
          <w:color w:val="auto"/>
        </w:rPr>
        <w:t>16</w:t>
      </w:r>
      <w:r>
        <w:rPr>
          <w:rFonts w:hint="eastAsia"/>
          <w:color w:val="auto"/>
        </w:rPr>
        <w:t>日）</w:t>
      </w:r>
      <w:r>
        <w:rPr>
          <w:rFonts w:hint="eastAsia"/>
          <w:color w:val="auto"/>
          <w:lang w:eastAsia="zh-CN"/>
        </w:rPr>
        <w:t>；</w:t>
      </w:r>
    </w:p>
    <w:p w14:paraId="648DCA38">
      <w:pPr>
        <w:bidi w:val="0"/>
        <w:rPr>
          <w:color w:val="auto"/>
        </w:rPr>
      </w:pPr>
      <w:r>
        <w:rPr>
          <w:rFonts w:hint="eastAsia"/>
          <w:color w:val="auto"/>
          <w:lang w:val="en-US" w:eastAsia="zh-CN"/>
        </w:rPr>
        <w:t>27、</w:t>
      </w:r>
      <w:r>
        <w:rPr>
          <w:color w:val="auto"/>
        </w:rPr>
        <w:t>《国家矿山安全监察局关于印发</w:t>
      </w:r>
      <w:r>
        <w:rPr>
          <w:rFonts w:hint="eastAsia"/>
          <w:color w:val="auto"/>
          <w:lang w:eastAsia="zh-CN"/>
        </w:rPr>
        <w:t>〈</w:t>
      </w:r>
      <w:r>
        <w:rPr>
          <w:color w:val="auto"/>
        </w:rPr>
        <w:t>打击和防范矿山瞒报事故的若干措施</w:t>
      </w:r>
      <w:r>
        <w:rPr>
          <w:rFonts w:hint="eastAsia"/>
          <w:color w:val="auto"/>
          <w:lang w:eastAsia="zh-CN"/>
        </w:rPr>
        <w:t>〉</w:t>
      </w:r>
      <w:r>
        <w:rPr>
          <w:color w:val="auto"/>
        </w:rPr>
        <w:t>的通知》（矿安〔2024〕7号，2024年3月1日）；</w:t>
      </w:r>
    </w:p>
    <w:p w14:paraId="0DCEF82B">
      <w:pPr>
        <w:bidi w:val="0"/>
        <w:rPr>
          <w:color w:val="auto"/>
        </w:rPr>
      </w:pPr>
      <w:r>
        <w:rPr>
          <w:rFonts w:hint="eastAsia"/>
          <w:color w:val="auto"/>
          <w:lang w:val="en-US" w:eastAsia="zh-CN"/>
        </w:rPr>
        <w:t>28、《</w:t>
      </w:r>
      <w:r>
        <w:rPr>
          <w:color w:val="auto"/>
        </w:rPr>
        <w:t>国家矿山安全监察局</w:t>
      </w:r>
      <w:r>
        <w:rPr>
          <w:rFonts w:hint="eastAsia"/>
          <w:color w:val="auto"/>
          <w:lang w:eastAsia="zh-CN"/>
        </w:rPr>
        <w:t>〈</w:t>
      </w:r>
      <w:r>
        <w:rPr>
          <w:color w:val="auto"/>
        </w:rPr>
        <w:t>关于加强矿山应急救援工作</w:t>
      </w:r>
      <w:r>
        <w:rPr>
          <w:rFonts w:hint="eastAsia"/>
          <w:color w:val="auto"/>
          <w:lang w:eastAsia="zh-CN"/>
        </w:rPr>
        <w:t>〉</w:t>
      </w:r>
      <w:r>
        <w:rPr>
          <w:color w:val="auto"/>
        </w:rPr>
        <w:t>的通知》（矿安〔2024〕8号，2024年3月1日）；</w:t>
      </w:r>
    </w:p>
    <w:p w14:paraId="79300126">
      <w:pPr>
        <w:bidi w:val="0"/>
        <w:rPr>
          <w:rFonts w:hint="eastAsia"/>
          <w:color w:val="auto"/>
          <w:lang w:val="en-US" w:eastAsia="zh-CN"/>
        </w:rPr>
      </w:pPr>
      <w:r>
        <w:rPr>
          <w:rFonts w:hint="eastAsia"/>
          <w:color w:val="auto"/>
          <w:lang w:val="en-US" w:eastAsia="zh-CN"/>
        </w:rPr>
        <w:t>29、《国家矿山安全监察局关于印发〈金属非金属矿山重大事故隐患判定标准补充情形〉的通知》（矿安〔2024〕41号，2024年4月23日）；</w:t>
      </w:r>
    </w:p>
    <w:p w14:paraId="62A159BA">
      <w:pPr>
        <w:bidi w:val="0"/>
        <w:rPr>
          <w:color w:val="auto"/>
        </w:rPr>
      </w:pPr>
      <w:r>
        <w:rPr>
          <w:rFonts w:hint="eastAsia"/>
          <w:color w:val="auto"/>
          <w:lang w:val="en-US" w:eastAsia="zh-CN"/>
        </w:rPr>
        <w:t>30、</w:t>
      </w:r>
      <w:r>
        <w:rPr>
          <w:color w:val="auto"/>
        </w:rPr>
        <w:t>《国家矿山安全监察局发布关于印发2024年矿山安全先进适用技术及装备推广目录与落后工艺及设备淘汰目录的通知》（矿安〔2024〕68号，2024年6月17日印发）；</w:t>
      </w:r>
    </w:p>
    <w:p w14:paraId="39DC2902">
      <w:pPr>
        <w:bidi w:val="0"/>
        <w:rPr>
          <w:color w:val="auto"/>
        </w:rPr>
      </w:pPr>
      <w:r>
        <w:rPr>
          <w:rFonts w:hint="eastAsia"/>
          <w:color w:val="auto"/>
          <w:lang w:val="en-US" w:eastAsia="zh-CN"/>
        </w:rPr>
        <w:t>31、</w:t>
      </w:r>
      <w:r>
        <w:rPr>
          <w:color w:val="auto"/>
        </w:rPr>
        <w:t>《国家矿山安全监察局关于进一步加强非煤矿山安全生产行政许可工作的通知》（矿安〔2024〕70号，2024年6月28日起施行）；</w:t>
      </w:r>
    </w:p>
    <w:p w14:paraId="60E215C1">
      <w:pPr>
        <w:bidi w:val="0"/>
        <w:rPr>
          <w:rFonts w:hint="eastAsia"/>
          <w:color w:val="auto"/>
          <w:lang w:eastAsia="zh-CN"/>
        </w:rPr>
      </w:pPr>
      <w:r>
        <w:rPr>
          <w:rFonts w:hint="eastAsia"/>
          <w:color w:val="auto"/>
          <w:lang w:val="en-US" w:eastAsia="zh-CN"/>
        </w:rPr>
        <w:t>32、</w:t>
      </w:r>
      <w:r>
        <w:rPr>
          <w:color w:val="auto"/>
        </w:rPr>
        <w:t>《矿山救援规程》（中华人民共和国应急管理部令第16号，自2024年7月1日起施行）</w:t>
      </w:r>
      <w:r>
        <w:rPr>
          <w:rFonts w:hint="eastAsia"/>
          <w:color w:val="auto"/>
          <w:lang w:eastAsia="zh-CN"/>
        </w:rPr>
        <w:t>；</w:t>
      </w:r>
    </w:p>
    <w:p w14:paraId="5CC5F804">
      <w:pPr>
        <w:bidi w:val="0"/>
        <w:rPr>
          <w:rFonts w:hint="eastAsia"/>
          <w:color w:val="auto"/>
          <w:lang w:eastAsia="zh-CN"/>
        </w:rPr>
      </w:pPr>
      <w:r>
        <w:rPr>
          <w:rFonts w:hint="eastAsia"/>
          <w:color w:val="auto"/>
          <w:lang w:val="en-US" w:eastAsia="zh-CN"/>
        </w:rPr>
        <w:t>33、《</w:t>
      </w:r>
      <w:r>
        <w:rPr>
          <w:rFonts w:hint="eastAsia"/>
          <w:color w:val="auto"/>
          <w:lang w:eastAsia="zh-CN"/>
        </w:rPr>
        <w:t>国家矿山安全监察局综合司关于进一步加强矿山隐蔽致灾因素普查工作的通知》（矿安综函</w:t>
      </w:r>
      <w:r>
        <w:rPr>
          <w:color w:val="auto"/>
        </w:rPr>
        <w:t>〔202</w:t>
      </w:r>
      <w:r>
        <w:rPr>
          <w:rFonts w:hint="eastAsia"/>
          <w:color w:val="auto"/>
          <w:lang w:val="en-US" w:eastAsia="zh-CN"/>
        </w:rPr>
        <w:t>4</w:t>
      </w:r>
      <w:r>
        <w:rPr>
          <w:color w:val="auto"/>
        </w:rPr>
        <w:t>〕</w:t>
      </w:r>
      <w:r>
        <w:rPr>
          <w:rFonts w:hint="eastAsia"/>
          <w:color w:val="auto"/>
          <w:lang w:eastAsia="zh-CN"/>
        </w:rPr>
        <w:t>259号，</w:t>
      </w:r>
      <w:r>
        <w:rPr>
          <w:rFonts w:hint="eastAsia"/>
          <w:color w:val="auto"/>
        </w:rPr>
        <w:t>2024年11月1日起实施</w:t>
      </w:r>
      <w:r>
        <w:rPr>
          <w:rFonts w:hint="eastAsia"/>
          <w:color w:val="auto"/>
          <w:lang w:eastAsia="zh-CN"/>
        </w:rPr>
        <w:t>）；</w:t>
      </w:r>
    </w:p>
    <w:p w14:paraId="3409C64E">
      <w:pPr>
        <w:bidi w:val="0"/>
        <w:rPr>
          <w:rFonts w:hint="eastAsia"/>
          <w:color w:val="auto"/>
          <w:lang w:val="en-US" w:eastAsia="zh-CN"/>
        </w:rPr>
      </w:pPr>
      <w:r>
        <w:rPr>
          <w:rFonts w:hint="eastAsia"/>
          <w:color w:val="auto"/>
          <w:lang w:val="en-US" w:eastAsia="zh-CN"/>
        </w:rPr>
        <w:t>34、</w:t>
      </w:r>
      <w:r>
        <w:rPr>
          <w:color w:val="auto"/>
          <w:lang w:val="en-US" w:eastAsia="zh-CN"/>
        </w:rPr>
        <w:t>《</w:t>
      </w:r>
      <w:r>
        <w:rPr>
          <w:color w:val="auto"/>
        </w:rPr>
        <w:t>国家矿山安全监察局综合司关于明确矿山</w:t>
      </w:r>
      <w:r>
        <w:rPr>
          <w:rFonts w:hint="eastAsia"/>
          <w:color w:val="auto"/>
          <w:lang w:eastAsia="zh-CN"/>
        </w:rPr>
        <w:t>“</w:t>
      </w:r>
      <w:r>
        <w:rPr>
          <w:color w:val="auto"/>
        </w:rPr>
        <w:t>五职</w:t>
      </w:r>
      <w:r>
        <w:rPr>
          <w:rFonts w:hint="eastAsia"/>
          <w:color w:val="auto"/>
          <w:lang w:eastAsia="zh-CN"/>
        </w:rPr>
        <w:t>”</w:t>
      </w:r>
      <w:r>
        <w:rPr>
          <w:color w:val="auto"/>
        </w:rPr>
        <w:t>矿长和</w:t>
      </w:r>
      <w:r>
        <w:rPr>
          <w:rFonts w:hint="eastAsia"/>
          <w:color w:val="auto"/>
          <w:lang w:eastAsia="zh-CN"/>
        </w:rPr>
        <w:t>“</w:t>
      </w:r>
      <w:r>
        <w:rPr>
          <w:color w:val="auto"/>
        </w:rPr>
        <w:t>五科</w:t>
      </w:r>
      <w:r>
        <w:rPr>
          <w:rFonts w:hint="eastAsia"/>
          <w:color w:val="auto"/>
          <w:lang w:eastAsia="zh-CN"/>
        </w:rPr>
        <w:t>”</w:t>
      </w:r>
      <w:r>
        <w:rPr>
          <w:color w:val="auto"/>
        </w:rPr>
        <w:t>相关人员范围及相关要求的通知</w:t>
      </w:r>
      <w:r>
        <w:rPr>
          <w:color w:val="auto"/>
          <w:lang w:val="en-US" w:eastAsia="zh-CN"/>
        </w:rPr>
        <w:t>》</w:t>
      </w:r>
      <w:r>
        <w:rPr>
          <w:color w:val="auto"/>
        </w:rPr>
        <w:t>（矿安综〔2025〕12号</w:t>
      </w:r>
      <w:r>
        <w:rPr>
          <w:rFonts w:hint="eastAsia"/>
          <w:color w:val="auto"/>
          <w:lang w:val="en-US" w:eastAsia="zh-CN"/>
        </w:rPr>
        <w:t>，</w:t>
      </w:r>
      <w:r>
        <w:rPr>
          <w:color w:val="auto"/>
          <w:lang w:val="en-US" w:eastAsia="zh-CN"/>
        </w:rPr>
        <w:t>2025年7月</w:t>
      </w:r>
      <w:r>
        <w:rPr>
          <w:rFonts w:hint="eastAsia"/>
          <w:color w:val="auto"/>
          <w:lang w:val="en-US" w:eastAsia="zh-CN"/>
        </w:rPr>
        <w:t>1</w:t>
      </w:r>
      <w:r>
        <w:rPr>
          <w:color w:val="auto"/>
          <w:lang w:val="en-US" w:eastAsia="zh-CN"/>
        </w:rPr>
        <w:t>日</w:t>
      </w:r>
      <w:r>
        <w:rPr>
          <w:rFonts w:hint="eastAsia"/>
          <w:color w:val="auto"/>
          <w:lang w:val="en-US" w:eastAsia="zh-CN"/>
        </w:rPr>
        <w:t>）；</w:t>
      </w:r>
    </w:p>
    <w:p w14:paraId="457422AF">
      <w:pPr>
        <w:keepNext/>
        <w:keepLines w:val="0"/>
        <w:pageBreakBefore w:val="0"/>
        <w:widowControl w:val="0"/>
        <w:kinsoku w:val="0"/>
        <w:wordWrap/>
        <w:overflowPunct/>
        <w:topLinePunct w:val="0"/>
        <w:autoSpaceDE w:val="0"/>
        <w:autoSpaceDN w:val="0"/>
        <w:bidi w:val="0"/>
        <w:adjustRightInd w:val="0"/>
        <w:snapToGrid w:val="0"/>
        <w:textAlignment w:val="baseline"/>
        <w:rPr>
          <w:rFonts w:hint="default"/>
          <w:color w:val="auto"/>
          <w:lang w:val="en-US" w:eastAsia="zh-CN"/>
        </w:rPr>
      </w:pPr>
      <w:r>
        <w:rPr>
          <w:rFonts w:hint="eastAsia"/>
          <w:color w:val="auto"/>
          <w:lang w:val="en-US" w:eastAsia="zh-CN"/>
        </w:rPr>
        <w:t>35、《国家矿山安全监察局关于印发〈矿山安全风险监测预警处置工作管理办法（试行）〉的通知》（矿安〔2025</w:t>
      </w:r>
      <w:r>
        <w:rPr>
          <w:color w:val="auto"/>
        </w:rPr>
        <w:t>〕</w:t>
      </w:r>
      <w:r>
        <w:rPr>
          <w:rFonts w:hint="eastAsia"/>
          <w:color w:val="auto"/>
          <w:lang w:val="en-US" w:eastAsia="zh-CN"/>
        </w:rPr>
        <w:t>100号，</w:t>
      </w:r>
      <w:r>
        <w:rPr>
          <w:color w:val="auto"/>
          <w:lang w:val="en-US" w:eastAsia="zh-CN"/>
        </w:rPr>
        <w:t>2025年</w:t>
      </w:r>
      <w:r>
        <w:rPr>
          <w:rFonts w:hint="eastAsia"/>
          <w:color w:val="auto"/>
          <w:lang w:val="en-US" w:eastAsia="zh-CN"/>
        </w:rPr>
        <w:t>11</w:t>
      </w:r>
      <w:r>
        <w:rPr>
          <w:color w:val="auto"/>
          <w:lang w:val="en-US" w:eastAsia="zh-CN"/>
        </w:rPr>
        <w:t>月</w:t>
      </w:r>
      <w:r>
        <w:rPr>
          <w:rFonts w:hint="eastAsia"/>
          <w:color w:val="auto"/>
          <w:lang w:val="en-US" w:eastAsia="zh-CN"/>
        </w:rPr>
        <w:t>1</w:t>
      </w:r>
      <w:r>
        <w:rPr>
          <w:color w:val="auto"/>
          <w:lang w:val="en-US" w:eastAsia="zh-CN"/>
        </w:rPr>
        <w:t>日</w:t>
      </w:r>
      <w:r>
        <w:rPr>
          <w:rFonts w:hint="eastAsia"/>
          <w:color w:val="auto"/>
          <w:lang w:val="en-US" w:eastAsia="zh-CN"/>
        </w:rPr>
        <w:t>实施）。</w:t>
      </w:r>
    </w:p>
    <w:p w14:paraId="2EA776BB">
      <w:pPr>
        <w:pStyle w:val="5"/>
      </w:pPr>
      <w:bookmarkStart w:id="67" w:name="_Toc26808"/>
      <w:r>
        <w:t>1.2.1.4</w:t>
      </w:r>
      <w:bookmarkEnd w:id="66"/>
      <w:bookmarkStart w:id="68" w:name="_Hlk501313100"/>
      <w:r>
        <w:t>地方性法规及规范性文件</w:t>
      </w:r>
      <w:bookmarkEnd w:id="67"/>
    </w:p>
    <w:p w14:paraId="7D4ECA5A">
      <w:pPr>
        <w:bidi w:val="0"/>
        <w:rPr>
          <w:rFonts w:hint="eastAsia"/>
          <w:lang w:val="en-US" w:eastAsia="zh-CN"/>
        </w:rPr>
      </w:pPr>
      <w:bookmarkStart w:id="69" w:name="_Toc214283990"/>
      <w:bookmarkStart w:id="70" w:name="_Toc326668529"/>
      <w:bookmarkStart w:id="71" w:name="_Toc21299"/>
      <w:bookmarkStart w:id="72" w:name="_Toc374352221"/>
      <w:bookmarkStart w:id="73" w:name="_Toc503469781"/>
      <w:bookmarkStart w:id="74" w:name="_Toc501120265"/>
      <w:bookmarkStart w:id="75" w:name="_Toc20342"/>
      <w:r>
        <w:rPr>
          <w:rFonts w:hint="eastAsia" w:eastAsia="宋体" w:cs="Times New Roman"/>
          <w:lang w:val="en-US" w:eastAsia="zh-CN"/>
        </w:rPr>
        <w:t>1、《关于在全省高危行业推行人身意外伤害保险的通知》（云安监管〔2008〕102号，自2008年5月7日起施行）；</w:t>
      </w:r>
    </w:p>
    <w:p w14:paraId="01489D68">
      <w:pPr>
        <w:bidi w:val="0"/>
        <w:rPr>
          <w:rFonts w:hint="default"/>
        </w:rPr>
      </w:pPr>
      <w:r>
        <w:rPr>
          <w:rFonts w:hint="eastAsia"/>
          <w:lang w:val="en-US" w:eastAsia="zh-CN"/>
        </w:rPr>
        <w:t>2、《</w:t>
      </w:r>
      <w:r>
        <w:rPr>
          <w:rFonts w:hint="default"/>
          <w:lang w:val="en-US" w:eastAsia="zh-CN"/>
        </w:rPr>
        <w:t>云南省生产安全事故报告和调查处理规定》</w:t>
      </w:r>
      <w:r>
        <w:rPr>
          <w:rFonts w:hint="eastAsia"/>
          <w:lang w:val="en-US" w:eastAsia="zh-CN"/>
        </w:rPr>
        <w:t>（</w:t>
      </w:r>
      <w:r>
        <w:rPr>
          <w:rFonts w:hint="default"/>
          <w:lang w:val="en-US" w:eastAsia="zh-CN"/>
        </w:rPr>
        <w:t>云南省政府令第155号</w:t>
      </w:r>
      <w:r>
        <w:rPr>
          <w:rFonts w:hint="eastAsia"/>
          <w:lang w:val="en-US" w:eastAsia="zh-CN"/>
        </w:rPr>
        <w:t>，</w:t>
      </w:r>
      <w:r>
        <w:rPr>
          <w:rFonts w:hint="default"/>
          <w:lang w:val="en-US" w:eastAsia="zh-CN"/>
        </w:rPr>
        <w:t>经2009年7月30日云南省人民政府第27次常务会议通过</w:t>
      </w:r>
      <w:r>
        <w:rPr>
          <w:rFonts w:hint="eastAsia"/>
          <w:lang w:val="en-US" w:eastAsia="zh-CN"/>
        </w:rPr>
        <w:t>并</w:t>
      </w:r>
      <w:r>
        <w:rPr>
          <w:rFonts w:hint="default"/>
          <w:lang w:val="en-US" w:eastAsia="zh-CN"/>
        </w:rPr>
        <w:t>予公布</w:t>
      </w:r>
      <w:r>
        <w:rPr>
          <w:rFonts w:hint="eastAsia"/>
          <w:lang w:val="en-US" w:eastAsia="zh-CN"/>
        </w:rPr>
        <w:t>，</w:t>
      </w:r>
      <w:r>
        <w:rPr>
          <w:rFonts w:hint="default"/>
          <w:lang w:val="en-US" w:eastAsia="zh-CN"/>
        </w:rPr>
        <w:t>自2009年10月1日起施行</w:t>
      </w:r>
      <w:r>
        <w:rPr>
          <w:rFonts w:hint="eastAsia"/>
          <w:lang w:val="en-US" w:eastAsia="zh-CN"/>
        </w:rPr>
        <w:t>）；</w:t>
      </w:r>
    </w:p>
    <w:p w14:paraId="3225DE24">
      <w:pPr>
        <w:bidi w:val="0"/>
        <w:rPr>
          <w:rFonts w:hint="default"/>
          <w:lang w:val="en-US"/>
        </w:rPr>
      </w:pPr>
      <w:r>
        <w:rPr>
          <w:rFonts w:hint="eastAsia"/>
          <w:lang w:val="en-US" w:eastAsia="zh-CN"/>
        </w:rPr>
        <w:t>3、</w:t>
      </w:r>
      <w:r>
        <w:rPr>
          <w:rFonts w:hint="eastAsia"/>
          <w:lang w:eastAsia="zh-CN"/>
        </w:rPr>
        <w:t>《云南省实施〈工伤保险条例〉办法》（</w:t>
      </w:r>
      <w:r>
        <w:rPr>
          <w:rFonts w:hint="eastAsia"/>
        </w:rPr>
        <w:t>云政发〔2011〕255号</w:t>
      </w:r>
      <w:r>
        <w:rPr>
          <w:rFonts w:hint="eastAsia"/>
          <w:lang w:eastAsia="zh-CN"/>
        </w:rPr>
        <w:t>，</w:t>
      </w:r>
      <w:r>
        <w:rPr>
          <w:rFonts w:hint="eastAsia"/>
          <w:lang w:val="en-US" w:eastAsia="zh-CN"/>
        </w:rPr>
        <w:t>2011年12月31日）；</w:t>
      </w:r>
    </w:p>
    <w:p w14:paraId="00EDCEAE">
      <w:pPr>
        <w:bidi w:val="0"/>
        <w:rPr>
          <w:rFonts w:hint="eastAsia" w:eastAsia="宋体"/>
          <w:color w:val="auto"/>
          <w:lang w:eastAsia="zh-CN"/>
        </w:rPr>
      </w:pPr>
      <w:r>
        <w:rPr>
          <w:rFonts w:hint="eastAsia"/>
          <w:color w:val="auto"/>
          <w:lang w:val="en-US" w:eastAsia="zh-CN"/>
        </w:rPr>
        <w:t>4、</w:t>
      </w:r>
      <w:r>
        <w:rPr>
          <w:rFonts w:hint="eastAsia"/>
          <w:color w:val="auto"/>
          <w:lang w:eastAsia="zh-CN"/>
        </w:rPr>
        <w:t>《云南省突发事件应对条例》（</w:t>
      </w:r>
      <w:r>
        <w:rPr>
          <w:rFonts w:hint="eastAsia"/>
          <w:color w:val="auto"/>
        </w:rPr>
        <w:t>省人大常委会公告第18号</w:t>
      </w:r>
      <w:r>
        <w:rPr>
          <w:rFonts w:hint="eastAsia"/>
          <w:color w:val="auto"/>
          <w:lang w:eastAsia="zh-CN"/>
        </w:rPr>
        <w:t>，</w:t>
      </w:r>
      <w:r>
        <w:rPr>
          <w:rFonts w:hint="eastAsia"/>
          <w:color w:val="auto"/>
        </w:rPr>
        <w:t>由云南省第十二届人民代表大会常务委员会第十次会议于2014年7月27日审议通过</w:t>
      </w:r>
      <w:r>
        <w:rPr>
          <w:rFonts w:hint="eastAsia"/>
          <w:color w:val="auto"/>
          <w:lang w:val="en-US" w:eastAsia="zh-CN"/>
        </w:rPr>
        <w:t>并</w:t>
      </w:r>
      <w:r>
        <w:rPr>
          <w:rFonts w:hint="eastAsia"/>
          <w:color w:val="auto"/>
        </w:rPr>
        <w:t>公布</w:t>
      </w:r>
      <w:r>
        <w:rPr>
          <w:rFonts w:hint="eastAsia"/>
          <w:color w:val="auto"/>
          <w:lang w:eastAsia="zh-CN"/>
        </w:rPr>
        <w:t>，</w:t>
      </w:r>
      <w:r>
        <w:rPr>
          <w:rFonts w:hint="eastAsia"/>
          <w:color w:val="auto"/>
        </w:rPr>
        <w:t>自2014年12月1日起施行</w:t>
      </w:r>
      <w:r>
        <w:rPr>
          <w:rFonts w:hint="eastAsia"/>
          <w:color w:val="auto"/>
          <w:lang w:eastAsia="zh-CN"/>
        </w:rPr>
        <w:t>）；</w:t>
      </w:r>
    </w:p>
    <w:p w14:paraId="49DDBB28">
      <w:pPr>
        <w:bidi w:val="0"/>
        <w:rPr>
          <w:rFonts w:hint="eastAsia" w:eastAsia="宋体"/>
          <w:color w:val="auto"/>
          <w:lang w:val="sq-AL" w:eastAsia="zh-CN"/>
        </w:rPr>
      </w:pPr>
      <w:r>
        <w:rPr>
          <w:rFonts w:hint="eastAsia"/>
          <w:color w:val="auto"/>
          <w:lang w:val="en-US" w:eastAsia="zh-CN"/>
        </w:rPr>
        <w:t>5、《</w:t>
      </w:r>
      <w:r>
        <w:rPr>
          <w:rFonts w:hint="eastAsia"/>
          <w:color w:val="auto"/>
        </w:rPr>
        <w:t>云南省安全生产监督管理局</w:t>
      </w:r>
      <w:r>
        <w:rPr>
          <w:rFonts w:hint="eastAsia"/>
          <w:color w:val="auto"/>
          <w:lang w:eastAsia="zh-CN"/>
        </w:rPr>
        <w:t>〈</w:t>
      </w:r>
      <w:r>
        <w:rPr>
          <w:rFonts w:hint="eastAsia"/>
          <w:color w:val="auto"/>
        </w:rPr>
        <w:t>关于进一步规范金属非金属矿山建设项目安全</w:t>
      </w:r>
      <w:r>
        <w:rPr>
          <w:rFonts w:hint="eastAsia"/>
          <w:color w:val="auto"/>
          <w:lang w:eastAsia="zh-CN"/>
        </w:rPr>
        <w:t>”“</w:t>
      </w:r>
      <w:r>
        <w:rPr>
          <w:rFonts w:hint="eastAsia"/>
          <w:color w:val="auto"/>
        </w:rPr>
        <w:t>三同时</w:t>
      </w:r>
      <w:r>
        <w:rPr>
          <w:rFonts w:hint="eastAsia"/>
          <w:color w:val="auto"/>
          <w:lang w:eastAsia="zh-CN"/>
        </w:rPr>
        <w:t>”</w:t>
      </w:r>
      <w:r>
        <w:rPr>
          <w:rFonts w:hint="eastAsia"/>
          <w:color w:val="auto"/>
        </w:rPr>
        <w:t>工作的通知</w:t>
      </w:r>
      <w:r>
        <w:rPr>
          <w:rFonts w:hint="eastAsia"/>
          <w:color w:val="auto"/>
          <w:lang w:eastAsia="zh-CN"/>
        </w:rPr>
        <w:t>〉</w:t>
      </w:r>
      <w:r>
        <w:rPr>
          <w:rFonts w:hint="eastAsia"/>
          <w:color w:val="auto"/>
        </w:rPr>
        <w:t>》（云南省安全生产监督管理局</w:t>
      </w:r>
      <w:r>
        <w:rPr>
          <w:rFonts w:hint="eastAsia"/>
          <w:color w:val="auto"/>
          <w:lang w:eastAsia="zh-CN"/>
        </w:rPr>
        <w:t>，</w:t>
      </w:r>
      <w:r>
        <w:rPr>
          <w:rFonts w:hint="eastAsia"/>
          <w:color w:val="auto"/>
        </w:rPr>
        <w:t>2016年3月21日</w:t>
      </w:r>
      <w:r>
        <w:rPr>
          <w:rFonts w:hint="eastAsia"/>
          <w:color w:val="auto"/>
          <w:lang w:eastAsia="zh-CN"/>
        </w:rPr>
        <w:t>）；</w:t>
      </w:r>
    </w:p>
    <w:p w14:paraId="47EDCAE8">
      <w:pPr>
        <w:bidi w:val="0"/>
      </w:pPr>
      <w:r>
        <w:rPr>
          <w:rFonts w:hint="eastAsia"/>
          <w:lang w:val="en-US" w:eastAsia="zh-CN"/>
        </w:rPr>
        <w:t>6、</w:t>
      </w:r>
      <w:r>
        <w:t>《云南省安全生产培训管理规定》（云南省安全生产监督管理局公告第38号，2016年8月1日施行）；</w:t>
      </w:r>
    </w:p>
    <w:p w14:paraId="6BCF0EB3">
      <w:pPr>
        <w:bidi w:val="0"/>
        <w:rPr>
          <w:rFonts w:hint="eastAsia"/>
          <w:lang w:val="en-US" w:eastAsia="zh-CN"/>
        </w:rPr>
      </w:pPr>
      <w:r>
        <w:rPr>
          <w:rFonts w:hint="eastAsia"/>
          <w:lang w:val="en-US" w:eastAsia="zh-CN"/>
        </w:rPr>
        <w:t>7、《云南省安全生产条例》（云南省第十二届人民代表大会常务委员会公告第63号，自2018年1月1日施行）；</w:t>
      </w:r>
    </w:p>
    <w:p w14:paraId="1B304927">
      <w:pPr>
        <w:bidi w:val="0"/>
      </w:pPr>
      <w:r>
        <w:rPr>
          <w:rFonts w:hint="eastAsia"/>
          <w:lang w:val="en-US" w:eastAsia="zh-CN"/>
        </w:rPr>
        <w:t>8</w:t>
      </w:r>
      <w:r>
        <w:rPr>
          <w:rFonts w:hint="eastAsia"/>
          <w:lang w:eastAsia="zh-CN"/>
        </w:rPr>
        <w:t>、</w:t>
      </w:r>
      <w:r>
        <w:t>《云南省安全生产委员会关于建立完善安全风险分级管控和隐患排查治理双重预防机制的指导意见》</w:t>
      </w:r>
      <w:r>
        <w:rPr>
          <w:rFonts w:hint="eastAsia"/>
          <w:lang w:eastAsia="zh-CN"/>
        </w:rPr>
        <w:t>（</w:t>
      </w:r>
      <w:r>
        <w:t>云安</w:t>
      </w:r>
      <w:r>
        <w:rPr>
          <w:rFonts w:hint="eastAsia"/>
          <w:color w:val="auto"/>
          <w:lang w:val="en-US" w:eastAsia="zh-CN"/>
        </w:rPr>
        <w:t>〔</w:t>
      </w:r>
      <w:r>
        <w:t>2021</w:t>
      </w:r>
      <w:r>
        <w:rPr>
          <w:rFonts w:hint="eastAsia"/>
          <w:color w:val="auto"/>
        </w:rPr>
        <w:t>〕</w:t>
      </w:r>
      <w:r>
        <w:t>3号</w:t>
      </w:r>
      <w:r>
        <w:rPr>
          <w:rFonts w:hint="eastAsia"/>
          <w:lang w:eastAsia="zh-CN"/>
        </w:rPr>
        <w:t>）</w:t>
      </w:r>
      <w:r>
        <w:t>；</w:t>
      </w:r>
    </w:p>
    <w:p w14:paraId="4BF54EC1">
      <w:pPr>
        <w:bidi w:val="0"/>
        <w:rPr>
          <w:rFonts w:hint="eastAsia" w:eastAsia="宋体"/>
          <w:color w:val="auto"/>
          <w:lang w:eastAsia="zh-CN"/>
        </w:rPr>
      </w:pPr>
      <w:r>
        <w:rPr>
          <w:rFonts w:hint="eastAsia"/>
          <w:color w:val="auto"/>
          <w:lang w:val="en-US" w:eastAsia="zh-CN"/>
        </w:rPr>
        <w:t>9、《</w:t>
      </w:r>
      <w:r>
        <w:rPr>
          <w:rFonts w:hint="eastAsia"/>
          <w:color w:val="auto"/>
        </w:rPr>
        <w:t>云南省人民政府关于印发</w:t>
      </w:r>
      <w:r>
        <w:rPr>
          <w:rFonts w:hint="eastAsia"/>
          <w:color w:val="auto"/>
          <w:lang w:eastAsia="zh-CN"/>
        </w:rPr>
        <w:t>〈</w:t>
      </w:r>
      <w:r>
        <w:rPr>
          <w:rFonts w:hint="eastAsia"/>
          <w:color w:val="auto"/>
        </w:rPr>
        <w:t>云南省生产经营单位安全生产主体责任规定</w:t>
      </w:r>
      <w:r>
        <w:rPr>
          <w:rFonts w:hint="eastAsia"/>
          <w:color w:val="auto"/>
          <w:lang w:eastAsia="zh-CN"/>
        </w:rPr>
        <w:t>〉（</w:t>
      </w:r>
      <w:r>
        <w:rPr>
          <w:rFonts w:hint="eastAsia"/>
          <w:color w:val="auto"/>
        </w:rPr>
        <w:t>云政规〔2022〕4号</w:t>
      </w:r>
      <w:r>
        <w:rPr>
          <w:rFonts w:hint="eastAsia"/>
          <w:color w:val="auto"/>
          <w:lang w:eastAsia="zh-CN"/>
        </w:rPr>
        <w:t>）；</w:t>
      </w:r>
    </w:p>
    <w:p w14:paraId="4471B00E">
      <w:pPr>
        <w:bidi w:val="0"/>
        <w:rPr>
          <w:rFonts w:hint="eastAsia"/>
          <w:color w:val="auto"/>
          <w:lang w:eastAsia="zh-CN"/>
        </w:rPr>
      </w:pPr>
      <w:r>
        <w:rPr>
          <w:rFonts w:hint="eastAsia"/>
          <w:color w:val="auto"/>
          <w:lang w:val="en-US" w:eastAsia="zh-CN"/>
        </w:rPr>
        <w:t>10、《云南省人民政府办公厅关于印发</w:t>
      </w:r>
      <w:r>
        <w:rPr>
          <w:rFonts w:hint="eastAsia"/>
          <w:color w:val="auto"/>
          <w:lang w:eastAsia="zh-CN"/>
        </w:rPr>
        <w:t>〈</w:t>
      </w:r>
      <w:r>
        <w:rPr>
          <w:rFonts w:hint="eastAsia"/>
          <w:color w:val="auto"/>
          <w:lang w:val="en-US" w:eastAsia="zh-CN"/>
        </w:rPr>
        <w:t>云南省全面加强非煤矿山安全生产工作若干措施</w:t>
      </w:r>
      <w:r>
        <w:rPr>
          <w:rFonts w:hint="eastAsia"/>
          <w:color w:val="auto"/>
          <w:lang w:eastAsia="zh-CN"/>
        </w:rPr>
        <w:t>〉</w:t>
      </w:r>
      <w:r>
        <w:rPr>
          <w:rFonts w:hint="eastAsia"/>
          <w:color w:val="auto"/>
          <w:lang w:val="en-US" w:eastAsia="zh-CN"/>
        </w:rPr>
        <w:t>》（云政办发〔2024〕44号，2024年7月18日）；</w:t>
      </w:r>
    </w:p>
    <w:p w14:paraId="0EF40580">
      <w:pPr>
        <w:bidi w:val="0"/>
        <w:rPr>
          <w:rFonts w:hint="eastAsia" w:eastAsia="宋体"/>
          <w:color w:val="auto"/>
          <w:lang w:eastAsia="zh-CN"/>
        </w:rPr>
      </w:pPr>
      <w:r>
        <w:rPr>
          <w:rFonts w:hint="eastAsia"/>
          <w:color w:val="auto"/>
          <w:lang w:val="en-US" w:eastAsia="zh-CN"/>
        </w:rPr>
        <w:t>11、</w:t>
      </w:r>
      <w:r>
        <w:rPr>
          <w:rFonts w:hint="eastAsia"/>
          <w:color w:val="auto"/>
        </w:rPr>
        <w:t>《云南省安全生产委员会办公室关于印发云南省非煤矿山安全生产治本攻坚三年行动方案（2024—2026年）的通知》（云安办〔2024〕14号）</w:t>
      </w:r>
      <w:r>
        <w:rPr>
          <w:rFonts w:hint="eastAsia"/>
          <w:color w:val="auto"/>
          <w:lang w:eastAsia="zh-CN"/>
        </w:rPr>
        <w:t>；</w:t>
      </w:r>
    </w:p>
    <w:p w14:paraId="15E8142A">
      <w:pPr>
        <w:bidi w:val="0"/>
        <w:rPr>
          <w:rFonts w:hint="eastAsia"/>
          <w:color w:val="auto"/>
          <w:lang w:eastAsia="zh-CN"/>
        </w:rPr>
      </w:pPr>
      <w:r>
        <w:rPr>
          <w:rFonts w:hint="eastAsia"/>
          <w:color w:val="auto"/>
          <w:lang w:val="en-US" w:eastAsia="zh-CN"/>
        </w:rPr>
        <w:t>12</w:t>
      </w:r>
      <w:r>
        <w:rPr>
          <w:rFonts w:hint="default"/>
          <w:color w:val="auto"/>
          <w:lang w:val="en-US" w:eastAsia="zh-CN"/>
        </w:rPr>
        <w:t>、</w:t>
      </w:r>
      <w:r>
        <w:rPr>
          <w:rFonts w:hint="eastAsia"/>
          <w:color w:val="auto"/>
          <w:lang w:val="en-US" w:eastAsia="zh-CN"/>
        </w:rPr>
        <w:t>《</w:t>
      </w:r>
      <w:r>
        <w:rPr>
          <w:rFonts w:hint="eastAsia"/>
          <w:color w:val="auto"/>
        </w:rPr>
        <w:t>云南省电力设施保护条例</w:t>
      </w:r>
      <w:r>
        <w:rPr>
          <w:rFonts w:hint="eastAsia"/>
          <w:color w:val="auto"/>
          <w:lang w:eastAsia="zh-CN"/>
        </w:rPr>
        <w:t>》</w:t>
      </w:r>
      <w:r>
        <w:rPr>
          <w:rFonts w:hint="eastAsia"/>
          <w:color w:val="auto"/>
        </w:rPr>
        <w:t>（</w:t>
      </w:r>
      <w:r>
        <w:rPr>
          <w:color w:val="auto"/>
        </w:rPr>
        <w:t>2024年12月</w:t>
      </w:r>
      <w:r>
        <w:rPr>
          <w:rFonts w:hint="eastAsia"/>
          <w:color w:val="auto"/>
          <w:lang w:eastAsia="zh-CN"/>
        </w:rPr>
        <w:t>，</w:t>
      </w:r>
      <w:r>
        <w:rPr>
          <w:color w:val="auto"/>
        </w:rPr>
        <w:t>云南省十四届人大常委会第十三次会议审议通过《</w:t>
      </w:r>
      <w:r>
        <w:rPr>
          <w:rFonts w:hint="default"/>
          <w:color w:val="auto"/>
        </w:rPr>
        <w:fldChar w:fldCharType="begin"/>
      </w:r>
      <w:r>
        <w:rPr>
          <w:rFonts w:hint="default"/>
          <w:color w:val="auto"/>
        </w:rPr>
        <w:instrText xml:space="preserve"> HYPERLINK "https://baike.baidu.com/item/%E4%BA%91%E5%8D%97%E7%9C%81%E4%BA%BA%E6%B0%91%E4%BB%A3%E8%A1%A8%E5%A4%A7%E4%BC%9A%E5%B8%B8%E5%8A%A1%E5%A7%94%E5%91%98%E4%BC%9A%E5%85%B3%E4%BA%8E%E5%BA%9F%E6%AD%A2%E5%92%8C%E4%BF%AE%E6%94%B9%E9%83%A8%E5%88%86%E5%9C%B0%E6%96%B9%E6%80%A7%E6%B3%95%E8%A7%84%E7%9A%84%E5%86%B3%E5%AE%9A/59457279?fromModule=lemma_inlink" \t "https://baike.baidu.com/item/%E4%BA%91%E5%8D%97%E7%9C%81%E7%94%B5%E5%8A%9B%E8%AE%BE%E6%96%BD%E4%BF%9D%E6%8A%A4%E6%9D%A1%E4%BE%8B/_blank" </w:instrText>
      </w:r>
      <w:r>
        <w:rPr>
          <w:rFonts w:hint="default"/>
          <w:color w:val="auto"/>
        </w:rPr>
        <w:fldChar w:fldCharType="separate"/>
      </w:r>
      <w:r>
        <w:rPr>
          <w:rFonts w:hint="default"/>
          <w:color w:val="auto"/>
        </w:rPr>
        <w:t>云南省人民代表大会常务委员会关于废止和修改部分地方性法规的决定</w:t>
      </w:r>
      <w:r>
        <w:rPr>
          <w:rFonts w:hint="default"/>
          <w:color w:val="auto"/>
        </w:rPr>
        <w:fldChar w:fldCharType="end"/>
      </w:r>
      <w:r>
        <w:rPr>
          <w:rFonts w:hint="default"/>
          <w:color w:val="auto"/>
        </w:rPr>
        <w:t>》</w:t>
      </w:r>
      <w:r>
        <w:rPr>
          <w:rFonts w:hint="eastAsia"/>
          <w:color w:val="auto"/>
        </w:rPr>
        <w:t>第二次修正</w:t>
      </w:r>
      <w:r>
        <w:rPr>
          <w:rFonts w:hint="default"/>
          <w:color w:val="auto"/>
        </w:rPr>
        <w:t>并重新发布</w:t>
      </w:r>
      <w:r>
        <w:rPr>
          <w:rFonts w:hint="eastAsia"/>
          <w:color w:val="auto"/>
          <w:lang w:eastAsia="zh-CN"/>
        </w:rPr>
        <w:t>）；</w:t>
      </w:r>
    </w:p>
    <w:p w14:paraId="20A7A77E">
      <w:pPr>
        <w:bidi w:val="0"/>
        <w:rPr>
          <w:rFonts w:hint="eastAsia" w:eastAsia="宋体"/>
          <w:color w:val="auto"/>
          <w:lang w:eastAsia="zh-CN"/>
        </w:rPr>
      </w:pPr>
      <w:r>
        <w:rPr>
          <w:rFonts w:hint="eastAsia"/>
          <w:color w:val="auto"/>
          <w:lang w:val="en-US" w:eastAsia="zh-CN"/>
        </w:rPr>
        <w:t>13、</w:t>
      </w:r>
      <w:r>
        <w:rPr>
          <w:rFonts w:hint="eastAsia"/>
          <w:color w:val="auto"/>
        </w:rPr>
        <w:t>《云南省生产安全事故应急办法》</w:t>
      </w:r>
      <w:r>
        <w:rPr>
          <w:rFonts w:hint="eastAsia"/>
          <w:color w:val="auto"/>
          <w:lang w:eastAsia="zh-CN"/>
        </w:rPr>
        <w:t>（</w:t>
      </w:r>
      <w:r>
        <w:rPr>
          <w:rFonts w:hint="eastAsia"/>
          <w:color w:val="auto"/>
        </w:rPr>
        <w:t>云南省人民政府令第227号</w:t>
      </w:r>
      <w:r>
        <w:rPr>
          <w:rFonts w:hint="eastAsia"/>
          <w:color w:val="auto"/>
          <w:lang w:eastAsia="zh-CN"/>
        </w:rPr>
        <w:t>，</w:t>
      </w:r>
      <w:r>
        <w:rPr>
          <w:rFonts w:hint="eastAsia"/>
          <w:color w:val="auto"/>
        </w:rPr>
        <w:t>经2023年11月27日第十四届云南省人民政府第23次常务会议通过</w:t>
      </w:r>
      <w:r>
        <w:rPr>
          <w:rFonts w:hint="eastAsia"/>
          <w:color w:val="auto"/>
          <w:lang w:val="en-US" w:eastAsia="zh-CN"/>
        </w:rPr>
        <w:t>并</w:t>
      </w:r>
      <w:r>
        <w:rPr>
          <w:rFonts w:hint="eastAsia"/>
          <w:color w:val="auto"/>
        </w:rPr>
        <w:t>公布</w:t>
      </w:r>
      <w:r>
        <w:rPr>
          <w:rFonts w:hint="eastAsia"/>
          <w:color w:val="auto"/>
          <w:lang w:eastAsia="zh-CN"/>
        </w:rPr>
        <w:t>，</w:t>
      </w:r>
      <w:r>
        <w:rPr>
          <w:rFonts w:hint="eastAsia"/>
          <w:color w:val="auto"/>
        </w:rPr>
        <w:t>自2024年2月1日起施行</w:t>
      </w:r>
      <w:r>
        <w:rPr>
          <w:rFonts w:hint="eastAsia"/>
          <w:color w:val="auto"/>
          <w:lang w:eastAsia="zh-CN"/>
        </w:rPr>
        <w:t>）；</w:t>
      </w:r>
    </w:p>
    <w:p w14:paraId="65688405">
      <w:pPr>
        <w:bidi w:val="0"/>
      </w:pPr>
      <w:r>
        <w:rPr>
          <w:rFonts w:hint="eastAsia"/>
          <w:lang w:val="en-US" w:eastAsia="zh-CN"/>
        </w:rPr>
        <w:t>14、</w:t>
      </w:r>
      <w:r>
        <w:t>《云南省人民政府办公厅关于印发</w:t>
      </w:r>
      <w:r>
        <w:rPr>
          <w:rFonts w:hint="eastAsia"/>
          <w:color w:val="auto"/>
          <w:lang w:eastAsia="zh-CN"/>
        </w:rPr>
        <w:t>〈</w:t>
      </w:r>
      <w:r>
        <w:t>云南省全面加强非煤矿山安全生产工作若干措施</w:t>
      </w:r>
      <w:r>
        <w:rPr>
          <w:rFonts w:hint="eastAsia"/>
          <w:color w:val="auto"/>
          <w:lang w:eastAsia="zh-CN"/>
        </w:rPr>
        <w:t>〉</w:t>
      </w:r>
      <w:r>
        <w:t>的通知》（云政办发</w:t>
      </w:r>
      <w:r>
        <w:rPr>
          <w:rFonts w:hint="eastAsia"/>
          <w:color w:val="auto"/>
        </w:rPr>
        <w:t>〔2024〕</w:t>
      </w:r>
      <w:r>
        <w:t>44号，2024年07月18日）。</w:t>
      </w:r>
    </w:p>
    <w:p w14:paraId="2737EBF3">
      <w:pPr>
        <w:pStyle w:val="4"/>
      </w:pPr>
      <w:bookmarkStart w:id="76" w:name="_Toc26202"/>
      <w:bookmarkStart w:id="77" w:name="_Toc23590"/>
      <w:r>
        <w:t>1.2.2标准规范</w:t>
      </w:r>
      <w:bookmarkEnd w:id="69"/>
      <w:bookmarkEnd w:id="70"/>
      <w:bookmarkEnd w:id="71"/>
      <w:bookmarkEnd w:id="72"/>
      <w:bookmarkEnd w:id="73"/>
      <w:bookmarkEnd w:id="74"/>
      <w:bookmarkEnd w:id="75"/>
      <w:bookmarkEnd w:id="76"/>
      <w:bookmarkEnd w:id="77"/>
    </w:p>
    <w:p w14:paraId="3CDBEE6A">
      <w:pPr>
        <w:bidi w:val="0"/>
        <w:rPr>
          <w:rFonts w:hint="default"/>
          <w:color w:val="auto"/>
          <w:lang w:val="en-US" w:eastAsia="zh-CN"/>
        </w:rPr>
      </w:pPr>
      <w:r>
        <w:rPr>
          <w:rFonts w:hint="eastAsia"/>
          <w:color w:val="auto"/>
          <w:lang w:val="en-US" w:eastAsia="zh-CN"/>
        </w:rPr>
        <w:t>1、</w:t>
      </w:r>
      <w:r>
        <w:rPr>
          <w:rFonts w:hint="eastAsia"/>
          <w:color w:val="auto"/>
          <w:lang w:val="sq-AL" w:eastAsia="zh-CN"/>
        </w:rPr>
        <w:t>《生产安全事故分类与编码》（GB6441-</w:t>
      </w:r>
      <w:r>
        <w:rPr>
          <w:rFonts w:hint="eastAsia"/>
          <w:color w:val="auto"/>
          <w:lang w:val="en-US" w:eastAsia="zh-CN"/>
        </w:rPr>
        <w:t>2025</w:t>
      </w:r>
      <w:r>
        <w:rPr>
          <w:rFonts w:hint="eastAsia"/>
          <w:color w:val="auto"/>
          <w:lang w:val="sq-AL" w:eastAsia="zh-CN"/>
        </w:rPr>
        <w:t>，</w:t>
      </w:r>
      <w:r>
        <w:rPr>
          <w:rFonts w:hint="eastAsia"/>
          <w:color w:val="auto"/>
          <w:lang w:val="en-US" w:eastAsia="zh-CN"/>
        </w:rPr>
        <w:t>2026</w:t>
      </w:r>
      <w:r>
        <w:rPr>
          <w:rFonts w:hint="eastAsia"/>
          <w:color w:val="auto"/>
          <w:lang w:val="sq-AL" w:eastAsia="zh-CN"/>
        </w:rPr>
        <w:t>年</w:t>
      </w:r>
      <w:r>
        <w:rPr>
          <w:rFonts w:hint="eastAsia"/>
          <w:color w:val="auto"/>
          <w:lang w:val="en-US" w:eastAsia="zh-CN"/>
        </w:rPr>
        <w:t>7</w:t>
      </w:r>
      <w:r>
        <w:rPr>
          <w:rFonts w:hint="eastAsia"/>
          <w:color w:val="auto"/>
          <w:lang w:val="sq-AL" w:eastAsia="zh-CN"/>
        </w:rPr>
        <w:t>月1日实施）；</w:t>
      </w:r>
    </w:p>
    <w:p w14:paraId="281A42FB">
      <w:pPr>
        <w:bidi w:val="0"/>
        <w:rPr>
          <w:rFonts w:hint="eastAsia"/>
          <w:color w:val="auto"/>
          <w:lang w:val="en-US" w:eastAsia="zh-CN"/>
        </w:rPr>
      </w:pPr>
      <w:r>
        <w:rPr>
          <w:rFonts w:hint="eastAsia"/>
          <w:color w:val="auto"/>
          <w:lang w:val="en-US" w:eastAsia="zh-CN"/>
        </w:rPr>
        <w:t>2、</w:t>
      </w:r>
      <w:r>
        <w:rPr>
          <w:rFonts w:hint="default"/>
          <w:color w:val="auto"/>
        </w:rPr>
        <w:t>《岩土工程勘察规范》（GB50021－200</w:t>
      </w:r>
      <w:r>
        <w:rPr>
          <w:rFonts w:hint="eastAsia"/>
          <w:color w:val="auto"/>
          <w:lang w:val="en-US" w:eastAsia="zh-CN"/>
        </w:rPr>
        <w:t>9</w:t>
      </w:r>
      <w:r>
        <w:rPr>
          <w:rFonts w:hint="eastAsia"/>
          <w:color w:val="auto"/>
          <w:lang w:val="sq-AL" w:eastAsia="zh-CN"/>
        </w:rPr>
        <w:t>，</w:t>
      </w:r>
      <w:r>
        <w:rPr>
          <w:color w:val="auto"/>
        </w:rPr>
        <w:t>自2009年7月1日起实施</w:t>
      </w:r>
      <w:r>
        <w:rPr>
          <w:rFonts w:hint="eastAsia"/>
          <w:color w:val="auto"/>
          <w:lang w:val="sq-AL" w:eastAsia="zh-CN"/>
        </w:rPr>
        <w:t>）；</w:t>
      </w:r>
    </w:p>
    <w:p w14:paraId="23791BE1">
      <w:pPr>
        <w:bidi w:val="0"/>
        <w:rPr>
          <w:rFonts w:hint="eastAsia"/>
          <w:color w:val="auto"/>
          <w:lang w:val="en-US" w:eastAsia="zh-CN"/>
        </w:rPr>
      </w:pPr>
      <w:r>
        <w:rPr>
          <w:rFonts w:hint="eastAsia"/>
          <w:color w:val="auto"/>
          <w:lang w:val="en-US" w:eastAsia="zh-CN"/>
        </w:rPr>
        <w:t>3、《建筑灭火器配置设计规范》（GB50140-2005，2005年10月1日实施）；</w:t>
      </w:r>
    </w:p>
    <w:p w14:paraId="38B787D3">
      <w:pPr>
        <w:bidi w:val="0"/>
        <w:rPr>
          <w:rFonts w:hint="eastAsia"/>
          <w:color w:val="auto"/>
          <w:lang w:val="en-US" w:eastAsia="zh-CN"/>
        </w:rPr>
      </w:pPr>
      <w:r>
        <w:rPr>
          <w:rFonts w:hint="eastAsia"/>
          <w:color w:val="auto"/>
          <w:lang w:val="en-US" w:eastAsia="zh-CN"/>
        </w:rPr>
        <w:t>4、《工业企业厂内铁路、道路运输安全规程》（GB4387-2008，2009年10月1日实施）；</w:t>
      </w:r>
    </w:p>
    <w:p w14:paraId="13726CF1">
      <w:pPr>
        <w:bidi w:val="0"/>
        <w:rPr>
          <w:rFonts w:hint="eastAsia"/>
          <w:lang w:val="en-US" w:eastAsia="zh-CN"/>
        </w:rPr>
      </w:pPr>
      <w:r>
        <w:rPr>
          <w:rFonts w:hint="eastAsia"/>
          <w:lang w:val="en-US" w:eastAsia="zh-CN"/>
        </w:rPr>
        <w:t>5、</w:t>
      </w:r>
      <w:r>
        <w:rPr>
          <w:rFonts w:hint="default"/>
        </w:rPr>
        <w:t>《建筑物防雷设计规范》</w:t>
      </w:r>
      <w:r>
        <w:rPr>
          <w:rFonts w:hint="eastAsia"/>
          <w:lang w:eastAsia="zh-CN"/>
        </w:rPr>
        <w:t>（GB</w:t>
      </w:r>
      <w:r>
        <w:rPr>
          <w:rFonts w:hint="default"/>
        </w:rPr>
        <w:t>50057-2010</w:t>
      </w:r>
      <w:r>
        <w:rPr>
          <w:rFonts w:hint="eastAsia"/>
          <w:lang w:eastAsia="zh-CN"/>
        </w:rPr>
        <w:t>，</w:t>
      </w:r>
      <w:r>
        <w:rPr>
          <w:rFonts w:hint="default"/>
        </w:rPr>
        <w:t>2011年10月1日实施</w:t>
      </w:r>
      <w:r>
        <w:rPr>
          <w:rFonts w:hint="eastAsia"/>
          <w:lang w:eastAsia="zh-CN"/>
        </w:rPr>
        <w:t>）；</w:t>
      </w:r>
    </w:p>
    <w:p w14:paraId="7F4DF131">
      <w:pPr>
        <w:bidi w:val="0"/>
        <w:rPr>
          <w:rFonts w:hint="eastAsia"/>
          <w:lang w:val="en-US" w:eastAsia="zh-CN"/>
        </w:rPr>
      </w:pPr>
      <w:r>
        <w:rPr>
          <w:rFonts w:hint="eastAsia"/>
          <w:lang w:val="en-US" w:eastAsia="zh-CN"/>
        </w:rPr>
        <w:t>6</w:t>
      </w:r>
      <w:r>
        <w:rPr>
          <w:rFonts w:hint="eastAsia"/>
        </w:rPr>
        <w:t>、《低压配电设计规范》</w:t>
      </w:r>
      <w:r>
        <w:rPr>
          <w:rFonts w:hint="eastAsia"/>
          <w:lang w:eastAsia="zh-CN"/>
        </w:rPr>
        <w:t>（GB</w:t>
      </w:r>
      <w:r>
        <w:rPr>
          <w:rFonts w:hint="eastAsia"/>
        </w:rPr>
        <w:t>50054</w:t>
      </w:r>
      <w:r>
        <w:rPr>
          <w:rFonts w:hint="eastAsia"/>
          <w:lang w:val="en-US" w:eastAsia="zh-CN"/>
        </w:rPr>
        <w:t>-</w:t>
      </w:r>
      <w:r>
        <w:rPr>
          <w:rFonts w:hint="eastAsia"/>
        </w:rPr>
        <w:t>20</w:t>
      </w:r>
      <w:r>
        <w:rPr>
          <w:rFonts w:hint="eastAsia"/>
          <w:lang w:val="en-US" w:eastAsia="zh-CN"/>
        </w:rPr>
        <w:t>11，</w:t>
      </w:r>
      <w:r>
        <w:rPr>
          <w:rFonts w:hint="eastAsia"/>
        </w:rPr>
        <w:t>20</w:t>
      </w:r>
      <w:r>
        <w:rPr>
          <w:rFonts w:hint="eastAsia"/>
          <w:lang w:val="en-US" w:eastAsia="zh-CN"/>
        </w:rPr>
        <w:t>12</w:t>
      </w:r>
      <w:r>
        <w:rPr>
          <w:rFonts w:hint="eastAsia"/>
        </w:rPr>
        <w:t>年</w:t>
      </w:r>
      <w:r>
        <w:rPr>
          <w:rFonts w:hint="eastAsia"/>
          <w:lang w:val="en-US" w:eastAsia="zh-CN"/>
        </w:rPr>
        <w:t>6</w:t>
      </w:r>
      <w:r>
        <w:rPr>
          <w:rFonts w:hint="eastAsia"/>
        </w:rPr>
        <w:t>月1日实施</w:t>
      </w:r>
      <w:r>
        <w:rPr>
          <w:rFonts w:hint="eastAsia"/>
          <w:lang w:eastAsia="zh-CN"/>
        </w:rPr>
        <w:t>）；</w:t>
      </w:r>
    </w:p>
    <w:p w14:paraId="273D3085">
      <w:pPr>
        <w:bidi w:val="0"/>
        <w:rPr>
          <w:rFonts w:hint="eastAsia"/>
          <w:lang w:val="en-US" w:eastAsia="zh-CN"/>
        </w:rPr>
      </w:pPr>
      <w:r>
        <w:rPr>
          <w:rFonts w:hint="eastAsia"/>
          <w:lang w:val="en-US" w:eastAsia="zh-CN"/>
        </w:rPr>
        <w:t>7、《工业企业总平面设计规范》（GB50187-2012，2012年8月1日实施）；</w:t>
      </w:r>
    </w:p>
    <w:p w14:paraId="4AEF8CF8">
      <w:pPr>
        <w:bidi w:val="0"/>
        <w:rPr>
          <w:rFonts w:hint="eastAsia"/>
          <w:color w:val="auto"/>
          <w:lang w:val="en-US" w:eastAsia="zh-CN"/>
        </w:rPr>
      </w:pPr>
      <w:r>
        <w:rPr>
          <w:rFonts w:hint="eastAsia"/>
          <w:lang w:val="en-US" w:eastAsia="zh-CN"/>
        </w:rPr>
        <w:t>8、</w:t>
      </w:r>
      <w:r>
        <w:rPr>
          <w:rFonts w:hint="eastAsia"/>
          <w:color w:val="auto"/>
          <w:lang w:val="en-US" w:eastAsia="zh-CN"/>
        </w:rPr>
        <w:t>《</w:t>
      </w:r>
      <w:r>
        <w:rPr>
          <w:rFonts w:hint="default"/>
          <w:color w:val="auto"/>
        </w:rPr>
        <w:t>建筑边坡工程技术规范</w:t>
      </w:r>
      <w:r>
        <w:rPr>
          <w:rFonts w:hint="eastAsia"/>
          <w:color w:val="auto"/>
          <w:lang w:eastAsia="zh-CN"/>
        </w:rPr>
        <w:t>》</w:t>
      </w:r>
      <w:r>
        <w:rPr>
          <w:rFonts w:hint="eastAsia"/>
          <w:color w:val="auto"/>
          <w:lang w:val="en-US" w:eastAsia="zh-CN"/>
        </w:rPr>
        <w:t>（GB50330-2013，2014年6月1日实施）；</w:t>
      </w:r>
    </w:p>
    <w:p w14:paraId="189EC396">
      <w:pPr>
        <w:bidi w:val="0"/>
        <w:rPr>
          <w:rFonts w:hint="eastAsia"/>
          <w:color w:val="auto"/>
          <w:lang w:val="en-US" w:eastAsia="zh-CN"/>
        </w:rPr>
      </w:pPr>
      <w:r>
        <w:rPr>
          <w:rFonts w:hint="eastAsia"/>
          <w:color w:val="auto"/>
          <w:lang w:val="en-US" w:eastAsia="zh-CN"/>
        </w:rPr>
        <w:t>9、</w:t>
      </w:r>
      <w:r>
        <w:rPr>
          <w:rFonts w:hint="default"/>
          <w:color w:val="auto"/>
        </w:rPr>
        <w:t>《20kV及以下变电所设计规范》</w:t>
      </w:r>
      <w:r>
        <w:rPr>
          <w:rFonts w:hint="eastAsia"/>
          <w:color w:val="auto"/>
          <w:lang w:eastAsia="zh-CN"/>
        </w:rPr>
        <w:t>（GB</w:t>
      </w:r>
      <w:r>
        <w:rPr>
          <w:rFonts w:hint="default"/>
          <w:color w:val="auto"/>
        </w:rPr>
        <w:t>50053</w:t>
      </w:r>
      <w:r>
        <w:rPr>
          <w:rFonts w:hint="eastAsia"/>
          <w:color w:val="auto"/>
          <w:lang w:val="en-US" w:eastAsia="zh-CN"/>
        </w:rPr>
        <w:t>-</w:t>
      </w:r>
      <w:r>
        <w:rPr>
          <w:rFonts w:hint="default"/>
          <w:color w:val="auto"/>
        </w:rPr>
        <w:t>2013</w:t>
      </w:r>
      <w:r>
        <w:rPr>
          <w:rFonts w:hint="eastAsia"/>
          <w:color w:val="auto"/>
          <w:lang w:eastAsia="zh-CN"/>
        </w:rPr>
        <w:t>，</w:t>
      </w:r>
      <w:r>
        <w:rPr>
          <w:rFonts w:hint="eastAsia"/>
          <w:color w:val="auto"/>
          <w:lang w:val="en-US" w:eastAsia="zh-CN"/>
        </w:rPr>
        <w:t>自2014年7月1日起施行）；</w:t>
      </w:r>
    </w:p>
    <w:p w14:paraId="699F3C5A">
      <w:pPr>
        <w:bidi w:val="0"/>
        <w:rPr>
          <w:rFonts w:hint="eastAsia"/>
          <w:color w:val="auto"/>
          <w:lang w:val="en-US" w:eastAsia="zh-CN"/>
        </w:rPr>
      </w:pPr>
      <w:r>
        <w:rPr>
          <w:rFonts w:hint="eastAsia"/>
          <w:color w:val="auto"/>
          <w:lang w:val="en-US" w:eastAsia="zh-CN"/>
        </w:rPr>
        <w:t>10、《非煤露天矿边坡工程技术规范》（GB51016-2014，2015年5月1日施行）；</w:t>
      </w:r>
    </w:p>
    <w:p w14:paraId="763B3AD5">
      <w:pPr>
        <w:bidi w:val="0"/>
        <w:rPr>
          <w:rFonts w:hint="eastAsia"/>
          <w:color w:val="auto"/>
          <w:lang w:val="en-US" w:eastAsia="zh-CN"/>
        </w:rPr>
      </w:pPr>
      <w:r>
        <w:rPr>
          <w:rFonts w:hint="eastAsia"/>
          <w:color w:val="auto"/>
          <w:lang w:val="en-US" w:eastAsia="zh-CN"/>
        </w:rPr>
        <w:t>11、《爆破安全规程》（GB6722-2014，2015年7月1日实施）；</w:t>
      </w:r>
    </w:p>
    <w:p w14:paraId="4427EC16">
      <w:pPr>
        <w:bidi w:val="0"/>
        <w:rPr>
          <w:rFonts w:hint="eastAsia"/>
          <w:color w:val="auto"/>
          <w:lang w:val="en-US" w:eastAsia="zh-CN"/>
        </w:rPr>
      </w:pPr>
      <w:r>
        <w:rPr>
          <w:rFonts w:hint="eastAsia"/>
          <w:color w:val="auto"/>
          <w:lang w:val="en-US" w:eastAsia="zh-CN"/>
        </w:rPr>
        <w:t>12、</w:t>
      </w:r>
      <w:r>
        <w:rPr>
          <w:rFonts w:hint="default"/>
          <w:color w:val="auto"/>
        </w:rPr>
        <w:t>《中国地震动参数区划图》</w:t>
      </w:r>
      <w:r>
        <w:rPr>
          <w:rFonts w:hint="eastAsia"/>
          <w:color w:val="auto"/>
          <w:lang w:eastAsia="zh-CN"/>
        </w:rPr>
        <w:t>（GB</w:t>
      </w:r>
      <w:r>
        <w:rPr>
          <w:rFonts w:hint="default"/>
          <w:color w:val="auto"/>
        </w:rPr>
        <w:t>18306-2015</w:t>
      </w:r>
      <w:r>
        <w:rPr>
          <w:rFonts w:hint="eastAsia"/>
          <w:color w:val="auto"/>
          <w:lang w:eastAsia="zh-CN"/>
        </w:rPr>
        <w:t>，</w:t>
      </w:r>
      <w:r>
        <w:rPr>
          <w:rFonts w:hint="default"/>
          <w:color w:val="auto"/>
        </w:rPr>
        <w:t>201</w:t>
      </w:r>
      <w:r>
        <w:rPr>
          <w:rFonts w:hint="eastAsia"/>
          <w:color w:val="auto"/>
          <w:lang w:val="en-US" w:eastAsia="zh-CN"/>
        </w:rPr>
        <w:t>6</w:t>
      </w:r>
      <w:r>
        <w:rPr>
          <w:rFonts w:hint="default"/>
          <w:color w:val="auto"/>
        </w:rPr>
        <w:t>年</w:t>
      </w:r>
      <w:r>
        <w:rPr>
          <w:rFonts w:hint="eastAsia"/>
          <w:color w:val="auto"/>
          <w:lang w:val="en-US" w:eastAsia="zh-CN"/>
        </w:rPr>
        <w:t>6</w:t>
      </w:r>
      <w:r>
        <w:rPr>
          <w:rFonts w:hint="default"/>
          <w:color w:val="auto"/>
        </w:rPr>
        <w:t>月1日实施</w:t>
      </w:r>
      <w:r>
        <w:rPr>
          <w:rFonts w:hint="eastAsia"/>
          <w:color w:val="auto"/>
          <w:lang w:eastAsia="zh-CN"/>
        </w:rPr>
        <w:t>）；</w:t>
      </w:r>
    </w:p>
    <w:p w14:paraId="76A25EC7">
      <w:pPr>
        <w:numPr>
          <w:ilvl w:val="0"/>
          <w:numId w:val="0"/>
        </w:numPr>
        <w:ind w:firstLine="552" w:firstLineChars="200"/>
        <w:rPr>
          <w:rFonts w:ascii="Times New Roman" w:hAnsi="Times New Roman"/>
          <w:color w:val="auto"/>
        </w:rPr>
      </w:pPr>
      <w:r>
        <w:rPr>
          <w:rFonts w:hint="eastAsia" w:ascii="Times New Roman" w:hAnsi="Times New Roman"/>
          <w:color w:val="auto"/>
          <w:lang w:val="en-US" w:eastAsia="zh-CN"/>
        </w:rPr>
        <w:t>13、</w:t>
      </w:r>
      <w:r>
        <w:rPr>
          <w:rFonts w:ascii="Times New Roman" w:hAnsi="Times New Roman"/>
          <w:color w:val="auto"/>
        </w:rPr>
        <w:t>《危险化学品重大危险源辨识》（GB18218-2018，2018年3月1日实施）；</w:t>
      </w:r>
    </w:p>
    <w:p w14:paraId="00D264C5">
      <w:pPr>
        <w:numPr>
          <w:ilvl w:val="0"/>
          <w:numId w:val="0"/>
        </w:numPr>
        <w:ind w:firstLine="552" w:firstLineChars="200"/>
        <w:rPr>
          <w:rFonts w:ascii="Times New Roman" w:hAnsi="Times New Roman"/>
          <w:color w:val="C00000"/>
        </w:rPr>
      </w:pPr>
      <w:r>
        <w:rPr>
          <w:rFonts w:hint="eastAsia"/>
          <w:color w:val="auto"/>
          <w:lang w:val="en-US" w:eastAsia="zh-CN"/>
        </w:rPr>
        <w:t>14、《建筑设计防火规范》（GB50016-2014，2018修订版，2018年10月1日实施）；</w:t>
      </w:r>
    </w:p>
    <w:p w14:paraId="434C16BA">
      <w:pPr>
        <w:bidi w:val="0"/>
        <w:rPr>
          <w:rFonts w:hint="eastAsia"/>
          <w:color w:val="auto"/>
          <w:lang w:val="en-US" w:eastAsia="zh-CN"/>
        </w:rPr>
      </w:pPr>
      <w:r>
        <w:rPr>
          <w:rFonts w:hint="eastAsia"/>
          <w:color w:val="auto"/>
          <w:lang w:val="en-US" w:eastAsia="zh-CN"/>
        </w:rPr>
        <w:t>15、《有色金属矿山排土场设计标准》（GB50421-2018，2018年12月1日实施）；</w:t>
      </w:r>
    </w:p>
    <w:p w14:paraId="4A52A689">
      <w:pPr>
        <w:bidi w:val="0"/>
        <w:rPr>
          <w:rFonts w:hint="eastAsia"/>
          <w:color w:val="auto"/>
          <w:lang w:val="en-US" w:eastAsia="zh-CN"/>
        </w:rPr>
      </w:pPr>
      <w:r>
        <w:rPr>
          <w:rFonts w:hint="eastAsia"/>
          <w:color w:val="auto"/>
          <w:lang w:val="en-US" w:eastAsia="zh-CN"/>
        </w:rPr>
        <w:t>16、《头部防护安全帽》（GB2811-2019，2020年7月1日实施）；</w:t>
      </w:r>
    </w:p>
    <w:p w14:paraId="1EAE76F3">
      <w:pPr>
        <w:bidi w:val="0"/>
        <w:rPr>
          <w:rFonts w:hint="eastAsia"/>
          <w:color w:val="auto"/>
          <w:lang w:val="en-US" w:eastAsia="zh-CN"/>
        </w:rPr>
      </w:pPr>
      <w:r>
        <w:rPr>
          <w:rFonts w:hint="eastAsia"/>
          <w:color w:val="auto"/>
          <w:lang w:val="en-US" w:eastAsia="zh-CN"/>
        </w:rPr>
        <w:t>17、《矿山电力设计标准》（GB50070-2020，2020年10月1日实施）；</w:t>
      </w:r>
    </w:p>
    <w:p w14:paraId="04325EB2">
      <w:pPr>
        <w:bidi w:val="0"/>
        <w:rPr>
          <w:rFonts w:hint="eastAsia"/>
          <w:color w:val="auto"/>
          <w:lang w:val="en-US" w:eastAsia="zh-CN"/>
        </w:rPr>
      </w:pPr>
      <w:r>
        <w:rPr>
          <w:rFonts w:hint="eastAsia"/>
          <w:color w:val="auto"/>
          <w:lang w:val="en-US" w:eastAsia="zh-CN"/>
        </w:rPr>
        <w:t>18、《图形符号安全色和安全标志第5部分：安全标志使用原则与要求》（GB/T2893.5-2020，2020年10月1日实施）；</w:t>
      </w:r>
    </w:p>
    <w:p w14:paraId="0A0C1280">
      <w:pPr>
        <w:bidi w:val="0"/>
        <w:rPr>
          <w:rFonts w:hint="eastAsia"/>
          <w:color w:val="auto"/>
          <w:lang w:val="en-US" w:eastAsia="zh-CN"/>
        </w:rPr>
      </w:pPr>
      <w:r>
        <w:rPr>
          <w:rFonts w:hint="eastAsia"/>
          <w:color w:val="auto"/>
          <w:lang w:val="en-US" w:eastAsia="zh-CN"/>
        </w:rPr>
        <w:t>19、《金属非金属矿山安全规程》（GB16423-2020，2021年9月1日实施）；</w:t>
      </w:r>
    </w:p>
    <w:p w14:paraId="5D00ECD3">
      <w:pPr>
        <w:bidi w:val="0"/>
        <w:rPr>
          <w:rFonts w:hint="eastAsia"/>
          <w:color w:val="auto"/>
          <w:lang w:val="en-US" w:eastAsia="zh-CN"/>
        </w:rPr>
      </w:pPr>
      <w:r>
        <w:rPr>
          <w:rFonts w:hint="eastAsia"/>
          <w:color w:val="auto"/>
          <w:lang w:val="en-US" w:eastAsia="zh-CN"/>
        </w:rPr>
        <w:t>20</w:t>
      </w:r>
      <w:r>
        <w:rPr>
          <w:rFonts w:hint="eastAsia"/>
          <w:color w:val="auto"/>
        </w:rPr>
        <w:t>、</w:t>
      </w:r>
      <w:r>
        <w:rPr>
          <w:rFonts w:hint="default"/>
          <w:color w:val="auto"/>
        </w:rPr>
        <w:t>《个体防护装备配备规范第1部分：总则》</w:t>
      </w:r>
      <w:r>
        <w:rPr>
          <w:rFonts w:hint="eastAsia"/>
          <w:color w:val="auto"/>
          <w:lang w:val="en-US" w:eastAsia="zh-CN"/>
        </w:rPr>
        <w:t>（</w:t>
      </w:r>
      <w:r>
        <w:rPr>
          <w:rFonts w:hint="eastAsia"/>
          <w:color w:val="auto"/>
          <w:lang w:eastAsia="zh-CN"/>
        </w:rPr>
        <w:t>GB</w:t>
      </w:r>
      <w:r>
        <w:rPr>
          <w:rFonts w:hint="default"/>
          <w:color w:val="auto"/>
        </w:rPr>
        <w:t>39800.1-2020</w:t>
      </w:r>
      <w:r>
        <w:rPr>
          <w:rFonts w:hint="eastAsia"/>
          <w:color w:val="auto"/>
          <w:lang w:eastAsia="zh-CN"/>
        </w:rPr>
        <w:t>，2022年1月1日</w:t>
      </w:r>
      <w:r>
        <w:rPr>
          <w:rFonts w:hint="default"/>
          <w:color w:val="auto"/>
        </w:rPr>
        <w:t>实施</w:t>
      </w:r>
      <w:r>
        <w:rPr>
          <w:rFonts w:hint="eastAsia"/>
          <w:color w:val="auto"/>
          <w:lang w:eastAsia="zh-CN"/>
        </w:rPr>
        <w:t>）；</w:t>
      </w:r>
    </w:p>
    <w:p w14:paraId="69B22F5A">
      <w:pPr>
        <w:bidi w:val="0"/>
        <w:rPr>
          <w:rFonts w:hint="eastAsia"/>
          <w:color w:val="auto"/>
          <w:lang w:eastAsia="zh-CN"/>
        </w:rPr>
      </w:pPr>
      <w:r>
        <w:rPr>
          <w:rFonts w:hint="eastAsia"/>
          <w:color w:val="auto"/>
          <w:lang w:val="en-US" w:eastAsia="zh-CN"/>
        </w:rPr>
        <w:t>21、</w:t>
      </w:r>
      <w:r>
        <w:rPr>
          <w:rFonts w:hint="default"/>
          <w:color w:val="auto"/>
        </w:rPr>
        <w:t>《个体防护装备配备规范第4部分：非煤矿山》</w:t>
      </w:r>
      <w:r>
        <w:rPr>
          <w:rFonts w:hint="eastAsia"/>
          <w:color w:val="auto"/>
          <w:lang w:eastAsia="zh-CN"/>
        </w:rPr>
        <w:t>（GB</w:t>
      </w:r>
      <w:r>
        <w:rPr>
          <w:rFonts w:hint="default"/>
          <w:color w:val="auto"/>
        </w:rPr>
        <w:t>39800.4-2020</w:t>
      </w:r>
      <w:r>
        <w:rPr>
          <w:rFonts w:hint="eastAsia"/>
          <w:color w:val="auto"/>
          <w:lang w:eastAsia="zh-CN"/>
        </w:rPr>
        <w:t>，2022年1月1日</w:t>
      </w:r>
      <w:r>
        <w:rPr>
          <w:rFonts w:hint="default"/>
          <w:color w:val="auto"/>
        </w:rPr>
        <w:t>实施</w:t>
      </w:r>
      <w:r>
        <w:rPr>
          <w:rFonts w:hint="eastAsia"/>
          <w:color w:val="auto"/>
          <w:lang w:eastAsia="zh-CN"/>
        </w:rPr>
        <w:t>）；</w:t>
      </w:r>
    </w:p>
    <w:p w14:paraId="65FDCE42">
      <w:pPr>
        <w:bidi w:val="0"/>
        <w:rPr>
          <w:rFonts w:hint="eastAsia"/>
          <w:color w:val="auto"/>
          <w:lang w:eastAsia="zh-CN"/>
        </w:rPr>
      </w:pPr>
      <w:r>
        <w:rPr>
          <w:rFonts w:hint="eastAsia" w:ascii="Times New Roman" w:hAnsi="Times New Roman"/>
          <w:color w:val="auto"/>
          <w:lang w:val="en-US" w:eastAsia="zh-CN"/>
        </w:rPr>
        <w:t>23</w:t>
      </w:r>
      <w:r>
        <w:rPr>
          <w:rFonts w:hint="eastAsia"/>
          <w:color w:val="auto"/>
          <w:lang w:val="en-US" w:eastAsia="zh-CN"/>
        </w:rPr>
        <w:t>、</w:t>
      </w:r>
      <w:r>
        <w:rPr>
          <w:rFonts w:ascii="Times New Roman" w:hAnsi="Times New Roman"/>
          <w:color w:val="auto"/>
        </w:rPr>
        <w:t>《建筑防火通用规范》（GB55037-2022，2023年6月1日实施）；</w:t>
      </w:r>
    </w:p>
    <w:p w14:paraId="72650A63">
      <w:pPr>
        <w:bidi w:val="0"/>
        <w:rPr>
          <w:rFonts w:hint="eastAsia"/>
          <w:lang w:val="en-US" w:eastAsia="zh-CN"/>
        </w:rPr>
      </w:pPr>
      <w:r>
        <w:rPr>
          <w:rFonts w:hint="eastAsia" w:ascii="Times New Roman" w:hAnsi="Times New Roman"/>
          <w:color w:val="000000" w:themeColor="text1"/>
          <w:lang w:val="en-US" w:eastAsia="zh-CN"/>
          <w14:textFill>
            <w14:solidFill>
              <w14:schemeClr w14:val="tx1"/>
            </w14:solidFill>
          </w14:textFill>
        </w:rPr>
        <w:t>24</w:t>
      </w:r>
      <w:r>
        <w:rPr>
          <w:rFonts w:hint="eastAsia"/>
          <w:color w:val="auto"/>
          <w:lang w:val="en-US" w:eastAsia="zh-CN"/>
        </w:rPr>
        <w:t>、</w:t>
      </w:r>
      <w:r>
        <w:rPr>
          <w:rFonts w:hint="eastAsia"/>
          <w:lang w:val="en-US" w:eastAsia="zh-CN"/>
        </w:rPr>
        <w:t>《</w:t>
      </w:r>
      <w:r>
        <w:rPr>
          <w:rFonts w:hint="default"/>
        </w:rPr>
        <w:t>安全色和安全标志</w:t>
      </w:r>
      <w:r>
        <w:rPr>
          <w:rFonts w:hint="eastAsia"/>
          <w:lang w:val="sq-AL" w:eastAsia="zh-CN"/>
        </w:rPr>
        <w:t>》（GB289</w:t>
      </w:r>
      <w:r>
        <w:rPr>
          <w:rFonts w:hint="eastAsia"/>
          <w:lang w:val="en-US" w:eastAsia="zh-CN"/>
        </w:rPr>
        <w:t>4</w:t>
      </w:r>
      <w:r>
        <w:rPr>
          <w:rFonts w:hint="eastAsia"/>
          <w:lang w:val="sq-AL" w:eastAsia="zh-CN"/>
        </w:rPr>
        <w:t>-20</w:t>
      </w:r>
      <w:r>
        <w:rPr>
          <w:rFonts w:hint="eastAsia"/>
          <w:lang w:val="en-US" w:eastAsia="zh-CN"/>
        </w:rPr>
        <w:t>25</w:t>
      </w:r>
      <w:r>
        <w:rPr>
          <w:rFonts w:hint="eastAsia"/>
          <w:lang w:val="sq-AL" w:eastAsia="zh-CN"/>
        </w:rPr>
        <w:t>，20</w:t>
      </w:r>
      <w:r>
        <w:rPr>
          <w:rFonts w:hint="eastAsia"/>
          <w:lang w:val="en-US" w:eastAsia="zh-CN"/>
        </w:rPr>
        <w:t>26</w:t>
      </w:r>
      <w:r>
        <w:rPr>
          <w:rFonts w:hint="eastAsia"/>
          <w:lang w:val="sq-AL" w:eastAsia="zh-CN"/>
        </w:rPr>
        <w:t>年</w:t>
      </w:r>
      <w:r>
        <w:rPr>
          <w:rFonts w:hint="eastAsia"/>
          <w:lang w:val="en-US" w:eastAsia="zh-CN"/>
        </w:rPr>
        <w:t>3</w:t>
      </w:r>
      <w:r>
        <w:rPr>
          <w:rFonts w:hint="eastAsia"/>
          <w:lang w:val="sq-AL" w:eastAsia="zh-CN"/>
        </w:rPr>
        <w:t>月1日实施）；</w:t>
      </w:r>
    </w:p>
    <w:p w14:paraId="448E0AEC">
      <w:pPr>
        <w:bidi w:val="0"/>
        <w:rPr>
          <w:rFonts w:hint="eastAsia"/>
          <w:color w:val="auto"/>
          <w:lang w:val="en-US" w:eastAsia="zh-CN"/>
        </w:rPr>
      </w:pPr>
      <w:r>
        <w:rPr>
          <w:rFonts w:hint="eastAsia"/>
          <w:color w:val="auto"/>
          <w:lang w:val="en-US" w:eastAsia="zh-CN"/>
        </w:rPr>
        <w:t>25、</w:t>
      </w:r>
      <w:r>
        <w:rPr>
          <w:color w:val="auto"/>
        </w:rPr>
        <w:t>《矿区水文地质工程地质勘探规范》</w:t>
      </w:r>
      <w:r>
        <w:rPr>
          <w:rFonts w:hint="eastAsia"/>
          <w:color w:val="auto"/>
          <w:lang w:eastAsia="zh-CN"/>
        </w:rPr>
        <w:t>（</w:t>
      </w:r>
      <w:r>
        <w:rPr>
          <w:color w:val="auto"/>
        </w:rPr>
        <w:t>GB/T12719-2021</w:t>
      </w:r>
      <w:r>
        <w:rPr>
          <w:rFonts w:hint="eastAsia"/>
          <w:color w:val="auto"/>
          <w:lang w:eastAsia="zh-CN"/>
        </w:rPr>
        <w:t>）；</w:t>
      </w:r>
    </w:p>
    <w:p w14:paraId="52ABD851">
      <w:pPr>
        <w:bidi w:val="0"/>
        <w:rPr>
          <w:rFonts w:hint="eastAsia"/>
          <w:color w:val="auto"/>
          <w:lang w:val="en-US" w:eastAsia="zh-CN"/>
        </w:rPr>
      </w:pPr>
      <w:r>
        <w:rPr>
          <w:rFonts w:hint="eastAsia"/>
          <w:color w:val="auto"/>
          <w:lang w:val="en-US" w:eastAsia="zh-CN"/>
        </w:rPr>
        <w:t>26、</w:t>
      </w:r>
      <w:r>
        <w:rPr>
          <w:rFonts w:hint="eastAsia"/>
          <w:color w:val="auto"/>
        </w:rPr>
        <w:t>《凿岩机械与气动工具安全要求》</w:t>
      </w:r>
      <w:r>
        <w:rPr>
          <w:rFonts w:hint="eastAsia"/>
          <w:color w:val="auto"/>
          <w:lang w:eastAsia="zh-CN"/>
        </w:rPr>
        <w:t>（GB</w:t>
      </w:r>
      <w:r>
        <w:rPr>
          <w:color w:val="auto"/>
        </w:rPr>
        <w:t>17957-2021</w:t>
      </w:r>
      <w:r>
        <w:rPr>
          <w:rFonts w:hint="eastAsia"/>
          <w:color w:val="auto"/>
          <w:lang w:eastAsia="zh-CN"/>
        </w:rPr>
        <w:t>，</w:t>
      </w:r>
      <w:r>
        <w:rPr>
          <w:rFonts w:hint="eastAsia"/>
          <w:color w:val="auto"/>
          <w:lang w:val="en-US" w:eastAsia="zh-CN"/>
        </w:rPr>
        <w:t>2022</w:t>
      </w:r>
      <w:r>
        <w:rPr>
          <w:rFonts w:hint="eastAsia"/>
          <w:color w:val="auto"/>
          <w:lang w:val="sq-AL" w:eastAsia="zh-CN"/>
        </w:rPr>
        <w:t>年</w:t>
      </w:r>
      <w:r>
        <w:rPr>
          <w:rFonts w:hint="eastAsia"/>
          <w:color w:val="auto"/>
          <w:lang w:val="en-US" w:eastAsia="zh-CN"/>
        </w:rPr>
        <w:t>5</w:t>
      </w:r>
      <w:r>
        <w:rPr>
          <w:rFonts w:hint="eastAsia"/>
          <w:color w:val="auto"/>
          <w:lang w:val="sq-AL" w:eastAsia="zh-CN"/>
        </w:rPr>
        <w:t>月</w:t>
      </w:r>
      <w:r>
        <w:rPr>
          <w:rFonts w:hint="eastAsia"/>
          <w:color w:val="auto"/>
          <w:lang w:val="en-US" w:eastAsia="zh-CN"/>
        </w:rPr>
        <w:t>1</w:t>
      </w:r>
      <w:r>
        <w:rPr>
          <w:rFonts w:hint="eastAsia"/>
          <w:color w:val="auto"/>
          <w:lang w:val="sq-AL" w:eastAsia="zh-CN"/>
        </w:rPr>
        <w:t>日实施）；</w:t>
      </w:r>
    </w:p>
    <w:p w14:paraId="7A2DC869">
      <w:pPr>
        <w:bidi w:val="0"/>
      </w:pPr>
      <w:r>
        <w:rPr>
          <w:rFonts w:hint="eastAsia"/>
          <w:lang w:val="en-US" w:eastAsia="zh-CN"/>
        </w:rPr>
        <w:t>27</w:t>
      </w:r>
      <w:r>
        <w:rPr>
          <w:rFonts w:hint="eastAsia"/>
          <w:lang w:eastAsia="zh-CN"/>
        </w:rPr>
        <w:t>、</w:t>
      </w:r>
      <w:r>
        <w:t>《高处作业分级》（GB3608-20</w:t>
      </w:r>
      <w:r>
        <w:rPr>
          <w:rFonts w:hint="eastAsia"/>
          <w:lang w:val="en-US" w:eastAsia="zh-CN"/>
        </w:rPr>
        <w:t>25</w:t>
      </w:r>
      <w:r>
        <w:t>，自20</w:t>
      </w:r>
      <w:r>
        <w:rPr>
          <w:rFonts w:hint="eastAsia"/>
          <w:lang w:val="en-US" w:eastAsia="zh-CN"/>
        </w:rPr>
        <w:t>26</w:t>
      </w:r>
      <w:r>
        <w:t>年0</w:t>
      </w:r>
      <w:r>
        <w:rPr>
          <w:rFonts w:hint="eastAsia"/>
          <w:lang w:val="en-US" w:eastAsia="zh-CN"/>
        </w:rPr>
        <w:t>5</w:t>
      </w:r>
      <w:r>
        <w:t>月01日</w:t>
      </w:r>
      <w:r>
        <w:rPr>
          <w:rFonts w:hint="eastAsia"/>
          <w:lang w:val="en-US" w:eastAsia="zh-CN"/>
        </w:rPr>
        <w:t>实施</w:t>
      </w:r>
      <w:r>
        <w:t>）；</w:t>
      </w:r>
    </w:p>
    <w:p w14:paraId="5496EF8C">
      <w:pPr>
        <w:bidi w:val="0"/>
        <w:rPr>
          <w:rFonts w:hint="eastAsia"/>
          <w:lang w:val="sq-AL" w:eastAsia="zh-CN"/>
        </w:rPr>
      </w:pPr>
      <w:r>
        <w:rPr>
          <w:rFonts w:hint="eastAsia"/>
          <w:lang w:val="en-US" w:eastAsia="zh-CN"/>
        </w:rPr>
        <w:t>28、</w:t>
      </w:r>
      <w:r>
        <w:rPr>
          <w:rFonts w:hint="eastAsia"/>
          <w:lang w:val="sq-AL" w:eastAsia="zh-CN"/>
        </w:rPr>
        <w:t>《生产过程安全</w:t>
      </w:r>
      <w:r>
        <w:rPr>
          <w:rFonts w:hint="eastAsia"/>
          <w:lang w:val="en-US" w:eastAsia="zh-CN"/>
        </w:rPr>
        <w:t>基本</w:t>
      </w:r>
      <w:r>
        <w:rPr>
          <w:rFonts w:hint="eastAsia"/>
          <w:lang w:val="sq-AL" w:eastAsia="zh-CN"/>
        </w:rPr>
        <w:t>要求》（GB12801-20</w:t>
      </w:r>
      <w:r>
        <w:rPr>
          <w:rFonts w:hint="eastAsia"/>
          <w:lang w:val="en-US" w:eastAsia="zh-CN"/>
        </w:rPr>
        <w:t>25</w:t>
      </w:r>
      <w:r>
        <w:rPr>
          <w:rFonts w:hint="eastAsia"/>
          <w:lang w:val="sq-AL" w:eastAsia="zh-CN"/>
        </w:rPr>
        <w:t>，20</w:t>
      </w:r>
      <w:r>
        <w:rPr>
          <w:rFonts w:hint="eastAsia"/>
          <w:lang w:val="en-US" w:eastAsia="zh-CN"/>
        </w:rPr>
        <w:t>26</w:t>
      </w:r>
      <w:r>
        <w:rPr>
          <w:rFonts w:hint="eastAsia"/>
          <w:lang w:val="sq-AL" w:eastAsia="zh-CN"/>
        </w:rPr>
        <w:t>年10月1日实施）；</w:t>
      </w:r>
    </w:p>
    <w:p w14:paraId="4FD25382">
      <w:pPr>
        <w:bidi w:val="0"/>
        <w:rPr>
          <w:rFonts w:hint="eastAsia"/>
          <w:lang w:val="sq-AL" w:eastAsia="zh-CN"/>
        </w:rPr>
      </w:pPr>
      <w:r>
        <w:rPr>
          <w:rFonts w:hint="eastAsia"/>
          <w:lang w:val="en-US" w:eastAsia="zh-CN"/>
        </w:rPr>
        <w:t>29、</w:t>
      </w:r>
      <w:r>
        <w:rPr>
          <w:rFonts w:hint="eastAsia"/>
          <w:lang w:val="sq-AL" w:eastAsia="zh-CN"/>
        </w:rPr>
        <w:t>《矿用一般型电气设备》（GB</w:t>
      </w:r>
      <w:r>
        <w:rPr>
          <w:rFonts w:hint="eastAsia"/>
          <w:lang w:val="en-US" w:eastAsia="zh-CN"/>
        </w:rPr>
        <w:t>/T</w:t>
      </w:r>
      <w:r>
        <w:rPr>
          <w:rFonts w:hint="eastAsia"/>
          <w:lang w:val="sq-AL" w:eastAsia="zh-CN"/>
        </w:rPr>
        <w:t>12173-2008，20</w:t>
      </w:r>
      <w:r>
        <w:rPr>
          <w:rFonts w:hint="eastAsia"/>
          <w:lang w:val="en-US" w:eastAsia="zh-CN"/>
        </w:rPr>
        <w:t>09</w:t>
      </w:r>
      <w:r>
        <w:rPr>
          <w:rFonts w:hint="eastAsia"/>
          <w:lang w:val="sq-AL" w:eastAsia="zh-CN"/>
        </w:rPr>
        <w:t>年</w:t>
      </w:r>
      <w:r>
        <w:rPr>
          <w:rFonts w:hint="eastAsia"/>
          <w:lang w:val="en-US" w:eastAsia="zh-CN"/>
        </w:rPr>
        <w:t>4</w:t>
      </w:r>
      <w:r>
        <w:rPr>
          <w:rFonts w:hint="eastAsia"/>
          <w:lang w:val="sq-AL" w:eastAsia="zh-CN"/>
        </w:rPr>
        <w:t>月1日实施）；</w:t>
      </w:r>
    </w:p>
    <w:p w14:paraId="7132B213">
      <w:pPr>
        <w:bidi w:val="0"/>
        <w:rPr>
          <w:rFonts w:hint="eastAsia"/>
          <w:lang w:val="sq-AL" w:eastAsia="zh-CN"/>
        </w:rPr>
      </w:pPr>
      <w:r>
        <w:rPr>
          <w:rFonts w:hint="eastAsia"/>
          <w:lang w:val="en-US" w:eastAsia="zh-CN"/>
        </w:rPr>
        <w:t>30、</w:t>
      </w:r>
      <w:r>
        <w:rPr>
          <w:rFonts w:hint="eastAsia"/>
          <w:lang w:val="sq-AL" w:eastAsia="zh-CN"/>
        </w:rPr>
        <w:t>《矿山安全标志》（GB</w:t>
      </w:r>
      <w:r>
        <w:rPr>
          <w:rFonts w:hint="eastAsia"/>
          <w:lang w:val="en-US" w:eastAsia="zh-CN"/>
        </w:rPr>
        <w:t>/T</w:t>
      </w:r>
      <w:r>
        <w:rPr>
          <w:rFonts w:hint="eastAsia"/>
          <w:lang w:val="sq-AL" w:eastAsia="zh-CN"/>
        </w:rPr>
        <w:t>14161-2008，20</w:t>
      </w:r>
      <w:r>
        <w:rPr>
          <w:rFonts w:hint="eastAsia"/>
          <w:lang w:val="en-US" w:eastAsia="zh-CN"/>
        </w:rPr>
        <w:t>09</w:t>
      </w:r>
      <w:r>
        <w:rPr>
          <w:rFonts w:hint="eastAsia"/>
          <w:lang w:val="sq-AL" w:eastAsia="zh-CN"/>
        </w:rPr>
        <w:t>年</w:t>
      </w:r>
      <w:r>
        <w:rPr>
          <w:rFonts w:hint="eastAsia"/>
          <w:lang w:val="en-US" w:eastAsia="zh-CN"/>
        </w:rPr>
        <w:t>10</w:t>
      </w:r>
      <w:r>
        <w:rPr>
          <w:rFonts w:hint="eastAsia"/>
          <w:lang w:val="sq-AL" w:eastAsia="zh-CN"/>
        </w:rPr>
        <w:t>月1日实施）；</w:t>
      </w:r>
    </w:p>
    <w:p w14:paraId="0CF42E71">
      <w:pPr>
        <w:bidi w:val="0"/>
        <w:rPr>
          <w:rFonts w:hint="eastAsia"/>
          <w:lang w:val="en-US" w:eastAsia="zh-CN"/>
        </w:rPr>
      </w:pPr>
      <w:r>
        <w:rPr>
          <w:rFonts w:hint="eastAsia"/>
          <w:lang w:val="en-US" w:eastAsia="zh-CN"/>
        </w:rPr>
        <w:t>31、《疏散平面图设计原则与要求》（GB/T25894-2010，2011</w:t>
      </w:r>
      <w:r>
        <w:rPr>
          <w:rFonts w:hint="eastAsia"/>
          <w:lang w:val="sq-AL" w:eastAsia="zh-CN"/>
        </w:rPr>
        <w:t>年</w:t>
      </w:r>
      <w:r>
        <w:rPr>
          <w:rFonts w:hint="eastAsia"/>
          <w:lang w:val="en-US" w:eastAsia="zh-CN"/>
        </w:rPr>
        <w:t>7</w:t>
      </w:r>
      <w:r>
        <w:rPr>
          <w:rFonts w:hint="eastAsia"/>
          <w:lang w:val="sq-AL" w:eastAsia="zh-CN"/>
        </w:rPr>
        <w:t>月</w:t>
      </w:r>
      <w:r>
        <w:rPr>
          <w:rFonts w:hint="eastAsia"/>
          <w:lang w:val="en-US" w:eastAsia="zh-CN"/>
        </w:rPr>
        <w:t>1</w:t>
      </w:r>
      <w:r>
        <w:rPr>
          <w:rFonts w:hint="eastAsia"/>
          <w:lang w:val="sq-AL" w:eastAsia="zh-CN"/>
        </w:rPr>
        <w:t>日实施）；</w:t>
      </w:r>
    </w:p>
    <w:p w14:paraId="7BF6F37F">
      <w:pPr>
        <w:bidi w:val="0"/>
        <w:rPr>
          <w:rFonts w:hint="eastAsia"/>
          <w:lang w:val="en-US" w:eastAsia="zh-CN"/>
        </w:rPr>
      </w:pPr>
      <w:r>
        <w:rPr>
          <w:rFonts w:hint="eastAsia"/>
          <w:lang w:val="en-US" w:eastAsia="zh-CN"/>
        </w:rPr>
        <w:t>32、《电气设备安全设计导则》（GB/T25295-2010，2010年5月1日实施）；</w:t>
      </w:r>
    </w:p>
    <w:p w14:paraId="30E92216">
      <w:pPr>
        <w:bidi w:val="0"/>
        <w:rPr>
          <w:rFonts w:hint="eastAsia"/>
          <w:lang w:val="en-US" w:eastAsia="zh-CN"/>
        </w:rPr>
      </w:pPr>
      <w:r>
        <w:rPr>
          <w:rFonts w:hint="eastAsia"/>
          <w:lang w:val="en-US" w:eastAsia="zh-CN"/>
        </w:rPr>
        <w:t>33、</w:t>
      </w:r>
      <w:r>
        <w:t>《建筑抗震设计标准》</w:t>
      </w:r>
      <w:r>
        <w:rPr>
          <w:rFonts w:hint="eastAsia"/>
          <w:lang w:eastAsia="zh-CN"/>
        </w:rPr>
        <w:t>（</w:t>
      </w:r>
      <w:r>
        <w:rPr>
          <w:rFonts w:hint="eastAsia"/>
          <w:lang w:val="en-US" w:eastAsia="zh-CN"/>
        </w:rPr>
        <w:t>2024版）（</w:t>
      </w:r>
      <w:r>
        <w:rPr>
          <w:rFonts w:hint="eastAsia"/>
          <w:lang w:eastAsia="zh-CN"/>
        </w:rPr>
        <w:t>GB</w:t>
      </w:r>
      <w:r>
        <w:t>/T50011-2010</w:t>
      </w:r>
      <w:r>
        <w:rPr>
          <w:rFonts w:hint="eastAsia"/>
          <w:lang w:eastAsia="zh-CN"/>
        </w:rPr>
        <w:t>，</w:t>
      </w:r>
      <w:r>
        <w:t>20</w:t>
      </w:r>
      <w:r>
        <w:rPr>
          <w:rFonts w:hint="eastAsia"/>
          <w:lang w:val="en-US" w:eastAsia="zh-CN"/>
        </w:rPr>
        <w:t>10年12月1日施行）</w:t>
      </w:r>
      <w:r>
        <w:rPr>
          <w:rFonts w:hint="eastAsia"/>
          <w:lang w:eastAsia="zh-CN"/>
        </w:rPr>
        <w:t>；</w:t>
      </w:r>
    </w:p>
    <w:p w14:paraId="70565AD3">
      <w:pPr>
        <w:bidi w:val="0"/>
        <w:rPr>
          <w:rFonts w:hint="eastAsia"/>
          <w:lang w:val="sq-AL" w:eastAsia="zh-CN"/>
        </w:rPr>
      </w:pPr>
      <w:r>
        <w:rPr>
          <w:rFonts w:hint="eastAsia"/>
          <w:lang w:val="en-US" w:eastAsia="zh-CN"/>
        </w:rPr>
        <w:t>34、</w:t>
      </w:r>
      <w:r>
        <w:rPr>
          <w:rFonts w:hint="eastAsia"/>
        </w:rPr>
        <w:t>《</w:t>
      </w:r>
      <w:r>
        <w:rPr>
          <w:rFonts w:hint="eastAsia"/>
          <w:lang w:val="en-US" w:eastAsia="zh-CN"/>
        </w:rPr>
        <w:t>大中型</w:t>
      </w:r>
      <w:r>
        <w:rPr>
          <w:rFonts w:hint="eastAsia"/>
        </w:rPr>
        <w:t>企业安全生产标准化</w:t>
      </w:r>
      <w:r>
        <w:rPr>
          <w:rFonts w:hint="eastAsia"/>
          <w:lang w:val="en-US" w:eastAsia="zh-CN"/>
        </w:rPr>
        <w:t>管理体系要求</w:t>
      </w:r>
      <w:r>
        <w:rPr>
          <w:rFonts w:hint="eastAsia"/>
        </w:rPr>
        <w:t>》</w:t>
      </w:r>
      <w:r>
        <w:rPr>
          <w:rFonts w:hint="eastAsia"/>
          <w:lang w:eastAsia="zh-CN"/>
        </w:rPr>
        <w:t>（GB</w:t>
      </w:r>
      <w:r>
        <w:t>/T33000-20</w:t>
      </w:r>
      <w:r>
        <w:rPr>
          <w:rFonts w:hint="eastAsia"/>
          <w:lang w:val="en-US" w:eastAsia="zh-CN"/>
        </w:rPr>
        <w:t>25</w:t>
      </w:r>
      <w:r>
        <w:rPr>
          <w:rFonts w:hint="eastAsia"/>
          <w:lang w:eastAsia="zh-CN"/>
        </w:rPr>
        <w:t>，</w:t>
      </w:r>
      <w:r>
        <w:rPr>
          <w:rFonts w:hint="eastAsia"/>
          <w:lang w:val="en-US" w:eastAsia="zh-CN"/>
        </w:rPr>
        <w:t>2025</w:t>
      </w:r>
      <w:r>
        <w:rPr>
          <w:rFonts w:hint="eastAsia"/>
          <w:lang w:val="sq-AL" w:eastAsia="zh-CN"/>
        </w:rPr>
        <w:t>年</w:t>
      </w:r>
      <w:r>
        <w:rPr>
          <w:rFonts w:hint="eastAsia"/>
          <w:lang w:val="en-US" w:eastAsia="zh-CN"/>
        </w:rPr>
        <w:t>10</w:t>
      </w:r>
      <w:r>
        <w:rPr>
          <w:rFonts w:hint="eastAsia"/>
          <w:lang w:val="sq-AL" w:eastAsia="zh-CN"/>
        </w:rPr>
        <w:t>月</w:t>
      </w:r>
      <w:r>
        <w:rPr>
          <w:rFonts w:hint="eastAsia"/>
          <w:lang w:val="en-US" w:eastAsia="zh-CN"/>
        </w:rPr>
        <w:t>31</w:t>
      </w:r>
      <w:r>
        <w:rPr>
          <w:rFonts w:hint="eastAsia"/>
          <w:lang w:val="sq-AL" w:eastAsia="zh-CN"/>
        </w:rPr>
        <w:t>日实施）；</w:t>
      </w:r>
    </w:p>
    <w:p w14:paraId="6ACD7DC9">
      <w:pPr>
        <w:bidi w:val="0"/>
        <w:rPr>
          <w:rFonts w:hint="eastAsia"/>
          <w:color w:val="auto"/>
          <w:lang w:val="en-US" w:eastAsia="zh-CN"/>
        </w:rPr>
      </w:pPr>
      <w:r>
        <w:rPr>
          <w:rFonts w:hint="eastAsia"/>
          <w:color w:val="auto"/>
          <w:lang w:val="en-US" w:eastAsia="zh-CN"/>
        </w:rPr>
        <w:t>35、</w:t>
      </w:r>
      <w:r>
        <w:rPr>
          <w:rFonts w:hint="eastAsia"/>
          <w:color w:val="auto"/>
          <w:lang w:val="sq-AL" w:eastAsia="zh-CN"/>
        </w:rPr>
        <w:t>《用电安全导则》（GB/T13869-2017，20</w:t>
      </w:r>
      <w:r>
        <w:rPr>
          <w:rFonts w:hint="eastAsia"/>
          <w:color w:val="auto"/>
          <w:lang w:val="en-US" w:eastAsia="zh-CN"/>
        </w:rPr>
        <w:t>18</w:t>
      </w:r>
      <w:r>
        <w:rPr>
          <w:rFonts w:hint="eastAsia"/>
          <w:color w:val="auto"/>
          <w:lang w:val="sq-AL" w:eastAsia="zh-CN"/>
        </w:rPr>
        <w:t>年</w:t>
      </w:r>
      <w:r>
        <w:rPr>
          <w:rFonts w:hint="eastAsia"/>
          <w:color w:val="auto"/>
          <w:lang w:val="en-US" w:eastAsia="zh-CN"/>
        </w:rPr>
        <w:t>7</w:t>
      </w:r>
      <w:r>
        <w:rPr>
          <w:rFonts w:hint="eastAsia"/>
          <w:color w:val="auto"/>
          <w:lang w:val="sq-AL" w:eastAsia="zh-CN"/>
        </w:rPr>
        <w:t>月1日实施）</w:t>
      </w:r>
      <w:r>
        <w:rPr>
          <w:rFonts w:hint="eastAsia"/>
          <w:color w:val="auto"/>
          <w:lang w:val="en-US" w:eastAsia="zh-CN"/>
        </w:rPr>
        <w:t>；</w:t>
      </w:r>
    </w:p>
    <w:p w14:paraId="7774DA1B">
      <w:pPr>
        <w:bidi w:val="0"/>
        <w:rPr>
          <w:rFonts w:hint="eastAsia"/>
          <w:color w:val="auto"/>
          <w:lang w:val="en-US" w:eastAsia="zh-CN"/>
        </w:rPr>
      </w:pPr>
      <w:r>
        <w:rPr>
          <w:rFonts w:hint="eastAsia"/>
          <w:color w:val="auto"/>
          <w:lang w:val="en-US" w:eastAsia="zh-CN"/>
        </w:rPr>
        <w:t>36、《机械安全防护装置固定式和活动式防护装置设计与制造一般要求》（GB/T8196-2018，2019年7月1日实施）；</w:t>
      </w:r>
    </w:p>
    <w:p w14:paraId="65226AF2">
      <w:pPr>
        <w:bidi w:val="0"/>
        <w:rPr>
          <w:color w:val="auto"/>
        </w:rPr>
      </w:pPr>
      <w:r>
        <w:rPr>
          <w:rFonts w:hint="eastAsia"/>
          <w:color w:val="auto"/>
          <w:lang w:val="en-US" w:eastAsia="zh-CN"/>
        </w:rPr>
        <w:t>37</w:t>
      </w:r>
      <w:r>
        <w:rPr>
          <w:rFonts w:hint="eastAsia"/>
          <w:color w:val="auto"/>
          <w:lang w:eastAsia="zh-CN"/>
        </w:rPr>
        <w:t>、</w:t>
      </w:r>
      <w:r>
        <w:rPr>
          <w:color w:val="auto"/>
        </w:rPr>
        <w:t>《机械安全防止人体部位挤压的最小间距》（GB/T12265-2021，自2021年12月01日起实施）；</w:t>
      </w:r>
    </w:p>
    <w:p w14:paraId="2A51D67E">
      <w:pPr>
        <w:bidi w:val="0"/>
        <w:rPr>
          <w:rFonts w:hint="eastAsia"/>
          <w:color w:val="auto"/>
          <w:lang w:val="en-US" w:eastAsia="zh-CN"/>
        </w:rPr>
      </w:pPr>
      <w:r>
        <w:rPr>
          <w:rFonts w:hint="eastAsia"/>
          <w:color w:val="auto"/>
          <w:lang w:val="en-US" w:eastAsia="zh-CN"/>
        </w:rPr>
        <w:t>38、</w:t>
      </w:r>
      <w:r>
        <w:rPr>
          <w:color w:val="auto"/>
        </w:rPr>
        <w:t>《矿区水文地质工程地质勘</w:t>
      </w:r>
      <w:r>
        <w:rPr>
          <w:rFonts w:hint="eastAsia"/>
          <w:color w:val="auto"/>
        </w:rPr>
        <w:t>查</w:t>
      </w:r>
      <w:r>
        <w:rPr>
          <w:color w:val="auto"/>
        </w:rPr>
        <w:t>规范》</w:t>
      </w:r>
      <w:r>
        <w:rPr>
          <w:rFonts w:hint="eastAsia"/>
          <w:color w:val="auto"/>
          <w:lang w:eastAsia="zh-CN"/>
        </w:rPr>
        <w:t>（GB</w:t>
      </w:r>
      <w:r>
        <w:rPr>
          <w:rFonts w:hint="eastAsia"/>
          <w:color w:val="auto"/>
        </w:rPr>
        <w:t>/T</w:t>
      </w:r>
      <w:r>
        <w:rPr>
          <w:rFonts w:hint="eastAsia"/>
          <w:color w:val="auto"/>
          <w:lang w:val="en-US" w:eastAsia="zh-CN"/>
        </w:rPr>
        <w:t>1</w:t>
      </w:r>
      <w:r>
        <w:rPr>
          <w:color w:val="auto"/>
        </w:rPr>
        <w:t>2719</w:t>
      </w:r>
      <w:r>
        <w:rPr>
          <w:rFonts w:hint="eastAsia"/>
          <w:color w:val="auto"/>
          <w:lang w:val="en-US" w:eastAsia="zh-CN"/>
        </w:rPr>
        <w:t>-</w:t>
      </w:r>
      <w:r>
        <w:rPr>
          <w:rFonts w:hint="eastAsia"/>
          <w:color w:val="auto"/>
        </w:rPr>
        <w:t>2021</w:t>
      </w:r>
      <w:r>
        <w:rPr>
          <w:rFonts w:hint="eastAsia"/>
          <w:color w:val="auto"/>
          <w:lang w:eastAsia="zh-CN"/>
        </w:rPr>
        <w:t>，</w:t>
      </w:r>
      <w:r>
        <w:rPr>
          <w:rFonts w:hint="eastAsia"/>
          <w:color w:val="auto"/>
          <w:lang w:val="en-US" w:eastAsia="zh-CN"/>
        </w:rPr>
        <w:t>2021年12月1日实施）；</w:t>
      </w:r>
    </w:p>
    <w:p w14:paraId="3896A18E">
      <w:pPr>
        <w:bidi w:val="0"/>
        <w:rPr>
          <w:color w:val="auto"/>
        </w:rPr>
      </w:pPr>
      <w:r>
        <w:rPr>
          <w:rFonts w:hint="eastAsia"/>
          <w:color w:val="auto"/>
          <w:lang w:val="en-US" w:eastAsia="zh-CN"/>
        </w:rPr>
        <w:t>39、</w:t>
      </w:r>
      <w:r>
        <w:rPr>
          <w:color w:val="auto"/>
        </w:rPr>
        <w:t>《生产经营单位生产安全事故应急预案编制导则》</w:t>
      </w:r>
      <w:r>
        <w:rPr>
          <w:rFonts w:hint="eastAsia"/>
          <w:color w:val="auto"/>
          <w:lang w:eastAsia="zh-CN"/>
        </w:rPr>
        <w:t>（</w:t>
      </w:r>
      <w:r>
        <w:rPr>
          <w:color w:val="auto"/>
        </w:rPr>
        <w:t>GB/T29639-2020，自2021年04月01日实施</w:t>
      </w:r>
      <w:r>
        <w:rPr>
          <w:rFonts w:hint="eastAsia"/>
          <w:color w:val="auto"/>
          <w:lang w:eastAsia="zh-CN"/>
        </w:rPr>
        <w:t>）</w:t>
      </w:r>
      <w:r>
        <w:rPr>
          <w:color w:val="auto"/>
        </w:rPr>
        <w:t>；</w:t>
      </w:r>
    </w:p>
    <w:p w14:paraId="6FFA8DB7">
      <w:pPr>
        <w:bidi w:val="0"/>
        <w:rPr>
          <w:color w:val="auto"/>
        </w:rPr>
      </w:pPr>
      <w:r>
        <w:rPr>
          <w:rFonts w:hint="eastAsia"/>
          <w:color w:val="auto"/>
          <w:lang w:val="en-US" w:eastAsia="zh-CN"/>
        </w:rPr>
        <w:t>40、</w:t>
      </w:r>
      <w:r>
        <w:rPr>
          <w:color w:val="auto"/>
        </w:rPr>
        <w:t>《固定的空气压缩机安全规则和操作规程》</w:t>
      </w:r>
      <w:r>
        <w:rPr>
          <w:rFonts w:hint="eastAsia"/>
          <w:color w:val="auto"/>
          <w:lang w:eastAsia="zh-CN"/>
        </w:rPr>
        <w:t>（</w:t>
      </w:r>
      <w:r>
        <w:rPr>
          <w:color w:val="auto"/>
        </w:rPr>
        <w:t>GB∕T10892-2021，自2022年7月1日实施</w:t>
      </w:r>
      <w:r>
        <w:rPr>
          <w:rFonts w:hint="eastAsia"/>
          <w:color w:val="auto"/>
          <w:lang w:eastAsia="zh-CN"/>
        </w:rPr>
        <w:t>）</w:t>
      </w:r>
      <w:r>
        <w:rPr>
          <w:color w:val="auto"/>
        </w:rPr>
        <w:t>；</w:t>
      </w:r>
    </w:p>
    <w:p w14:paraId="5A647377">
      <w:pPr>
        <w:bidi w:val="0"/>
        <w:rPr>
          <w:rFonts w:hint="eastAsia"/>
          <w:color w:val="auto"/>
          <w:lang w:val="en-US" w:eastAsia="zh-CN"/>
        </w:rPr>
      </w:pPr>
      <w:r>
        <w:rPr>
          <w:rFonts w:hint="eastAsia"/>
          <w:color w:val="auto"/>
          <w:lang w:val="en-US" w:eastAsia="zh-CN"/>
        </w:rPr>
        <w:t>41、《生产过程危险和有害因素分类与代码》（GB/T13861-2022，2022年10月1日实施）；</w:t>
      </w:r>
    </w:p>
    <w:p w14:paraId="47453775">
      <w:pPr>
        <w:numPr>
          <w:ilvl w:val="0"/>
          <w:numId w:val="0"/>
        </w:numPr>
        <w:ind w:firstLine="552" w:firstLineChars="200"/>
        <w:rPr>
          <w:rFonts w:ascii="Times New Roman" w:hAnsi="Times New Roman"/>
          <w:color w:val="auto"/>
        </w:rPr>
      </w:pPr>
      <w:r>
        <w:rPr>
          <w:rFonts w:hint="eastAsia" w:ascii="Times New Roman" w:hAnsi="Times New Roman"/>
          <w:color w:val="auto"/>
          <w:lang w:val="en-US" w:eastAsia="zh-CN"/>
        </w:rPr>
        <w:t>42</w:t>
      </w:r>
      <w:r>
        <w:rPr>
          <w:rFonts w:hint="eastAsia"/>
          <w:color w:val="auto"/>
          <w:lang w:val="en-US" w:eastAsia="zh-CN"/>
        </w:rPr>
        <w:t>、</w:t>
      </w:r>
      <w:r>
        <w:rPr>
          <w:rFonts w:ascii="Times New Roman" w:hAnsi="Times New Roman"/>
          <w:color w:val="auto"/>
        </w:rPr>
        <w:t>《机械安全防止上下肢触及危险区的安全距离》（GB/T23821-2022，2022年11月8日实施）；</w:t>
      </w:r>
    </w:p>
    <w:p w14:paraId="6FFD28DC">
      <w:pPr>
        <w:bidi w:val="0"/>
        <w:rPr>
          <w:rFonts w:hint="eastAsia"/>
          <w:color w:val="auto"/>
          <w:lang w:val="en-US" w:eastAsia="zh-CN"/>
        </w:rPr>
      </w:pPr>
      <w:r>
        <w:rPr>
          <w:rFonts w:hint="eastAsia"/>
          <w:color w:val="auto"/>
          <w:lang w:val="en-US" w:eastAsia="zh-CN"/>
        </w:rPr>
        <w:t>43、《厂矿道路设计规范》（GBJ22-87，1988年8月1日实施）；</w:t>
      </w:r>
    </w:p>
    <w:p w14:paraId="2AAD9AB4">
      <w:pPr>
        <w:bidi w:val="0"/>
        <w:rPr>
          <w:color w:val="auto"/>
        </w:rPr>
      </w:pPr>
      <w:r>
        <w:rPr>
          <w:rFonts w:hint="eastAsia"/>
          <w:color w:val="auto"/>
          <w:lang w:val="en-US" w:eastAsia="zh-CN"/>
        </w:rPr>
        <w:t>44、</w:t>
      </w:r>
      <w:r>
        <w:rPr>
          <w:color w:val="auto"/>
        </w:rPr>
        <w:t>《工作场所有害因素职业接触限值第2部分：物理因素》（GBZ2.2-2007，自2007年11月01日起施行）；</w:t>
      </w:r>
    </w:p>
    <w:p w14:paraId="2795CDDC">
      <w:pPr>
        <w:bidi w:val="0"/>
        <w:rPr>
          <w:rFonts w:hint="eastAsia"/>
          <w:color w:val="auto"/>
          <w:lang w:eastAsia="zh-CN"/>
        </w:rPr>
      </w:pPr>
      <w:r>
        <w:rPr>
          <w:rFonts w:hint="eastAsia"/>
          <w:color w:val="auto"/>
          <w:lang w:val="en-US" w:eastAsia="zh-CN"/>
        </w:rPr>
        <w:t>45、</w:t>
      </w:r>
      <w:r>
        <w:rPr>
          <w:rFonts w:hint="eastAsia"/>
          <w:color w:val="auto"/>
        </w:rPr>
        <w:t>《工业企业设计卫生标准》</w:t>
      </w:r>
      <w:r>
        <w:rPr>
          <w:rFonts w:hint="eastAsia"/>
          <w:color w:val="auto"/>
          <w:lang w:eastAsia="zh-CN"/>
        </w:rPr>
        <w:t>（GB</w:t>
      </w:r>
      <w:r>
        <w:rPr>
          <w:rFonts w:hint="eastAsia"/>
          <w:color w:val="auto"/>
        </w:rPr>
        <w:t>Z1</w:t>
      </w:r>
      <w:r>
        <w:rPr>
          <w:rFonts w:hint="eastAsia"/>
          <w:color w:val="auto"/>
          <w:lang w:val="en-US" w:eastAsia="zh-CN"/>
        </w:rPr>
        <w:t>-</w:t>
      </w:r>
      <w:r>
        <w:rPr>
          <w:rFonts w:hint="eastAsia"/>
          <w:color w:val="auto"/>
        </w:rPr>
        <w:t>20</w:t>
      </w:r>
      <w:r>
        <w:rPr>
          <w:rFonts w:hint="eastAsia"/>
          <w:color w:val="auto"/>
          <w:lang w:val="en-US" w:eastAsia="zh-CN"/>
        </w:rPr>
        <w:t>10，2010年8月1日起施行）</w:t>
      </w:r>
      <w:r>
        <w:rPr>
          <w:rFonts w:hint="eastAsia"/>
          <w:color w:val="auto"/>
          <w:lang w:eastAsia="zh-CN"/>
        </w:rPr>
        <w:t>；</w:t>
      </w:r>
    </w:p>
    <w:p w14:paraId="00EC875D">
      <w:pPr>
        <w:bidi w:val="0"/>
        <w:rPr>
          <w:color w:val="auto"/>
        </w:rPr>
      </w:pPr>
      <w:r>
        <w:rPr>
          <w:rFonts w:hint="eastAsia"/>
          <w:color w:val="auto"/>
          <w:lang w:val="en-US" w:eastAsia="zh-CN"/>
        </w:rPr>
        <w:t>46、</w:t>
      </w:r>
      <w:r>
        <w:rPr>
          <w:color w:val="auto"/>
        </w:rPr>
        <w:t>《工作场所有害因素职业接触限值第1部分：化学有害因素》（GBZ2.1-2019，自2020年04月01日起施行）；</w:t>
      </w:r>
    </w:p>
    <w:p w14:paraId="755B7CB1">
      <w:pPr>
        <w:bidi w:val="0"/>
        <w:rPr>
          <w:rFonts w:hint="eastAsia"/>
          <w:color w:val="auto"/>
          <w:lang w:val="en-US" w:eastAsia="zh-CN"/>
        </w:rPr>
      </w:pPr>
      <w:r>
        <w:rPr>
          <w:rFonts w:hint="eastAsia"/>
          <w:color w:val="auto"/>
          <w:lang w:val="en-US" w:eastAsia="zh-CN"/>
        </w:rPr>
        <w:t>47、《金属非金属矿山排土场安全生产规则》（AQ2005-2005，2005年5月1日实施）；</w:t>
      </w:r>
    </w:p>
    <w:p w14:paraId="5EE4A1ED">
      <w:pPr>
        <w:bidi w:val="0"/>
        <w:rPr>
          <w:rFonts w:hint="eastAsia"/>
          <w:color w:val="auto"/>
          <w:lang w:val="sq-AL" w:eastAsia="zh-CN"/>
        </w:rPr>
      </w:pPr>
      <w:r>
        <w:rPr>
          <w:rFonts w:hint="eastAsia"/>
          <w:color w:val="auto"/>
          <w:lang w:val="en-US" w:eastAsia="zh-CN"/>
        </w:rPr>
        <w:t>48、</w:t>
      </w:r>
      <w:r>
        <w:rPr>
          <w:rFonts w:hint="eastAsia"/>
          <w:color w:val="auto"/>
        </w:rPr>
        <w:t>《安全评价通则》</w:t>
      </w:r>
      <w:r>
        <w:rPr>
          <w:rFonts w:hint="eastAsia"/>
          <w:color w:val="auto"/>
          <w:lang w:eastAsia="zh-CN"/>
        </w:rPr>
        <w:t>（</w:t>
      </w:r>
      <w:r>
        <w:rPr>
          <w:color w:val="auto"/>
        </w:rPr>
        <w:t>AQ8001-2007</w:t>
      </w:r>
      <w:r>
        <w:rPr>
          <w:rFonts w:hint="eastAsia"/>
          <w:color w:val="auto"/>
          <w:lang w:eastAsia="zh-CN"/>
        </w:rPr>
        <w:t>，</w:t>
      </w:r>
      <w:r>
        <w:rPr>
          <w:rFonts w:hint="eastAsia"/>
          <w:color w:val="auto"/>
          <w:lang w:val="en-US" w:eastAsia="zh-CN"/>
        </w:rPr>
        <w:t>2007</w:t>
      </w:r>
      <w:r>
        <w:rPr>
          <w:rFonts w:hint="eastAsia"/>
          <w:color w:val="auto"/>
          <w:lang w:val="sq-AL" w:eastAsia="zh-CN"/>
        </w:rPr>
        <w:t>年</w:t>
      </w:r>
      <w:r>
        <w:rPr>
          <w:rFonts w:hint="eastAsia"/>
          <w:color w:val="auto"/>
          <w:lang w:val="en-US" w:eastAsia="zh-CN"/>
        </w:rPr>
        <w:t>4</w:t>
      </w:r>
      <w:r>
        <w:rPr>
          <w:rFonts w:hint="eastAsia"/>
          <w:color w:val="auto"/>
          <w:lang w:val="sq-AL" w:eastAsia="zh-CN"/>
        </w:rPr>
        <w:t>月</w:t>
      </w:r>
      <w:r>
        <w:rPr>
          <w:rFonts w:hint="eastAsia"/>
          <w:color w:val="auto"/>
          <w:lang w:val="en-US" w:eastAsia="zh-CN"/>
        </w:rPr>
        <w:t>1</w:t>
      </w:r>
      <w:r>
        <w:rPr>
          <w:rFonts w:hint="eastAsia"/>
          <w:color w:val="auto"/>
          <w:lang w:val="sq-AL" w:eastAsia="zh-CN"/>
        </w:rPr>
        <w:t>日实施）；</w:t>
      </w:r>
    </w:p>
    <w:p w14:paraId="28C13EC8">
      <w:pPr>
        <w:bidi w:val="0"/>
        <w:rPr>
          <w:rFonts w:hint="eastAsia"/>
          <w:color w:val="auto"/>
          <w:lang w:val="en-US" w:eastAsia="zh-CN"/>
        </w:rPr>
      </w:pPr>
      <w:r>
        <w:rPr>
          <w:rFonts w:hint="eastAsia"/>
          <w:color w:val="auto"/>
          <w:lang w:val="en-US" w:eastAsia="zh-CN"/>
        </w:rPr>
        <w:t>49、</w:t>
      </w:r>
      <w:r>
        <w:rPr>
          <w:rFonts w:hint="eastAsia"/>
          <w:color w:val="auto"/>
        </w:rPr>
        <w:t>《安全</w:t>
      </w:r>
      <w:r>
        <w:rPr>
          <w:rFonts w:hint="eastAsia"/>
          <w:color w:val="auto"/>
          <w:lang w:val="en-US" w:eastAsia="zh-CN"/>
        </w:rPr>
        <w:t>验收</w:t>
      </w:r>
      <w:r>
        <w:rPr>
          <w:rFonts w:hint="eastAsia"/>
          <w:color w:val="auto"/>
        </w:rPr>
        <w:t>评价导则》</w:t>
      </w:r>
      <w:r>
        <w:rPr>
          <w:rFonts w:hint="eastAsia"/>
          <w:color w:val="auto"/>
          <w:lang w:eastAsia="zh-CN"/>
        </w:rPr>
        <w:t>（</w:t>
      </w:r>
      <w:r>
        <w:rPr>
          <w:color w:val="auto"/>
        </w:rPr>
        <w:t>AQ800</w:t>
      </w:r>
      <w:r>
        <w:rPr>
          <w:rFonts w:hint="eastAsia"/>
          <w:color w:val="auto"/>
          <w:lang w:val="en-US" w:eastAsia="zh-CN"/>
        </w:rPr>
        <w:t>3</w:t>
      </w:r>
      <w:r>
        <w:rPr>
          <w:color w:val="auto"/>
        </w:rPr>
        <w:t>-2007</w:t>
      </w:r>
      <w:r>
        <w:rPr>
          <w:rFonts w:hint="eastAsia"/>
          <w:color w:val="auto"/>
          <w:lang w:eastAsia="zh-CN"/>
        </w:rPr>
        <w:t>，</w:t>
      </w:r>
      <w:r>
        <w:rPr>
          <w:rFonts w:hint="eastAsia"/>
          <w:color w:val="auto"/>
          <w:lang w:val="en-US" w:eastAsia="zh-CN"/>
        </w:rPr>
        <w:t>2007</w:t>
      </w:r>
      <w:r>
        <w:rPr>
          <w:rFonts w:hint="eastAsia"/>
          <w:color w:val="auto"/>
          <w:lang w:val="sq-AL" w:eastAsia="zh-CN"/>
        </w:rPr>
        <w:t>年</w:t>
      </w:r>
      <w:r>
        <w:rPr>
          <w:rFonts w:hint="eastAsia"/>
          <w:color w:val="auto"/>
          <w:lang w:val="en-US" w:eastAsia="zh-CN"/>
        </w:rPr>
        <w:t>4</w:t>
      </w:r>
      <w:r>
        <w:rPr>
          <w:rFonts w:hint="eastAsia"/>
          <w:color w:val="auto"/>
          <w:lang w:val="sq-AL" w:eastAsia="zh-CN"/>
        </w:rPr>
        <w:t>月</w:t>
      </w:r>
      <w:r>
        <w:rPr>
          <w:rFonts w:hint="eastAsia"/>
          <w:color w:val="auto"/>
          <w:lang w:val="en-US" w:eastAsia="zh-CN"/>
        </w:rPr>
        <w:t>1</w:t>
      </w:r>
      <w:r>
        <w:rPr>
          <w:rFonts w:hint="eastAsia"/>
          <w:color w:val="auto"/>
          <w:lang w:val="sq-AL" w:eastAsia="zh-CN"/>
        </w:rPr>
        <w:t>日实施）；</w:t>
      </w:r>
    </w:p>
    <w:p w14:paraId="7E96CA24">
      <w:pPr>
        <w:bidi w:val="0"/>
        <w:rPr>
          <w:color w:val="auto"/>
        </w:rPr>
      </w:pPr>
      <w:r>
        <w:rPr>
          <w:rFonts w:hint="eastAsia"/>
          <w:color w:val="auto"/>
          <w:lang w:val="en-US" w:eastAsia="zh-CN"/>
        </w:rPr>
        <w:t>50、</w:t>
      </w:r>
      <w:r>
        <w:rPr>
          <w:color w:val="auto"/>
        </w:rPr>
        <w:t>《金属非金属露天矿山在用矿用自卸汽车安全检验规范》</w:t>
      </w:r>
      <w:r>
        <w:rPr>
          <w:rFonts w:hint="eastAsia"/>
          <w:color w:val="auto"/>
          <w:lang w:eastAsia="zh-CN"/>
        </w:rPr>
        <w:t>（</w:t>
      </w:r>
      <w:r>
        <w:rPr>
          <w:color w:val="auto"/>
        </w:rPr>
        <w:t>AQ2027-2010，自2011年5月1日实施</w:t>
      </w:r>
      <w:r>
        <w:rPr>
          <w:rFonts w:hint="eastAsia"/>
          <w:color w:val="auto"/>
          <w:lang w:eastAsia="zh-CN"/>
        </w:rPr>
        <w:t>）</w:t>
      </w:r>
      <w:r>
        <w:rPr>
          <w:color w:val="auto"/>
        </w:rPr>
        <w:t>；</w:t>
      </w:r>
    </w:p>
    <w:p w14:paraId="1CFB7064">
      <w:pPr>
        <w:bidi w:val="0"/>
        <w:rPr>
          <w:color w:val="auto"/>
        </w:rPr>
      </w:pPr>
      <w:r>
        <w:rPr>
          <w:rFonts w:hint="eastAsia"/>
          <w:color w:val="auto"/>
          <w:lang w:val="en-US" w:eastAsia="zh-CN"/>
        </w:rPr>
        <w:t>51、</w:t>
      </w:r>
      <w:r>
        <w:rPr>
          <w:color w:val="auto"/>
        </w:rPr>
        <w:t>《</w:t>
      </w:r>
      <w:r>
        <w:rPr>
          <w:rFonts w:ascii="Times New Roman" w:hAnsi="Times New Roman"/>
          <w:color w:val="auto"/>
        </w:rPr>
        <w:t>金属非金属矿山在用空气压缩机安全检验规范第2部分：移动式空气压缩机》（AQ2056-2016，2017年3月1日实施）；</w:t>
      </w:r>
    </w:p>
    <w:p w14:paraId="1BD916E8">
      <w:pPr>
        <w:bidi w:val="0"/>
        <w:rPr>
          <w:rFonts w:hint="eastAsia"/>
          <w:color w:val="auto"/>
          <w:lang w:eastAsia="zh-CN"/>
        </w:rPr>
      </w:pPr>
      <w:r>
        <w:rPr>
          <w:rFonts w:hint="eastAsia"/>
          <w:color w:val="auto"/>
          <w:lang w:val="en-US" w:eastAsia="zh-CN"/>
        </w:rPr>
        <w:t>52、</w:t>
      </w:r>
      <w:r>
        <w:rPr>
          <w:rFonts w:hint="eastAsia"/>
          <w:color w:val="auto"/>
        </w:rPr>
        <w:t>《个体防护装备安全管理规范》</w:t>
      </w:r>
      <w:r>
        <w:rPr>
          <w:rFonts w:hint="eastAsia"/>
          <w:color w:val="auto"/>
          <w:lang w:eastAsia="zh-CN"/>
        </w:rPr>
        <w:t>（</w:t>
      </w:r>
      <w:r>
        <w:rPr>
          <w:rFonts w:hint="eastAsia"/>
          <w:color w:val="auto"/>
        </w:rPr>
        <w:t>AQ6111</w:t>
      </w:r>
      <w:r>
        <w:rPr>
          <w:rFonts w:hint="eastAsia"/>
          <w:color w:val="auto"/>
          <w:lang w:val="en-US" w:eastAsia="zh-CN"/>
        </w:rPr>
        <w:t>-2023</w:t>
      </w:r>
      <w:r>
        <w:rPr>
          <w:rFonts w:hint="eastAsia"/>
          <w:color w:val="auto"/>
          <w:lang w:eastAsia="zh-CN"/>
        </w:rPr>
        <w:t>，</w:t>
      </w:r>
      <w:r>
        <w:rPr>
          <w:rFonts w:hint="eastAsia"/>
          <w:color w:val="auto"/>
        </w:rPr>
        <w:t>2025年1月1日实施</w:t>
      </w:r>
      <w:r>
        <w:rPr>
          <w:rFonts w:hint="eastAsia"/>
          <w:color w:val="auto"/>
          <w:lang w:eastAsia="zh-CN"/>
        </w:rPr>
        <w:t>）；</w:t>
      </w:r>
    </w:p>
    <w:p w14:paraId="160BF4F8">
      <w:pPr>
        <w:bidi w:val="0"/>
        <w:rPr>
          <w:color w:val="auto"/>
        </w:rPr>
      </w:pPr>
      <w:r>
        <w:rPr>
          <w:rFonts w:hint="eastAsia"/>
          <w:color w:val="auto"/>
          <w:lang w:val="en-US" w:eastAsia="zh-CN"/>
        </w:rPr>
        <w:t>53、</w:t>
      </w:r>
      <w:r>
        <w:rPr>
          <w:color w:val="auto"/>
        </w:rPr>
        <w:t>《生产经营单位生产安全事故应急预案评估指南》（</w:t>
      </w:r>
      <w:r>
        <w:rPr>
          <w:rFonts w:hint="eastAsia"/>
          <w:color w:val="auto"/>
          <w:lang w:val="en-US" w:eastAsia="zh-CN"/>
        </w:rPr>
        <w:t>YJ</w:t>
      </w:r>
      <w:r>
        <w:rPr>
          <w:color w:val="auto"/>
        </w:rPr>
        <w:t>∕T9011-2019，2019年8月12日发布，2020年2月1日实施）；</w:t>
      </w:r>
    </w:p>
    <w:p w14:paraId="39DAFE31">
      <w:pPr>
        <w:bidi w:val="0"/>
        <w:rPr>
          <w:color w:val="auto"/>
        </w:rPr>
      </w:pPr>
      <w:r>
        <w:rPr>
          <w:rFonts w:hint="eastAsia"/>
          <w:color w:val="auto"/>
          <w:lang w:val="en-US" w:eastAsia="zh-CN"/>
        </w:rPr>
        <w:t>54、</w:t>
      </w:r>
      <w:r>
        <w:rPr>
          <w:color w:val="auto"/>
        </w:rPr>
        <w:t>《生产安全事故应急演练基本规范》（</w:t>
      </w:r>
      <w:r>
        <w:rPr>
          <w:rFonts w:hint="eastAsia"/>
          <w:color w:val="auto"/>
          <w:lang w:val="en-US" w:eastAsia="zh-CN"/>
        </w:rPr>
        <w:t>YJ</w:t>
      </w:r>
      <w:r>
        <w:rPr>
          <w:color w:val="auto"/>
        </w:rPr>
        <w:t>∕T9007-2019，2019年8月12日发布，2020年2月1日实施）；</w:t>
      </w:r>
    </w:p>
    <w:p w14:paraId="5229C84B">
      <w:pPr>
        <w:bidi w:val="0"/>
        <w:rPr>
          <w:rFonts w:hint="eastAsia"/>
          <w:color w:val="auto"/>
          <w:lang w:val="sq-AL" w:eastAsia="zh-CN"/>
        </w:rPr>
      </w:pPr>
      <w:r>
        <w:rPr>
          <w:rFonts w:hint="eastAsia"/>
          <w:color w:val="auto"/>
          <w:lang w:val="en-US" w:eastAsia="zh-CN"/>
        </w:rPr>
        <w:t>55、</w:t>
      </w:r>
      <w:r>
        <w:rPr>
          <w:rFonts w:hint="eastAsia"/>
          <w:color w:val="auto"/>
        </w:rPr>
        <w:t>《金属非金属矿山安全标准化规范导则》</w:t>
      </w:r>
      <w:r>
        <w:rPr>
          <w:rFonts w:hint="eastAsia"/>
          <w:color w:val="auto"/>
          <w:lang w:eastAsia="zh-CN"/>
        </w:rPr>
        <w:t>（</w:t>
      </w:r>
      <w:r>
        <w:rPr>
          <w:color w:val="auto"/>
        </w:rPr>
        <w:t>KA/T2050.1-2016</w:t>
      </w:r>
      <w:r>
        <w:rPr>
          <w:rFonts w:hint="eastAsia"/>
          <w:color w:val="auto"/>
          <w:lang w:eastAsia="zh-CN"/>
        </w:rPr>
        <w:t>，</w:t>
      </w:r>
      <w:r>
        <w:rPr>
          <w:rFonts w:hint="eastAsia"/>
          <w:color w:val="auto"/>
          <w:lang w:val="en-US" w:eastAsia="zh-CN"/>
        </w:rPr>
        <w:t>2017</w:t>
      </w:r>
      <w:r>
        <w:rPr>
          <w:rFonts w:hint="eastAsia"/>
          <w:color w:val="auto"/>
          <w:lang w:val="sq-AL" w:eastAsia="zh-CN"/>
        </w:rPr>
        <w:t>年</w:t>
      </w:r>
      <w:r>
        <w:rPr>
          <w:rFonts w:hint="eastAsia"/>
          <w:color w:val="auto"/>
          <w:lang w:val="en-US" w:eastAsia="zh-CN"/>
        </w:rPr>
        <w:t>3</w:t>
      </w:r>
      <w:r>
        <w:rPr>
          <w:rFonts w:hint="eastAsia"/>
          <w:color w:val="auto"/>
          <w:lang w:val="sq-AL" w:eastAsia="zh-CN"/>
        </w:rPr>
        <w:t>月</w:t>
      </w:r>
      <w:r>
        <w:rPr>
          <w:rFonts w:hint="eastAsia"/>
          <w:color w:val="auto"/>
          <w:lang w:val="en-US" w:eastAsia="zh-CN"/>
        </w:rPr>
        <w:t>1</w:t>
      </w:r>
      <w:r>
        <w:rPr>
          <w:rFonts w:hint="eastAsia"/>
          <w:color w:val="auto"/>
          <w:lang w:val="sq-AL" w:eastAsia="zh-CN"/>
        </w:rPr>
        <w:t>日实施）；</w:t>
      </w:r>
    </w:p>
    <w:p w14:paraId="78229917">
      <w:pPr>
        <w:bidi w:val="0"/>
        <w:rPr>
          <w:rFonts w:hint="eastAsia"/>
          <w:color w:val="auto"/>
          <w:lang w:val="sq-AL" w:eastAsia="zh-CN"/>
        </w:rPr>
      </w:pPr>
      <w:r>
        <w:rPr>
          <w:rFonts w:hint="eastAsia"/>
          <w:color w:val="auto"/>
          <w:lang w:val="en-US" w:eastAsia="zh-CN"/>
        </w:rPr>
        <w:t>56、</w:t>
      </w:r>
      <w:r>
        <w:rPr>
          <w:rFonts w:hint="eastAsia"/>
          <w:color w:val="auto"/>
        </w:rPr>
        <w:t>《金属非金属矿山安全标准化规范露天矿山实施指南》</w:t>
      </w:r>
      <w:r>
        <w:rPr>
          <w:rFonts w:hint="eastAsia"/>
          <w:color w:val="auto"/>
          <w:lang w:eastAsia="zh-CN"/>
        </w:rPr>
        <w:t>（</w:t>
      </w:r>
      <w:r>
        <w:rPr>
          <w:color w:val="auto"/>
        </w:rPr>
        <w:t>KA/T2050.3-2016</w:t>
      </w:r>
      <w:r>
        <w:rPr>
          <w:rFonts w:hint="eastAsia"/>
          <w:color w:val="auto"/>
          <w:lang w:eastAsia="zh-CN"/>
        </w:rPr>
        <w:t>，</w:t>
      </w:r>
      <w:r>
        <w:rPr>
          <w:rFonts w:hint="eastAsia"/>
          <w:color w:val="auto"/>
          <w:lang w:val="en-US" w:eastAsia="zh-CN"/>
        </w:rPr>
        <w:t>2017</w:t>
      </w:r>
      <w:r>
        <w:rPr>
          <w:rFonts w:hint="eastAsia"/>
          <w:color w:val="auto"/>
          <w:lang w:val="sq-AL" w:eastAsia="zh-CN"/>
        </w:rPr>
        <w:t>年</w:t>
      </w:r>
      <w:r>
        <w:rPr>
          <w:rFonts w:hint="eastAsia"/>
          <w:color w:val="auto"/>
          <w:lang w:val="en-US" w:eastAsia="zh-CN"/>
        </w:rPr>
        <w:t>3</w:t>
      </w:r>
      <w:r>
        <w:rPr>
          <w:rFonts w:hint="eastAsia"/>
          <w:color w:val="auto"/>
          <w:lang w:val="sq-AL" w:eastAsia="zh-CN"/>
        </w:rPr>
        <w:t>月</w:t>
      </w:r>
      <w:r>
        <w:rPr>
          <w:rFonts w:hint="eastAsia"/>
          <w:color w:val="auto"/>
          <w:lang w:val="en-US" w:eastAsia="zh-CN"/>
        </w:rPr>
        <w:t>1</w:t>
      </w:r>
      <w:r>
        <w:rPr>
          <w:rFonts w:hint="eastAsia"/>
          <w:color w:val="auto"/>
          <w:lang w:val="sq-AL" w:eastAsia="zh-CN"/>
        </w:rPr>
        <w:t>日实施）；</w:t>
      </w:r>
    </w:p>
    <w:p w14:paraId="36FBC5DC">
      <w:pPr>
        <w:bidi w:val="0"/>
        <w:rPr>
          <w:rFonts w:hint="eastAsia"/>
          <w:color w:val="auto"/>
          <w:lang w:val="en-US" w:eastAsia="zh-CN"/>
        </w:rPr>
      </w:pPr>
      <w:r>
        <w:rPr>
          <w:rFonts w:hint="eastAsia"/>
          <w:color w:val="auto"/>
          <w:lang w:val="en-US" w:eastAsia="zh-CN"/>
        </w:rPr>
        <w:t>57、《</w:t>
      </w:r>
      <w:r>
        <w:rPr>
          <w:rFonts w:hint="default"/>
          <w:color w:val="auto"/>
        </w:rPr>
        <w:t>金属非金属露天矿山高陡边坡安全监测技术规范</w:t>
      </w:r>
      <w:r>
        <w:rPr>
          <w:rFonts w:hint="eastAsia"/>
          <w:color w:val="auto"/>
          <w:lang w:eastAsia="zh-CN"/>
        </w:rPr>
        <w:t>》（</w:t>
      </w:r>
      <w:r>
        <w:rPr>
          <w:color w:val="auto"/>
        </w:rPr>
        <w:t>KA/T20</w:t>
      </w:r>
      <w:r>
        <w:rPr>
          <w:rFonts w:hint="eastAsia"/>
          <w:color w:val="auto"/>
          <w:lang w:val="en-US" w:eastAsia="zh-CN"/>
        </w:rPr>
        <w:t>63-2018，2018年12月1日实施）；</w:t>
      </w:r>
    </w:p>
    <w:p w14:paraId="4FA9C352">
      <w:pPr>
        <w:bidi w:val="0"/>
        <w:rPr>
          <w:rFonts w:hint="eastAsia"/>
          <w:color w:val="auto"/>
          <w:lang w:val="sq-AL" w:eastAsia="zh-CN"/>
        </w:rPr>
      </w:pPr>
      <w:r>
        <w:rPr>
          <w:rFonts w:hint="eastAsia"/>
          <w:color w:val="auto"/>
          <w:lang w:val="en-US" w:eastAsia="zh-CN"/>
        </w:rPr>
        <w:t>58、</w:t>
      </w:r>
      <w:r>
        <w:rPr>
          <w:rFonts w:hint="eastAsia"/>
          <w:color w:val="auto"/>
        </w:rPr>
        <w:t>《金属非金属矿山在用设备设施安全检测检验目录》</w:t>
      </w:r>
      <w:r>
        <w:rPr>
          <w:rFonts w:hint="eastAsia"/>
          <w:color w:val="auto"/>
          <w:lang w:eastAsia="zh-CN"/>
        </w:rPr>
        <w:t>（</w:t>
      </w:r>
      <w:r>
        <w:rPr>
          <w:color w:val="auto"/>
        </w:rPr>
        <w:t>KA/T2075-2019</w:t>
      </w:r>
      <w:r>
        <w:rPr>
          <w:rFonts w:hint="eastAsia"/>
          <w:color w:val="auto"/>
          <w:lang w:eastAsia="zh-CN"/>
        </w:rPr>
        <w:t>，</w:t>
      </w:r>
      <w:r>
        <w:rPr>
          <w:rFonts w:hint="eastAsia"/>
          <w:color w:val="auto"/>
          <w:lang w:val="en-US" w:eastAsia="zh-CN"/>
        </w:rPr>
        <w:t>2020</w:t>
      </w:r>
      <w:r>
        <w:rPr>
          <w:rFonts w:hint="eastAsia"/>
          <w:color w:val="auto"/>
          <w:lang w:val="sq-AL" w:eastAsia="zh-CN"/>
        </w:rPr>
        <w:t>年</w:t>
      </w:r>
      <w:r>
        <w:rPr>
          <w:rFonts w:hint="eastAsia"/>
          <w:color w:val="auto"/>
          <w:lang w:val="en-US" w:eastAsia="zh-CN"/>
        </w:rPr>
        <w:t>2</w:t>
      </w:r>
      <w:r>
        <w:rPr>
          <w:rFonts w:hint="eastAsia"/>
          <w:color w:val="auto"/>
          <w:lang w:val="sq-AL" w:eastAsia="zh-CN"/>
        </w:rPr>
        <w:t>月</w:t>
      </w:r>
      <w:r>
        <w:rPr>
          <w:rFonts w:hint="eastAsia"/>
          <w:color w:val="auto"/>
          <w:lang w:val="en-US" w:eastAsia="zh-CN"/>
        </w:rPr>
        <w:t>1</w:t>
      </w:r>
      <w:r>
        <w:rPr>
          <w:rFonts w:hint="eastAsia"/>
          <w:color w:val="auto"/>
          <w:lang w:val="sq-AL" w:eastAsia="zh-CN"/>
        </w:rPr>
        <w:t>日实施）；</w:t>
      </w:r>
    </w:p>
    <w:p w14:paraId="1BD3DB18">
      <w:pPr>
        <w:bidi w:val="0"/>
        <w:rPr>
          <w:rFonts w:hint="default"/>
          <w:color w:val="auto"/>
          <w:lang w:val="en-US" w:eastAsia="zh-CN"/>
        </w:rPr>
      </w:pPr>
      <w:r>
        <w:rPr>
          <w:rFonts w:hint="eastAsia"/>
          <w:color w:val="auto"/>
          <w:lang w:val="en-US" w:eastAsia="zh-CN"/>
        </w:rPr>
        <w:t>59、</w:t>
      </w:r>
      <w:r>
        <w:rPr>
          <w:rFonts w:hint="default"/>
          <w:color w:val="auto"/>
        </w:rPr>
        <w:t>矿山隐蔽致灾因素普查规范第1部分</w:t>
      </w:r>
      <w:r>
        <w:rPr>
          <w:rFonts w:hint="eastAsia"/>
          <w:color w:val="auto"/>
          <w:lang w:val="en-US" w:eastAsia="zh-CN"/>
        </w:rPr>
        <w:t>:</w:t>
      </w:r>
      <w:r>
        <w:rPr>
          <w:rFonts w:hint="default"/>
          <w:color w:val="auto"/>
        </w:rPr>
        <w:t>总则</w:t>
      </w:r>
      <w:r>
        <w:rPr>
          <w:rFonts w:hint="eastAsia"/>
          <w:color w:val="auto"/>
          <w:lang w:eastAsia="zh-CN"/>
        </w:rPr>
        <w:t>（</w:t>
      </w:r>
      <w:r>
        <w:rPr>
          <w:rFonts w:hint="eastAsia"/>
          <w:color w:val="auto"/>
        </w:rPr>
        <w:t>KA/T22.</w:t>
      </w:r>
      <w:r>
        <w:rPr>
          <w:rFonts w:hint="eastAsia"/>
          <w:color w:val="auto"/>
          <w:lang w:val="en-US" w:eastAsia="zh-CN"/>
        </w:rPr>
        <w:t>1</w:t>
      </w:r>
      <w:r>
        <w:rPr>
          <w:rFonts w:hint="eastAsia"/>
          <w:color w:val="auto"/>
        </w:rPr>
        <w:t>-2024</w:t>
      </w:r>
      <w:r>
        <w:rPr>
          <w:rFonts w:hint="eastAsia"/>
          <w:color w:val="auto"/>
          <w:lang w:eastAsia="zh-CN"/>
        </w:rPr>
        <w:t>）</w:t>
      </w:r>
      <w:r>
        <w:rPr>
          <w:rFonts w:hint="eastAsia"/>
          <w:color w:val="auto"/>
          <w:lang w:val="sq-AL" w:eastAsia="zh-CN"/>
        </w:rPr>
        <w:t>；</w:t>
      </w:r>
    </w:p>
    <w:p w14:paraId="4F135EDD">
      <w:pPr>
        <w:bidi w:val="0"/>
        <w:rPr>
          <w:rFonts w:hint="eastAsia"/>
          <w:color w:val="auto"/>
          <w:lang w:val="sq-AL" w:eastAsia="zh-CN"/>
        </w:rPr>
      </w:pPr>
      <w:r>
        <w:rPr>
          <w:rFonts w:hint="eastAsia"/>
          <w:color w:val="auto"/>
          <w:lang w:val="en-US" w:eastAsia="zh-CN"/>
        </w:rPr>
        <w:t>60、</w:t>
      </w:r>
      <w:r>
        <w:rPr>
          <w:rFonts w:hint="default"/>
          <w:color w:val="auto"/>
        </w:rPr>
        <w:fldChar w:fldCharType="begin"/>
      </w:r>
      <w:r>
        <w:rPr>
          <w:rFonts w:hint="default"/>
          <w:color w:val="auto"/>
        </w:rPr>
        <w:instrText xml:space="preserve"> HYPERLINK "https://mp.weixin.qq.com/s?__biz=Mzg3NTk3ODE4MQ==&amp;mid=2247522915&amp;idx=1&amp;sn=d3ee9710713aaa43c0c8ec803026f309&amp;scene=21" \l "wechat_redirect" \t "https://mp.weixin.qq.com/_blank" </w:instrText>
      </w:r>
      <w:r>
        <w:rPr>
          <w:rFonts w:hint="default"/>
          <w:color w:val="auto"/>
        </w:rPr>
        <w:fldChar w:fldCharType="separate"/>
      </w:r>
      <w:r>
        <w:rPr>
          <w:rStyle w:val="39"/>
          <w:rFonts w:hint="default" w:ascii="Arial" w:hAnsi="Arial" w:eastAsia="Arial" w:cs="Arial"/>
          <w:i w:val="0"/>
          <w:iCs w:val="0"/>
          <w:caps w:val="0"/>
          <w:color w:val="auto"/>
          <w:spacing w:val="0"/>
          <w:szCs w:val="24"/>
          <w:u w:val="none"/>
          <w:shd w:val="clear" w:color="auto" w:fill="FFFFFF"/>
        </w:rPr>
        <w:t>矿山隐蔽致灾因素普查规范</w:t>
      </w:r>
      <w:r>
        <w:rPr>
          <w:rFonts w:hint="default"/>
          <w:color w:val="auto"/>
        </w:rPr>
        <w:fldChar w:fldCharType="end"/>
      </w:r>
      <w:r>
        <w:rPr>
          <w:rFonts w:hint="default"/>
          <w:color w:val="auto"/>
        </w:rPr>
        <w:t> 第3部分</w:t>
      </w:r>
      <w:r>
        <w:rPr>
          <w:rFonts w:hint="eastAsia"/>
          <w:color w:val="auto"/>
          <w:lang w:val="en-US" w:eastAsia="zh-CN"/>
        </w:rPr>
        <w:t>:</w:t>
      </w:r>
      <w:r>
        <w:rPr>
          <w:rFonts w:hint="default"/>
          <w:color w:val="auto"/>
        </w:rPr>
        <w:t>金属非金属矿山及尾矿库</w:t>
      </w:r>
      <w:r>
        <w:rPr>
          <w:rFonts w:hint="eastAsia"/>
          <w:color w:val="auto"/>
          <w:lang w:eastAsia="zh-CN"/>
        </w:rPr>
        <w:t>（</w:t>
      </w:r>
      <w:r>
        <w:rPr>
          <w:rFonts w:hint="eastAsia"/>
          <w:color w:val="auto"/>
        </w:rPr>
        <w:t>KA/T22.3-2024</w:t>
      </w:r>
      <w:r>
        <w:rPr>
          <w:rFonts w:hint="eastAsia"/>
          <w:color w:val="auto"/>
          <w:lang w:eastAsia="zh-CN"/>
        </w:rPr>
        <w:t>）</w:t>
      </w:r>
      <w:r>
        <w:rPr>
          <w:rFonts w:hint="eastAsia"/>
          <w:color w:val="auto"/>
          <w:lang w:val="sq-AL" w:eastAsia="zh-CN"/>
        </w:rPr>
        <w:t>；</w:t>
      </w:r>
    </w:p>
    <w:p w14:paraId="72D31174">
      <w:pPr>
        <w:bidi w:val="0"/>
        <w:rPr>
          <w:rFonts w:hint="eastAsia"/>
          <w:color w:val="auto"/>
          <w:lang w:eastAsia="zh-CN"/>
        </w:rPr>
      </w:pPr>
      <w:r>
        <w:rPr>
          <w:rFonts w:hint="eastAsia"/>
          <w:color w:val="auto"/>
          <w:lang w:val="en-US" w:eastAsia="zh-CN"/>
        </w:rPr>
        <w:t>61、</w:t>
      </w:r>
      <w:r>
        <w:rPr>
          <w:rFonts w:hint="eastAsia"/>
          <w:color w:val="auto"/>
          <w:lang w:val="sq-AL" w:eastAsia="zh-CN"/>
        </w:rPr>
        <w:t>《电力变压器运行规程》（DL/T572-20</w:t>
      </w:r>
      <w:r>
        <w:rPr>
          <w:rFonts w:hint="eastAsia"/>
          <w:color w:val="auto"/>
          <w:lang w:val="en-US" w:eastAsia="zh-CN"/>
        </w:rPr>
        <w:t>21</w:t>
      </w:r>
      <w:r>
        <w:rPr>
          <w:rFonts w:hint="eastAsia"/>
          <w:color w:val="auto"/>
          <w:lang w:val="sq-AL" w:eastAsia="zh-CN"/>
        </w:rPr>
        <w:t>，</w:t>
      </w:r>
      <w:r>
        <w:rPr>
          <w:rFonts w:hint="eastAsia"/>
          <w:color w:val="auto"/>
          <w:lang w:val="en-US" w:eastAsia="zh-CN"/>
        </w:rPr>
        <w:t>2021</w:t>
      </w:r>
      <w:r>
        <w:rPr>
          <w:rFonts w:hint="eastAsia"/>
          <w:color w:val="auto"/>
          <w:lang w:val="sq-AL" w:eastAsia="zh-CN"/>
        </w:rPr>
        <w:t>年</w:t>
      </w:r>
      <w:r>
        <w:rPr>
          <w:rFonts w:hint="eastAsia"/>
          <w:color w:val="auto"/>
          <w:lang w:val="en-US" w:eastAsia="zh-CN"/>
        </w:rPr>
        <w:t>10</w:t>
      </w:r>
      <w:r>
        <w:rPr>
          <w:rFonts w:hint="eastAsia"/>
          <w:color w:val="auto"/>
          <w:lang w:val="sq-AL" w:eastAsia="zh-CN"/>
        </w:rPr>
        <w:t>月</w:t>
      </w:r>
      <w:r>
        <w:rPr>
          <w:rFonts w:hint="eastAsia"/>
          <w:color w:val="auto"/>
          <w:lang w:val="en-US" w:eastAsia="zh-CN"/>
        </w:rPr>
        <w:t>26</w:t>
      </w:r>
      <w:r>
        <w:rPr>
          <w:rFonts w:hint="eastAsia"/>
          <w:color w:val="auto"/>
          <w:lang w:val="sq-AL" w:eastAsia="zh-CN"/>
        </w:rPr>
        <w:t>日实施）</w:t>
      </w:r>
      <w:r>
        <w:rPr>
          <w:rFonts w:hint="eastAsia"/>
          <w:color w:val="auto"/>
          <w:lang w:eastAsia="zh-CN"/>
        </w:rPr>
        <w:t>。</w:t>
      </w:r>
    </w:p>
    <w:bookmarkEnd w:id="61"/>
    <w:p w14:paraId="5ED31EC7">
      <w:pPr>
        <w:pStyle w:val="4"/>
        <w:bidi w:val="0"/>
      </w:pPr>
      <w:bookmarkStart w:id="78" w:name="_Toc30415"/>
      <w:bookmarkStart w:id="79" w:name="_Toc214283991"/>
      <w:bookmarkStart w:id="80" w:name="_Toc3971"/>
      <w:r>
        <w:t>1.2.3建设项目合法证明文件</w:t>
      </w:r>
      <w:bookmarkEnd w:id="78"/>
      <w:bookmarkEnd w:id="79"/>
      <w:bookmarkEnd w:id="80"/>
    </w:p>
    <w:p w14:paraId="4306D1A8">
      <w:pPr>
        <w:bidi w:val="0"/>
        <w:rPr>
          <w:rFonts w:hint="eastAsia"/>
          <w:lang w:eastAsia="zh-CN"/>
        </w:rPr>
      </w:pPr>
      <w:bookmarkStart w:id="81" w:name="_Toc214283992"/>
      <w:bookmarkStart w:id="82" w:name="_Toc503469782"/>
      <w:bookmarkStart w:id="83" w:name="_Toc501120266"/>
      <w:r>
        <w:rPr>
          <w:rFonts w:hint="eastAsia"/>
          <w:lang w:val="en-US" w:eastAsia="zh-CN"/>
        </w:rPr>
        <w:t>1</w:t>
      </w:r>
      <w:r>
        <w:rPr>
          <w:rFonts w:hint="eastAsia"/>
          <w:lang w:eastAsia="zh-CN"/>
        </w:rPr>
        <w:t>、</w:t>
      </w:r>
      <w:r>
        <w:rPr>
          <w:rFonts w:hint="eastAsia"/>
        </w:rPr>
        <w:t>采矿许可证</w:t>
      </w:r>
      <w:r>
        <w:rPr>
          <w:rFonts w:hint="eastAsia"/>
          <w:lang w:eastAsia="zh-CN"/>
        </w:rPr>
        <w:t>，</w:t>
      </w:r>
      <w:r>
        <w:rPr>
          <w:rFonts w:hint="eastAsia"/>
        </w:rPr>
        <w:t>证号：</w:t>
      </w:r>
      <w:r>
        <w:rPr>
          <w:rFonts w:hint="eastAsia"/>
          <w:color w:val="000000"/>
          <w:lang w:val="en-US" w:eastAsia="zh-CN"/>
        </w:rPr>
        <w:t>C5316172024127230157765</w:t>
      </w:r>
    </w:p>
    <w:p w14:paraId="3ABC1CB6">
      <w:pPr>
        <w:bidi w:val="0"/>
        <w:rPr>
          <w:rFonts w:hint="eastAsia"/>
          <w:lang w:eastAsia="zh-CN"/>
        </w:rPr>
      </w:pPr>
      <w:r>
        <w:rPr>
          <w:rFonts w:hint="eastAsia"/>
          <w:lang w:val="en-US" w:eastAsia="zh-CN"/>
        </w:rPr>
        <w:t>2</w:t>
      </w:r>
      <w:r>
        <w:rPr>
          <w:rFonts w:hint="eastAsia"/>
          <w:lang w:eastAsia="zh-CN"/>
        </w:rPr>
        <w:t>、</w:t>
      </w:r>
      <w:r>
        <w:rPr>
          <w:rFonts w:hint="eastAsia"/>
        </w:rPr>
        <w:t>营业执照</w:t>
      </w:r>
      <w:r>
        <w:rPr>
          <w:rFonts w:hint="eastAsia"/>
          <w:lang w:eastAsia="zh-CN"/>
        </w:rPr>
        <w:t>，</w:t>
      </w:r>
      <w:r>
        <w:rPr>
          <w:rFonts w:hint="eastAsia"/>
        </w:rPr>
        <w:t>统一社会信用代码：</w:t>
      </w:r>
      <w:r>
        <w:rPr>
          <w:rFonts w:hint="eastAsia"/>
          <w:color w:val="000000"/>
          <w:lang w:val="en-US" w:eastAsia="zh-CN"/>
        </w:rPr>
        <w:t>91532627MADLCR148Q</w:t>
      </w:r>
    </w:p>
    <w:p w14:paraId="5311D33C">
      <w:pPr>
        <w:bidi w:val="0"/>
        <w:rPr>
          <w:rFonts w:hint="eastAsia"/>
          <w:lang w:val="en-US" w:eastAsia="zh-CN"/>
        </w:rPr>
      </w:pPr>
      <w:r>
        <w:rPr>
          <w:rFonts w:hint="eastAsia"/>
          <w:lang w:val="en-US" w:eastAsia="zh-CN"/>
        </w:rPr>
        <w:t>3、云南省固定资产投资项目备案证</w:t>
      </w:r>
    </w:p>
    <w:p w14:paraId="240AD106">
      <w:pPr>
        <w:bidi w:val="0"/>
        <w:rPr>
          <w:rFonts w:hint="eastAsia" w:ascii="Times New Roman" w:hAnsi="Times New Roman"/>
          <w:bCs/>
          <w:color w:val="auto"/>
        </w:rPr>
      </w:pPr>
      <w:r>
        <w:rPr>
          <w:rFonts w:hint="eastAsia"/>
          <w:color w:val="auto"/>
          <w:lang w:val="en-US" w:eastAsia="zh-CN"/>
        </w:rPr>
        <w:t>备案号【项目代码】:</w:t>
      </w:r>
      <w:r>
        <w:rPr>
          <w:rFonts w:hint="eastAsia" w:ascii="Times New Roman" w:hAnsi="Times New Roman"/>
          <w:bCs/>
          <w:color w:val="auto"/>
        </w:rPr>
        <w:t>2016-532627-12-03-259499</w:t>
      </w:r>
    </w:p>
    <w:p w14:paraId="4BCF170D">
      <w:pPr>
        <w:bidi w:val="0"/>
        <w:rPr>
          <w:rFonts w:hint="eastAsia" w:eastAsia="宋体"/>
          <w:color w:val="auto"/>
          <w:lang w:eastAsia="zh-CN"/>
        </w:rPr>
      </w:pPr>
      <w:bookmarkStart w:id="84" w:name="_Toc17362"/>
      <w:r>
        <w:rPr>
          <w:rFonts w:hint="eastAsia"/>
          <w:color w:val="auto"/>
          <w:lang w:val="en-US" w:eastAsia="zh-CN"/>
        </w:rPr>
        <w:t>4、</w:t>
      </w:r>
      <w:r>
        <w:rPr>
          <w:color w:val="auto"/>
        </w:rPr>
        <w:t>《云南省建设项目安全设施设计审批书》（</w:t>
      </w:r>
      <w:r>
        <w:rPr>
          <w:rFonts w:hint="eastAsia"/>
          <w:color w:val="auto"/>
          <w:lang w:val="en-US" w:eastAsia="zh-CN"/>
        </w:rPr>
        <w:t>广南县</w:t>
      </w:r>
      <w:r>
        <w:rPr>
          <w:color w:val="auto"/>
        </w:rPr>
        <w:t>应急管理局，202</w:t>
      </w:r>
      <w:r>
        <w:rPr>
          <w:rFonts w:hint="eastAsia"/>
          <w:color w:val="auto"/>
          <w:lang w:val="en-US" w:eastAsia="zh-CN"/>
        </w:rPr>
        <w:t>6</w:t>
      </w:r>
      <w:r>
        <w:rPr>
          <w:color w:val="auto"/>
        </w:rPr>
        <w:t>年</w:t>
      </w:r>
      <w:r>
        <w:rPr>
          <w:rFonts w:hint="eastAsia"/>
          <w:color w:val="auto"/>
          <w:lang w:val="en-US" w:eastAsia="zh-CN"/>
        </w:rPr>
        <w:t>1</w:t>
      </w:r>
      <w:r>
        <w:rPr>
          <w:color w:val="auto"/>
        </w:rPr>
        <w:t>月）</w:t>
      </w:r>
      <w:r>
        <w:rPr>
          <w:rFonts w:hint="eastAsia"/>
          <w:color w:val="auto"/>
          <w:lang w:eastAsia="zh-CN"/>
        </w:rPr>
        <w:t>。</w:t>
      </w:r>
    </w:p>
    <w:p w14:paraId="00DC7AC6">
      <w:pPr>
        <w:pStyle w:val="4"/>
        <w:bidi w:val="0"/>
      </w:pPr>
      <w:bookmarkStart w:id="85" w:name="_Toc4963"/>
      <w:r>
        <w:t>1.2.4建设项目技术资料</w:t>
      </w:r>
      <w:bookmarkEnd w:id="81"/>
      <w:bookmarkEnd w:id="82"/>
      <w:bookmarkEnd w:id="83"/>
      <w:bookmarkEnd w:id="84"/>
      <w:bookmarkEnd w:id="85"/>
    </w:p>
    <w:p w14:paraId="77416026">
      <w:pPr>
        <w:bidi w:val="0"/>
        <w:rPr>
          <w:rFonts w:hint="eastAsia"/>
          <w:lang w:eastAsia="zh-CN"/>
        </w:rPr>
      </w:pPr>
      <w:r>
        <w:rPr>
          <w:rFonts w:hint="eastAsia"/>
          <w:lang w:val="en-US" w:eastAsia="zh-CN"/>
        </w:rPr>
        <w:t>1、</w:t>
      </w:r>
      <w:r>
        <w:t>《云南省</w:t>
      </w:r>
      <w:r>
        <w:rPr>
          <w:rFonts w:hint="eastAsia"/>
          <w:lang w:eastAsia="zh-CN"/>
        </w:rPr>
        <w:t>广南县麦地大山建筑石料用石灰岩矿资源储量核实报告（</w:t>
      </w:r>
      <w:r>
        <w:t>20</w:t>
      </w:r>
      <w:r>
        <w:rPr>
          <w:rFonts w:hint="eastAsia"/>
          <w:lang w:val="en-US" w:eastAsia="zh-CN"/>
        </w:rPr>
        <w:t>23</w:t>
      </w:r>
      <w:r>
        <w:t>年</w:t>
      </w:r>
      <w:r>
        <w:rPr>
          <w:rFonts w:hint="eastAsia"/>
          <w:lang w:eastAsia="zh-CN"/>
        </w:rPr>
        <w:t>）</w:t>
      </w:r>
      <w:r>
        <w:t>》</w:t>
      </w:r>
      <w:r>
        <w:rPr>
          <w:rFonts w:hint="eastAsia"/>
          <w:lang w:eastAsia="zh-CN"/>
        </w:rPr>
        <w:t>（广南县自然资源局，</w:t>
      </w:r>
      <w:r>
        <w:t>20</w:t>
      </w:r>
      <w:r>
        <w:rPr>
          <w:rFonts w:hint="eastAsia"/>
          <w:lang w:val="en-US" w:eastAsia="zh-CN"/>
        </w:rPr>
        <w:t>23</w:t>
      </w:r>
      <w:r>
        <w:t>年</w:t>
      </w:r>
      <w:r>
        <w:rPr>
          <w:rFonts w:hint="eastAsia"/>
          <w:lang w:val="en-US" w:eastAsia="zh-CN"/>
        </w:rPr>
        <w:t>11</w:t>
      </w:r>
      <w:r>
        <w:t>月</w:t>
      </w:r>
      <w:r>
        <w:rPr>
          <w:rFonts w:hint="eastAsia"/>
          <w:lang w:eastAsia="zh-CN"/>
        </w:rPr>
        <w:t>）；</w:t>
      </w:r>
    </w:p>
    <w:p w14:paraId="37F2D3A3">
      <w:pPr>
        <w:bidi w:val="0"/>
        <w:rPr>
          <w:rFonts w:hint="eastAsia"/>
          <w:lang w:eastAsia="zh-CN"/>
        </w:rPr>
      </w:pPr>
      <w:r>
        <w:rPr>
          <w:rFonts w:hint="eastAsia"/>
          <w:lang w:val="en-US" w:eastAsia="zh-CN"/>
        </w:rPr>
        <w:t>2、</w:t>
      </w:r>
      <w:r>
        <w:t>《云南省</w:t>
      </w:r>
      <w:r>
        <w:rPr>
          <w:rFonts w:hint="eastAsia"/>
          <w:lang w:eastAsia="zh-CN"/>
        </w:rPr>
        <w:t>广南县麦地大山建筑石料用石灰岩矿资源储量核实报告（</w:t>
      </w:r>
      <w:r>
        <w:t>20</w:t>
      </w:r>
      <w:r>
        <w:rPr>
          <w:rFonts w:hint="eastAsia"/>
          <w:lang w:val="en-US" w:eastAsia="zh-CN"/>
        </w:rPr>
        <w:t>23</w:t>
      </w:r>
      <w:r>
        <w:t>年</w:t>
      </w:r>
      <w:r>
        <w:rPr>
          <w:rFonts w:hint="eastAsia"/>
          <w:lang w:eastAsia="zh-CN"/>
        </w:rPr>
        <w:t>）</w:t>
      </w:r>
      <w:r>
        <w:t>》</w:t>
      </w:r>
      <w:r>
        <w:rPr>
          <w:rFonts w:hint="eastAsia"/>
          <w:lang w:eastAsia="zh-CN"/>
        </w:rPr>
        <w:t>（</w:t>
      </w:r>
      <w:r>
        <w:t>评审意见书</w:t>
      </w:r>
      <w:r>
        <w:rPr>
          <w:rFonts w:hint="eastAsia"/>
          <w:lang w:eastAsia="zh-CN"/>
        </w:rPr>
        <w:t>，云金涌道矿评储字〔2024〕4号）</w:t>
      </w:r>
    </w:p>
    <w:p w14:paraId="0A3A5B69">
      <w:pPr>
        <w:bidi w:val="0"/>
      </w:pPr>
      <w:r>
        <w:rPr>
          <w:rFonts w:hint="eastAsia"/>
          <w:lang w:val="en-US" w:eastAsia="zh-CN"/>
        </w:rPr>
        <w:t>3、、《</w:t>
      </w:r>
      <w:r>
        <w:rPr>
          <w:rFonts w:hint="eastAsia"/>
          <w:lang w:eastAsia="zh-CN"/>
        </w:rPr>
        <w:t>广南县麦地大山建筑石料用石灰岩矿</w:t>
      </w:r>
      <w:r>
        <w:t>50万t/a露天采矿工程安全预评价报告》（江西赣安安全生产科学技术咨询服务中心，202</w:t>
      </w:r>
      <w:r>
        <w:rPr>
          <w:rFonts w:hint="eastAsia"/>
          <w:lang w:val="en-US" w:eastAsia="zh-CN"/>
        </w:rPr>
        <w:t>5</w:t>
      </w:r>
      <w:r>
        <w:t>年</w:t>
      </w:r>
      <w:r>
        <w:rPr>
          <w:rFonts w:hint="eastAsia"/>
          <w:lang w:val="en-US" w:eastAsia="zh-CN"/>
        </w:rPr>
        <w:t>1</w:t>
      </w:r>
      <w:r>
        <w:t>月）；</w:t>
      </w:r>
    </w:p>
    <w:p w14:paraId="7FE828D3">
      <w:pPr>
        <w:bidi w:val="0"/>
        <w:rPr>
          <w:rFonts w:hint="eastAsia"/>
          <w:lang w:val="sq-AL" w:eastAsia="zh-CN"/>
        </w:rPr>
      </w:pPr>
      <w:r>
        <w:rPr>
          <w:rFonts w:hint="eastAsia"/>
          <w:lang w:val="en-US" w:eastAsia="zh-CN"/>
        </w:rPr>
        <w:t>4、</w:t>
      </w:r>
      <w:r>
        <w:rPr>
          <w:rFonts w:hint="default"/>
        </w:rPr>
        <w:t>《</w:t>
      </w:r>
      <w:r>
        <w:rPr>
          <w:rFonts w:hint="eastAsia"/>
          <w:lang w:eastAsia="zh-CN"/>
        </w:rPr>
        <w:t>广南县麦地大山建筑石料用石灰岩矿</w:t>
      </w:r>
      <w:r>
        <w:t>50万t/a露天采矿工程</w:t>
      </w:r>
      <w:r>
        <w:rPr>
          <w:rFonts w:hint="eastAsia"/>
          <w:lang w:val="en-US" w:eastAsia="zh-CN"/>
        </w:rPr>
        <w:t>初步设计</w:t>
      </w:r>
      <w:r>
        <w:rPr>
          <w:rFonts w:hint="default"/>
        </w:rPr>
        <w:t>》</w:t>
      </w:r>
      <w:r>
        <w:rPr>
          <w:rFonts w:hint="eastAsia"/>
          <w:lang w:eastAsia="zh-CN"/>
        </w:rPr>
        <w:t>（</w:t>
      </w:r>
      <w:r>
        <w:rPr>
          <w:rFonts w:hint="default"/>
          <w:lang w:val="sq-AL"/>
        </w:rPr>
        <w:t>云南增股工程勘察设计有限公司</w:t>
      </w:r>
      <w:r>
        <w:rPr>
          <w:rFonts w:hint="eastAsia"/>
          <w:lang w:val="sq-AL" w:eastAsia="zh-CN"/>
        </w:rPr>
        <w:t>，</w:t>
      </w:r>
      <w:r>
        <w:rPr>
          <w:rFonts w:hint="default"/>
          <w:lang w:val="sq-AL"/>
        </w:rPr>
        <w:t>202</w:t>
      </w:r>
      <w:r>
        <w:rPr>
          <w:rFonts w:hint="eastAsia"/>
          <w:lang w:val="en-US" w:eastAsia="zh-CN"/>
        </w:rPr>
        <w:t>5</w:t>
      </w:r>
      <w:r>
        <w:rPr>
          <w:rFonts w:hint="default"/>
          <w:lang w:val="sq-AL"/>
        </w:rPr>
        <w:t>年</w:t>
      </w:r>
      <w:r>
        <w:rPr>
          <w:rFonts w:hint="eastAsia"/>
          <w:lang w:val="en-US" w:eastAsia="zh-CN"/>
        </w:rPr>
        <w:t>2</w:t>
      </w:r>
      <w:r>
        <w:rPr>
          <w:rFonts w:hint="default"/>
          <w:lang w:val="sq-AL"/>
        </w:rPr>
        <w:t>月）</w:t>
      </w:r>
      <w:r>
        <w:rPr>
          <w:rFonts w:hint="eastAsia"/>
          <w:lang w:val="sq-AL" w:eastAsia="zh-CN"/>
        </w:rPr>
        <w:t>；</w:t>
      </w:r>
    </w:p>
    <w:p w14:paraId="3CE9C474">
      <w:pPr>
        <w:bidi w:val="0"/>
      </w:pPr>
      <w:r>
        <w:rPr>
          <w:rFonts w:hint="eastAsia"/>
          <w:lang w:val="en-US" w:eastAsia="zh-CN"/>
        </w:rPr>
        <w:t>5、</w:t>
      </w:r>
      <w:r>
        <w:rPr>
          <w:rFonts w:hint="default"/>
        </w:rPr>
        <w:t>《</w:t>
      </w:r>
      <w:r>
        <w:rPr>
          <w:rFonts w:hint="eastAsia"/>
          <w:lang w:eastAsia="zh-CN"/>
        </w:rPr>
        <w:t>广南县麦地大山建筑石料用石灰岩矿</w:t>
      </w:r>
      <w:r>
        <w:t>50万t/a露天采矿工程安全设施设计》</w:t>
      </w:r>
      <w:r>
        <w:rPr>
          <w:rFonts w:hint="eastAsia"/>
          <w:lang w:eastAsia="zh-CN"/>
        </w:rPr>
        <w:t>（</w:t>
      </w:r>
      <w:r>
        <w:rPr>
          <w:rFonts w:hint="default"/>
          <w:lang w:val="sq-AL"/>
        </w:rPr>
        <w:t>云南增股工程勘察设计有限公司</w:t>
      </w:r>
      <w:r>
        <w:rPr>
          <w:rFonts w:hint="eastAsia"/>
          <w:lang w:val="sq-AL" w:eastAsia="zh-CN"/>
        </w:rPr>
        <w:t>，</w:t>
      </w:r>
      <w:r>
        <w:rPr>
          <w:rFonts w:hint="eastAsia"/>
          <w:lang w:val="en-US" w:eastAsia="zh-CN"/>
        </w:rPr>
        <w:t>2025年2月）</w:t>
      </w:r>
      <w:r>
        <w:t>；</w:t>
      </w:r>
    </w:p>
    <w:p w14:paraId="7EF74EFB">
      <w:pPr>
        <w:bidi w:val="0"/>
        <w:rPr>
          <w:rFonts w:hint="eastAsia"/>
          <w:color w:val="auto"/>
          <w:lang w:val="en-US" w:eastAsia="zh-CN"/>
        </w:rPr>
      </w:pPr>
      <w:bookmarkStart w:id="86" w:name="OLE_LINK55"/>
      <w:r>
        <w:rPr>
          <w:rFonts w:hint="eastAsia"/>
          <w:color w:val="auto"/>
          <w:lang w:val="en-US" w:eastAsia="zh-CN"/>
        </w:rPr>
        <w:t>6、</w:t>
      </w:r>
      <w:bookmarkEnd w:id="86"/>
      <w:r>
        <w:rPr>
          <w:rFonts w:hint="eastAsia"/>
          <w:color w:val="auto"/>
          <w:lang w:val="en-US" w:eastAsia="zh-CN"/>
        </w:rPr>
        <w:t>项目施工总结报告；</w:t>
      </w:r>
    </w:p>
    <w:p w14:paraId="7BD18955">
      <w:pPr>
        <w:bidi w:val="0"/>
        <w:rPr>
          <w:rFonts w:hint="eastAsia"/>
          <w:color w:val="auto"/>
          <w:lang w:eastAsia="zh-CN"/>
        </w:rPr>
      </w:pPr>
      <w:r>
        <w:rPr>
          <w:rFonts w:hint="eastAsia"/>
          <w:color w:val="auto"/>
          <w:lang w:val="en-US" w:eastAsia="zh-CN"/>
        </w:rPr>
        <w:t>7、项目监理总结报告</w:t>
      </w:r>
      <w:r>
        <w:rPr>
          <w:rFonts w:hint="eastAsia"/>
          <w:color w:val="auto"/>
          <w:lang w:eastAsia="zh-CN"/>
        </w:rPr>
        <w:t>（</w:t>
      </w:r>
      <w:r>
        <w:rPr>
          <w:rFonts w:hint="default"/>
          <w:color w:val="auto"/>
          <w:lang w:val="sq-AL"/>
        </w:rPr>
        <w:t>云南增股工程勘察设计有限公司</w:t>
      </w:r>
      <w:r>
        <w:rPr>
          <w:rFonts w:hint="eastAsia"/>
          <w:color w:val="auto"/>
          <w:lang w:val="sq-AL" w:eastAsia="zh-CN"/>
        </w:rPr>
        <w:t>，</w:t>
      </w:r>
      <w:r>
        <w:rPr>
          <w:rFonts w:hint="eastAsia"/>
          <w:color w:val="auto"/>
          <w:lang w:val="en-US" w:eastAsia="zh-CN"/>
        </w:rPr>
        <w:t>2026年3月）</w:t>
      </w:r>
      <w:r>
        <w:rPr>
          <w:color w:val="auto"/>
        </w:rPr>
        <w:t>；</w:t>
      </w:r>
    </w:p>
    <w:p w14:paraId="7536C99E">
      <w:pPr>
        <w:bidi w:val="0"/>
        <w:rPr>
          <w:rFonts w:hint="default"/>
          <w:lang w:val="en-US" w:eastAsia="zh-CN"/>
        </w:rPr>
      </w:pPr>
      <w:r>
        <w:rPr>
          <w:rFonts w:hint="eastAsia"/>
          <w:lang w:val="en-US" w:eastAsia="zh-CN"/>
        </w:rPr>
        <w:t>8、项目试运行报告。</w:t>
      </w:r>
    </w:p>
    <w:p w14:paraId="308E78F1">
      <w:pPr>
        <w:pStyle w:val="4"/>
      </w:pPr>
      <w:bookmarkStart w:id="87" w:name="_Toc5559"/>
      <w:bookmarkStart w:id="88" w:name="_Toc14313"/>
      <w:bookmarkStart w:id="89" w:name="_Toc214283993"/>
      <w:r>
        <w:t>1.2.5其他评价依据</w:t>
      </w:r>
      <w:bookmarkEnd w:id="87"/>
      <w:bookmarkEnd w:id="88"/>
      <w:bookmarkEnd w:id="89"/>
    </w:p>
    <w:p w14:paraId="2DCD5F2A">
      <w:pPr>
        <w:bidi w:val="0"/>
      </w:pPr>
      <w:r>
        <w:rPr>
          <w:rFonts w:hint="eastAsia"/>
          <w:lang w:val="en-US" w:eastAsia="zh-CN"/>
        </w:rPr>
        <w:t>1、</w:t>
      </w:r>
      <w:r>
        <w:t>《采矿手册》（冶金工业出版社，1991年11月）；</w:t>
      </w:r>
    </w:p>
    <w:p w14:paraId="3AC8A207">
      <w:pPr>
        <w:bidi w:val="0"/>
      </w:pPr>
      <w:r>
        <w:rPr>
          <w:rFonts w:hint="eastAsia"/>
          <w:lang w:val="en-US" w:eastAsia="zh-CN"/>
        </w:rPr>
        <w:t>2</w:t>
      </w:r>
      <w:r>
        <w:t>.《安全工程师手册》（四川人民出版社，1995）；</w:t>
      </w:r>
    </w:p>
    <w:p w14:paraId="3DFCC33B">
      <w:pPr>
        <w:bidi w:val="0"/>
      </w:pPr>
      <w:r>
        <w:rPr>
          <w:rFonts w:hint="eastAsia"/>
          <w:lang w:val="en-US" w:eastAsia="zh-CN"/>
        </w:rPr>
        <w:t>3</w:t>
      </w:r>
      <w:r>
        <w:t>.《采矿设计手册》（中国建筑工业出版社，1987年）；</w:t>
      </w:r>
    </w:p>
    <w:p w14:paraId="65156B02">
      <w:pPr>
        <w:bidi w:val="0"/>
        <w:rPr>
          <w:rFonts w:hint="eastAsia"/>
          <w:lang w:eastAsia="zh-CN"/>
        </w:rPr>
      </w:pPr>
      <w:r>
        <w:rPr>
          <w:rFonts w:hint="eastAsia"/>
          <w:lang w:val="en-US" w:eastAsia="zh-CN"/>
        </w:rPr>
        <w:t>4</w:t>
      </w:r>
      <w:r>
        <w:rPr>
          <w:rFonts w:hint="eastAsia"/>
          <w:lang w:eastAsia="zh-CN"/>
        </w:rPr>
        <w:t>、</w:t>
      </w:r>
      <w:r>
        <w:t>《矿山安全性评价与安全事故的预防及处理实务全书》（中国商业出版社，2001年9月）</w:t>
      </w:r>
      <w:r>
        <w:rPr>
          <w:rFonts w:hint="eastAsia"/>
          <w:lang w:eastAsia="zh-CN"/>
        </w:rPr>
        <w:t>；</w:t>
      </w:r>
    </w:p>
    <w:bookmarkEnd w:id="68"/>
    <w:p w14:paraId="1A6450A0">
      <w:pPr>
        <w:bidi w:val="0"/>
        <w:rPr>
          <w:rFonts w:hint="eastAsia"/>
        </w:rPr>
      </w:pPr>
      <w:r>
        <w:rPr>
          <w:rFonts w:hint="eastAsia"/>
          <w:lang w:val="en-US" w:eastAsia="zh-CN"/>
        </w:rPr>
        <w:t>5</w:t>
      </w:r>
      <w:r>
        <w:rPr>
          <w:rFonts w:hint="eastAsia"/>
          <w:lang w:eastAsia="zh-CN"/>
        </w:rPr>
        <w:t>、</w:t>
      </w:r>
      <w:r>
        <w:rPr>
          <w:rFonts w:hint="eastAsia"/>
        </w:rPr>
        <w:t>《金属非金属矿开采安全</w:t>
      </w:r>
      <w:r>
        <w:rPr>
          <w:rFonts w:hint="eastAsia"/>
          <w:lang w:eastAsia="zh-CN"/>
        </w:rPr>
        <w:t>》，</w:t>
      </w:r>
      <w:r>
        <w:rPr>
          <w:rFonts w:hint="eastAsia"/>
        </w:rPr>
        <w:t>中国劳动出版社</w:t>
      </w:r>
      <w:r>
        <w:rPr>
          <w:rFonts w:hint="eastAsia"/>
          <w:lang w:eastAsia="zh-CN"/>
        </w:rPr>
        <w:t>，</w:t>
      </w:r>
      <w:r>
        <w:rPr>
          <w:rFonts w:hint="eastAsia"/>
        </w:rPr>
        <w:t>1992</w:t>
      </w:r>
      <w:r>
        <w:rPr>
          <w:rFonts w:hint="eastAsia"/>
          <w:lang w:eastAsia="zh-CN"/>
        </w:rPr>
        <w:t>；</w:t>
      </w:r>
    </w:p>
    <w:p w14:paraId="45997F53">
      <w:pPr>
        <w:bidi w:val="0"/>
        <w:rPr>
          <w:rFonts w:hint="eastAsia"/>
          <w:lang w:eastAsia="zh-CN"/>
        </w:rPr>
      </w:pPr>
      <w:r>
        <w:rPr>
          <w:rFonts w:hint="eastAsia"/>
          <w:lang w:val="en-US" w:eastAsia="zh-CN"/>
        </w:rPr>
        <w:t>6</w:t>
      </w:r>
      <w:r>
        <w:rPr>
          <w:rFonts w:hint="eastAsia"/>
          <w:lang w:eastAsia="zh-CN"/>
        </w:rPr>
        <w:t>、</w:t>
      </w:r>
      <w:r>
        <w:rPr>
          <w:rFonts w:hint="eastAsia"/>
        </w:rPr>
        <w:t>《矿山安全监察手册</w:t>
      </w:r>
      <w:r>
        <w:rPr>
          <w:rFonts w:hint="eastAsia"/>
          <w:lang w:eastAsia="zh-CN"/>
        </w:rPr>
        <w:t>》，</w:t>
      </w:r>
      <w:r>
        <w:rPr>
          <w:rFonts w:hint="eastAsia"/>
        </w:rPr>
        <w:t>劳动人事出版社</w:t>
      </w:r>
      <w:r>
        <w:rPr>
          <w:rFonts w:hint="eastAsia"/>
          <w:lang w:eastAsia="zh-CN"/>
        </w:rPr>
        <w:t>，</w:t>
      </w:r>
      <w:r>
        <w:rPr>
          <w:rFonts w:hint="eastAsia"/>
        </w:rPr>
        <w:t>1990</w:t>
      </w:r>
      <w:r>
        <w:rPr>
          <w:rFonts w:hint="eastAsia"/>
          <w:lang w:eastAsia="zh-CN"/>
        </w:rPr>
        <w:t>；</w:t>
      </w:r>
    </w:p>
    <w:p w14:paraId="01F32B8A">
      <w:pPr>
        <w:bidi w:val="0"/>
        <w:rPr>
          <w:rFonts w:hint="eastAsia"/>
          <w:lang w:eastAsia="zh-CN"/>
        </w:rPr>
      </w:pPr>
      <w:r>
        <w:rPr>
          <w:rFonts w:hint="eastAsia"/>
          <w:lang w:val="en-US" w:eastAsia="zh-CN"/>
        </w:rPr>
        <w:t>7、</w:t>
      </w:r>
      <w:r>
        <w:rPr>
          <w:rFonts w:hint="eastAsia"/>
        </w:rPr>
        <w:t>《矿山生产与安全技术</w:t>
      </w:r>
      <w:r>
        <w:rPr>
          <w:rFonts w:hint="eastAsia"/>
          <w:lang w:eastAsia="zh-CN"/>
        </w:rPr>
        <w:t>》，</w:t>
      </w:r>
      <w:r>
        <w:rPr>
          <w:rFonts w:hint="eastAsia"/>
        </w:rPr>
        <w:t>云南科技出版社</w:t>
      </w:r>
      <w:r>
        <w:rPr>
          <w:rFonts w:hint="eastAsia"/>
          <w:lang w:eastAsia="zh-CN"/>
        </w:rPr>
        <w:t>，</w:t>
      </w:r>
      <w:r>
        <w:rPr>
          <w:rFonts w:hint="eastAsia"/>
        </w:rPr>
        <w:t>2005年1月1日出版</w:t>
      </w:r>
      <w:r>
        <w:rPr>
          <w:rFonts w:hint="eastAsia"/>
          <w:lang w:eastAsia="zh-CN"/>
        </w:rPr>
        <w:t>；</w:t>
      </w:r>
    </w:p>
    <w:p w14:paraId="6E88E0A6">
      <w:pPr>
        <w:bidi w:val="0"/>
        <w:rPr>
          <w:rFonts w:hint="eastAsia"/>
          <w:lang w:eastAsia="zh-CN"/>
        </w:rPr>
      </w:pPr>
      <w:r>
        <w:rPr>
          <w:rFonts w:hint="eastAsia"/>
          <w:lang w:val="en-US" w:eastAsia="zh-CN"/>
        </w:rPr>
        <w:t>8、</w:t>
      </w:r>
      <w:r>
        <w:rPr>
          <w:rFonts w:hint="eastAsia"/>
        </w:rPr>
        <w:t>《露天采矿技术</w:t>
      </w:r>
      <w:r>
        <w:rPr>
          <w:rFonts w:hint="eastAsia"/>
          <w:lang w:eastAsia="zh-CN"/>
        </w:rPr>
        <w:t>》，</w:t>
      </w:r>
      <w:r>
        <w:rPr>
          <w:rFonts w:hint="eastAsia"/>
        </w:rPr>
        <w:t>冶金工业出版社</w:t>
      </w:r>
      <w:r>
        <w:rPr>
          <w:rFonts w:hint="eastAsia"/>
          <w:lang w:eastAsia="zh-CN"/>
        </w:rPr>
        <w:t>，</w:t>
      </w:r>
      <w:r>
        <w:rPr>
          <w:rFonts w:hint="eastAsia"/>
        </w:rPr>
        <w:t>2010年9月1日出版</w:t>
      </w:r>
      <w:r>
        <w:rPr>
          <w:rFonts w:hint="eastAsia"/>
          <w:lang w:eastAsia="zh-CN"/>
        </w:rPr>
        <w:t>；</w:t>
      </w:r>
    </w:p>
    <w:p w14:paraId="177A77AA">
      <w:pPr>
        <w:bidi w:val="0"/>
        <w:rPr>
          <w:rFonts w:hint="default"/>
        </w:rPr>
      </w:pPr>
      <w:r>
        <w:rPr>
          <w:rFonts w:hint="eastAsia"/>
          <w:lang w:val="en-US" w:eastAsia="zh-CN"/>
        </w:rPr>
        <w:t>9、</w:t>
      </w:r>
      <w:r>
        <w:rPr>
          <w:rFonts w:hint="default"/>
        </w:rPr>
        <w:t>《安全</w:t>
      </w:r>
      <w:r>
        <w:rPr>
          <w:rFonts w:hint="eastAsia"/>
          <w:lang w:val="en-US" w:eastAsia="zh-CN"/>
        </w:rPr>
        <w:t>设施验收</w:t>
      </w:r>
      <w:r>
        <w:rPr>
          <w:rFonts w:hint="default"/>
        </w:rPr>
        <w:t>委托书》</w:t>
      </w:r>
      <w:r>
        <w:rPr>
          <w:rFonts w:hint="eastAsia"/>
          <w:lang w:eastAsia="zh-CN"/>
        </w:rPr>
        <w:t>；</w:t>
      </w:r>
    </w:p>
    <w:p w14:paraId="687D694B">
      <w:pPr>
        <w:bidi w:val="0"/>
        <w:rPr>
          <w:rFonts w:hint="eastAsia"/>
          <w:lang w:eastAsia="zh-CN"/>
        </w:rPr>
      </w:pPr>
      <w:r>
        <w:rPr>
          <w:rFonts w:hint="eastAsia"/>
          <w:lang w:val="en-US" w:eastAsia="zh-CN"/>
        </w:rPr>
        <w:t>10、</w:t>
      </w:r>
      <w:r>
        <w:rPr>
          <w:rFonts w:hint="default"/>
        </w:rPr>
        <w:t>《安全</w:t>
      </w:r>
      <w:r>
        <w:rPr>
          <w:rFonts w:hint="eastAsia"/>
          <w:lang w:val="en-US" w:eastAsia="zh-CN"/>
        </w:rPr>
        <w:t>设施验收</w:t>
      </w:r>
      <w:r>
        <w:rPr>
          <w:rFonts w:hint="default"/>
        </w:rPr>
        <w:t>合同书》</w:t>
      </w:r>
      <w:r>
        <w:rPr>
          <w:rFonts w:hint="eastAsia"/>
          <w:lang w:eastAsia="zh-CN"/>
        </w:rPr>
        <w:t>；</w:t>
      </w:r>
    </w:p>
    <w:p w14:paraId="34E6BE0A">
      <w:pPr>
        <w:bidi w:val="0"/>
        <w:rPr>
          <w:rFonts w:hint="eastAsia"/>
        </w:rPr>
      </w:pPr>
      <w:r>
        <w:rPr>
          <w:rFonts w:hint="eastAsia"/>
          <w:lang w:val="en-US" w:eastAsia="zh-CN"/>
        </w:rPr>
        <w:t>11、</w:t>
      </w:r>
      <w:r>
        <w:rPr>
          <w:rFonts w:hint="eastAsia"/>
        </w:rPr>
        <w:t>现场踏勘收集资料及企业提供的相关证照、图纸、技术资料等。</w:t>
      </w:r>
    </w:p>
    <w:p w14:paraId="38447EC9">
      <w:pPr>
        <w:rPr>
          <w:rFonts w:hint="eastAsia"/>
        </w:rPr>
      </w:pPr>
      <w:r>
        <w:rPr>
          <w:rFonts w:hint="eastAsia"/>
        </w:rPr>
        <w:br w:type="page"/>
      </w:r>
    </w:p>
    <w:p w14:paraId="56B86594">
      <w:pPr>
        <w:keepNext/>
        <w:keepLines/>
        <w:pageBreakBefore w:val="0"/>
        <w:widowControl w:val="0"/>
        <w:kinsoku/>
        <w:wordWrap/>
        <w:overflowPunct/>
        <w:topLinePunct w:val="0"/>
        <w:autoSpaceDE/>
        <w:autoSpaceDN/>
        <w:bidi w:val="0"/>
        <w:adjustRightInd w:val="0"/>
        <w:snapToGrid w:val="0"/>
        <w:spacing w:line="160" w:lineRule="exact"/>
        <w:textAlignment w:val="auto"/>
        <w:outlineLvl w:val="9"/>
        <w:rPr>
          <w:rFonts w:hint="eastAsia"/>
          <w:lang w:val="en-US" w:eastAsia="zh-CN"/>
        </w:rPr>
      </w:pPr>
      <w:bookmarkStart w:id="90" w:name="_Toc503469784"/>
      <w:bookmarkStart w:id="91" w:name="_Toc501120268"/>
      <w:bookmarkStart w:id="92" w:name="_Toc214283994"/>
      <w:bookmarkStart w:id="93" w:name="_Toc6398"/>
    </w:p>
    <w:p w14:paraId="6CE1ABA9">
      <w:pPr>
        <w:pStyle w:val="2"/>
        <w:bidi w:val="0"/>
        <w:rPr>
          <w:rFonts w:hint="eastAsia"/>
          <w:lang w:val="en-US" w:eastAsia="zh-CN"/>
        </w:rPr>
      </w:pPr>
      <w:bookmarkStart w:id="94" w:name="_Toc23489"/>
      <w:r>
        <w:rPr>
          <w:rFonts w:hint="eastAsia"/>
          <w:lang w:val="en-US" w:eastAsia="zh-CN"/>
        </w:rPr>
        <w:t>2建设项目概述</w:t>
      </w:r>
      <w:bookmarkEnd w:id="90"/>
      <w:bookmarkEnd w:id="91"/>
      <w:bookmarkEnd w:id="92"/>
      <w:bookmarkEnd w:id="93"/>
      <w:bookmarkEnd w:id="94"/>
    </w:p>
    <w:p w14:paraId="28837539">
      <w:pPr>
        <w:pStyle w:val="3"/>
        <w:bidi w:val="0"/>
      </w:pPr>
      <w:bookmarkStart w:id="95" w:name="_Toc31598"/>
      <w:bookmarkStart w:id="96" w:name="_Toc5104"/>
      <w:bookmarkStart w:id="97" w:name="_Toc501120269"/>
      <w:bookmarkStart w:id="98" w:name="_Toc503469785"/>
      <w:bookmarkStart w:id="99" w:name="_Toc214283995"/>
      <w:r>
        <w:t>2.1建设单位概况</w:t>
      </w:r>
      <w:bookmarkEnd w:id="95"/>
      <w:bookmarkEnd w:id="96"/>
      <w:bookmarkEnd w:id="97"/>
      <w:bookmarkEnd w:id="98"/>
      <w:bookmarkEnd w:id="99"/>
    </w:p>
    <w:p w14:paraId="5634C4E0">
      <w:pPr>
        <w:pStyle w:val="4"/>
        <w:bidi w:val="0"/>
        <w:rPr>
          <w:rFonts w:ascii="Times New Roman" w:hAnsi="Times New Roman"/>
          <w:color w:val="000000" w:themeColor="text1"/>
          <w14:textFill>
            <w14:solidFill>
              <w14:schemeClr w14:val="tx1"/>
            </w14:solidFill>
          </w14:textFill>
        </w:rPr>
      </w:pPr>
      <w:bookmarkStart w:id="100" w:name="_Toc503469786"/>
      <w:bookmarkStart w:id="101" w:name="_Toc501120270"/>
      <w:bookmarkStart w:id="102" w:name="_Toc31866"/>
      <w:bookmarkStart w:id="103" w:name="_Toc214283996"/>
      <w:bookmarkStart w:id="104" w:name="_Toc1460"/>
      <w:r>
        <w:t>2.1.1</w:t>
      </w:r>
      <w:bookmarkEnd w:id="100"/>
      <w:bookmarkEnd w:id="101"/>
      <w:r>
        <w:t>企业简介</w:t>
      </w:r>
      <w:bookmarkEnd w:id="102"/>
      <w:bookmarkEnd w:id="103"/>
      <w:bookmarkEnd w:id="104"/>
    </w:p>
    <w:p w14:paraId="4682CD4F">
      <w:pPr>
        <w:bidi w:val="0"/>
      </w:pPr>
      <w:bookmarkStart w:id="105" w:name="_Toc26442"/>
      <w:bookmarkStart w:id="106" w:name="_Hlk207136746"/>
      <w:r>
        <w:t>1、工商营业执照：</w:t>
      </w:r>
    </w:p>
    <w:p w14:paraId="33B0668C">
      <w:pPr>
        <w:bidi w:val="0"/>
        <w:rPr>
          <w:rFonts w:hint="eastAsia"/>
          <w:lang w:eastAsia="zh-CN"/>
        </w:rPr>
      </w:pPr>
      <w:bookmarkStart w:id="107" w:name="OLE_LINK24"/>
      <w:r>
        <w:rPr>
          <w:rFonts w:hint="eastAsia"/>
          <w:lang w:val="en-US" w:eastAsia="zh-CN"/>
        </w:rPr>
        <w:t>统一社会信用代码  91532627MADLCR148Q</w:t>
      </w:r>
    </w:p>
    <w:p w14:paraId="02EB4BD4">
      <w:pPr>
        <w:bidi w:val="0"/>
        <w:rPr>
          <w:rFonts w:hint="eastAsia"/>
          <w:lang w:eastAsia="zh-CN"/>
        </w:rPr>
      </w:pPr>
      <w:r>
        <w:rPr>
          <w:rFonts w:hint="eastAsia"/>
          <w:lang w:val="en-US" w:eastAsia="zh-CN"/>
        </w:rPr>
        <w:t xml:space="preserve">名  称  </w:t>
      </w:r>
      <w:r>
        <w:rPr>
          <w:rFonts w:hint="eastAsia"/>
          <w:lang w:eastAsia="zh-CN"/>
        </w:rPr>
        <w:t>广南县城硕矿业有限公司</w:t>
      </w:r>
    </w:p>
    <w:p w14:paraId="53C0BFB6">
      <w:pPr>
        <w:bidi w:val="0"/>
        <w:rPr>
          <w:rFonts w:hint="default"/>
          <w:lang w:val="en-US" w:eastAsia="zh-CN"/>
        </w:rPr>
      </w:pPr>
      <w:r>
        <w:rPr>
          <w:rFonts w:hint="eastAsia"/>
          <w:lang w:val="en-US" w:eastAsia="zh-CN"/>
        </w:rPr>
        <w:t>类  型  有限责任公司（自然人投资或控股）</w:t>
      </w:r>
    </w:p>
    <w:p w14:paraId="4916CE43">
      <w:pPr>
        <w:bidi w:val="0"/>
        <w:rPr>
          <w:rFonts w:hint="eastAsia"/>
          <w:lang w:eastAsia="zh-CN"/>
        </w:rPr>
      </w:pPr>
      <w:r>
        <w:rPr>
          <w:rFonts w:hint="eastAsia"/>
          <w:lang w:val="en-US" w:eastAsia="zh-CN"/>
        </w:rPr>
        <w:t xml:space="preserve">法定代表人  </w:t>
      </w:r>
      <w:r>
        <w:rPr>
          <w:rFonts w:hint="eastAsia"/>
          <w:lang w:eastAsia="zh-CN"/>
        </w:rPr>
        <w:t>伏帮光</w:t>
      </w:r>
    </w:p>
    <w:p w14:paraId="50FC6717">
      <w:pPr>
        <w:bidi w:val="0"/>
      </w:pPr>
      <w:r>
        <w:t>注册资本</w:t>
      </w:r>
      <w:r>
        <w:rPr>
          <w:rFonts w:hint="eastAsia"/>
          <w:lang w:val="en-US" w:eastAsia="zh-CN"/>
        </w:rPr>
        <w:t xml:space="preserve">  260</w:t>
      </w:r>
      <w:r>
        <w:t>万元</w:t>
      </w:r>
    </w:p>
    <w:p w14:paraId="352D19C9">
      <w:pPr>
        <w:bidi w:val="0"/>
        <w:rPr>
          <w:rFonts w:hint="eastAsia"/>
          <w:lang w:val="en-US" w:eastAsia="zh-CN"/>
        </w:rPr>
      </w:pPr>
      <w:r>
        <w:rPr>
          <w:rFonts w:hint="eastAsia"/>
          <w:lang w:val="en-US" w:eastAsia="zh-CN"/>
        </w:rPr>
        <w:t xml:space="preserve">住  所  </w:t>
      </w:r>
      <w:r>
        <w:t>云南省</w:t>
      </w:r>
      <w:r>
        <w:rPr>
          <w:rFonts w:hint="eastAsia"/>
          <w:lang w:val="en-US" w:eastAsia="zh-CN"/>
        </w:rPr>
        <w:t>文山壮族苗族自治州广南县珠街镇老卧村委会新发寨</w:t>
      </w:r>
    </w:p>
    <w:p w14:paraId="2159873F">
      <w:pPr>
        <w:bidi w:val="0"/>
        <w:rPr>
          <w:rFonts w:hint="eastAsia"/>
          <w:lang w:eastAsia="zh-CN"/>
        </w:rPr>
      </w:pPr>
      <w:r>
        <w:t>经营范围</w:t>
      </w:r>
      <w:r>
        <w:rPr>
          <w:rFonts w:hint="eastAsia"/>
          <w:lang w:val="en-US" w:eastAsia="zh-CN"/>
        </w:rPr>
        <w:t xml:space="preserve">  </w:t>
      </w:r>
      <w:r>
        <w:t>许可项目：</w:t>
      </w:r>
      <w:r>
        <w:rPr>
          <w:rFonts w:hint="eastAsia"/>
        </w:rPr>
        <w:t>非煤矿山矿产资源开采</w:t>
      </w:r>
      <w:r>
        <w:rPr>
          <w:rFonts w:hint="eastAsia"/>
          <w:lang w:eastAsia="zh-CN"/>
        </w:rPr>
        <w:t>；</w:t>
      </w:r>
      <w:r>
        <w:rPr>
          <w:rFonts w:hint="eastAsia"/>
        </w:rPr>
        <w:t>矿产资源勘查</w:t>
      </w:r>
      <w:r>
        <w:rPr>
          <w:rFonts w:hint="eastAsia"/>
          <w:lang w:eastAsia="zh-CN"/>
        </w:rPr>
        <w:t>；</w:t>
      </w:r>
      <w:r>
        <w:rPr>
          <w:rFonts w:hint="eastAsia"/>
        </w:rPr>
        <w:t>道路货物运输</w:t>
      </w:r>
      <w:r>
        <w:rPr>
          <w:rFonts w:hint="eastAsia"/>
          <w:lang w:eastAsia="zh-CN"/>
        </w:rPr>
        <w:t>（</w:t>
      </w:r>
      <w:r>
        <w:rPr>
          <w:rFonts w:hint="eastAsia"/>
        </w:rPr>
        <w:t>不含危险货物</w:t>
      </w:r>
      <w:r>
        <w:rPr>
          <w:rFonts w:hint="eastAsia"/>
          <w:lang w:eastAsia="zh-CN"/>
        </w:rPr>
        <w:t>）；</w:t>
      </w:r>
      <w:r>
        <w:rPr>
          <w:rFonts w:hint="eastAsia"/>
        </w:rPr>
        <w:t>建设工程施工</w:t>
      </w:r>
      <w:r>
        <w:rPr>
          <w:rFonts w:hint="eastAsia"/>
          <w:lang w:eastAsia="zh-CN"/>
        </w:rPr>
        <w:t>。（</w:t>
      </w:r>
      <w:r>
        <w:rPr>
          <w:rFonts w:hint="eastAsia"/>
        </w:rPr>
        <w:t>依法须经批准的项目</w:t>
      </w:r>
      <w:r>
        <w:rPr>
          <w:rFonts w:hint="eastAsia"/>
          <w:lang w:eastAsia="zh-CN"/>
        </w:rPr>
        <w:t>，</w:t>
      </w:r>
      <w:r>
        <w:rPr>
          <w:rFonts w:hint="eastAsia"/>
        </w:rPr>
        <w:t>经相关部门批准后方可开展经营活动</w:t>
      </w:r>
      <w:r>
        <w:rPr>
          <w:rFonts w:hint="eastAsia"/>
          <w:lang w:eastAsia="zh-CN"/>
        </w:rPr>
        <w:t>，</w:t>
      </w:r>
      <w:r>
        <w:rPr>
          <w:rFonts w:hint="eastAsia"/>
        </w:rPr>
        <w:t>具体经营项目以相关部门批准文件或许可证件为准</w:t>
      </w:r>
      <w:r>
        <w:rPr>
          <w:rFonts w:hint="eastAsia"/>
          <w:lang w:eastAsia="zh-CN"/>
        </w:rPr>
        <w:t>）。</w:t>
      </w:r>
      <w:r>
        <w:rPr>
          <w:rFonts w:hint="eastAsia"/>
        </w:rPr>
        <w:t>一般项目：建筑用石加工</w:t>
      </w:r>
      <w:r>
        <w:rPr>
          <w:rFonts w:hint="eastAsia"/>
          <w:lang w:eastAsia="zh-CN"/>
        </w:rPr>
        <w:t>；</w:t>
      </w:r>
      <w:r>
        <w:rPr>
          <w:rFonts w:hint="eastAsia"/>
        </w:rPr>
        <w:t>非金属矿及制品销售</w:t>
      </w:r>
      <w:r>
        <w:rPr>
          <w:rFonts w:hint="eastAsia"/>
          <w:lang w:eastAsia="zh-CN"/>
        </w:rPr>
        <w:t>；</w:t>
      </w:r>
      <w:r>
        <w:rPr>
          <w:rFonts w:hint="eastAsia"/>
        </w:rPr>
        <w:t>土石方工程施工</w:t>
      </w:r>
      <w:r>
        <w:rPr>
          <w:rFonts w:hint="eastAsia"/>
          <w:lang w:eastAsia="zh-CN"/>
        </w:rPr>
        <w:t>，</w:t>
      </w:r>
      <w:r>
        <w:rPr>
          <w:rFonts w:hint="eastAsia"/>
        </w:rPr>
        <w:t>矿山机械销售</w:t>
      </w:r>
      <w:r>
        <w:rPr>
          <w:rFonts w:hint="eastAsia"/>
          <w:lang w:eastAsia="zh-CN"/>
        </w:rPr>
        <w:t>。（</w:t>
      </w:r>
      <w:r>
        <w:rPr>
          <w:rFonts w:hint="eastAsia"/>
        </w:rPr>
        <w:t>除依法须经批准的项目外</w:t>
      </w:r>
      <w:r>
        <w:rPr>
          <w:rFonts w:hint="eastAsia"/>
          <w:lang w:eastAsia="zh-CN"/>
        </w:rPr>
        <w:t>，</w:t>
      </w:r>
      <w:r>
        <w:rPr>
          <w:rFonts w:hint="eastAsia"/>
        </w:rPr>
        <w:t>凭营业执照依法自主开展经营活动</w:t>
      </w:r>
      <w:r>
        <w:rPr>
          <w:rFonts w:hint="eastAsia"/>
          <w:lang w:eastAsia="zh-CN"/>
        </w:rPr>
        <w:t>）。</w:t>
      </w:r>
    </w:p>
    <w:p w14:paraId="748016EB">
      <w:pPr>
        <w:bidi w:val="0"/>
        <w:rPr>
          <w:rFonts w:hint="default"/>
        </w:rPr>
      </w:pPr>
      <w:r>
        <w:rPr>
          <w:rFonts w:hint="default"/>
        </w:rPr>
        <w:t>登记机关</w:t>
      </w:r>
      <w:r>
        <w:rPr>
          <w:rFonts w:hint="eastAsia"/>
          <w:lang w:val="en-US" w:eastAsia="zh-CN"/>
        </w:rPr>
        <w:t xml:space="preserve">  </w:t>
      </w:r>
      <w:r>
        <w:rPr>
          <w:rFonts w:hint="default"/>
        </w:rPr>
        <w:t>文山州广南县</w:t>
      </w:r>
      <w:r>
        <w:rPr>
          <w:rFonts w:hint="eastAsia"/>
          <w:lang w:val="en-US" w:eastAsia="zh-CN"/>
        </w:rPr>
        <w:t>市场监督</w:t>
      </w:r>
      <w:r>
        <w:rPr>
          <w:rFonts w:hint="default"/>
        </w:rPr>
        <w:t>管理局</w:t>
      </w:r>
    </w:p>
    <w:p w14:paraId="28980717">
      <w:pPr>
        <w:bidi w:val="0"/>
      </w:pPr>
      <w:r>
        <w:rPr>
          <w:rFonts w:hint="default"/>
        </w:rPr>
        <w:t>成立日期</w:t>
      </w:r>
      <w:r>
        <w:rPr>
          <w:rFonts w:hint="eastAsia"/>
          <w:lang w:val="en-US" w:eastAsia="zh-CN"/>
        </w:rPr>
        <w:t xml:space="preserve">  </w:t>
      </w:r>
      <w:r>
        <w:t>202</w:t>
      </w:r>
      <w:r>
        <w:rPr>
          <w:rFonts w:hint="eastAsia"/>
          <w:lang w:val="en-US" w:eastAsia="zh-CN"/>
        </w:rPr>
        <w:t>4</w:t>
      </w:r>
      <w:r>
        <w:t>年0</w:t>
      </w:r>
      <w:r>
        <w:rPr>
          <w:rFonts w:hint="eastAsia"/>
          <w:lang w:val="en-US" w:eastAsia="zh-CN"/>
        </w:rPr>
        <w:t>5</w:t>
      </w:r>
      <w:r>
        <w:t>月</w:t>
      </w:r>
      <w:r>
        <w:rPr>
          <w:rFonts w:hint="eastAsia"/>
          <w:lang w:val="en-US" w:eastAsia="zh-CN"/>
        </w:rPr>
        <w:t>24</w:t>
      </w:r>
      <w:r>
        <w:t>日</w:t>
      </w:r>
    </w:p>
    <w:p w14:paraId="342E98E5">
      <w:pPr>
        <w:bidi w:val="0"/>
        <w:rPr>
          <w:rFonts w:hint="eastAsia"/>
          <w:lang w:val="en-US" w:eastAsia="zh-CN"/>
        </w:rPr>
      </w:pPr>
      <w:r>
        <w:rPr>
          <w:rFonts w:hint="default"/>
        </w:rPr>
        <w:t>2、采矿许可证</w:t>
      </w:r>
    </w:p>
    <w:p w14:paraId="4F9D246A">
      <w:pPr>
        <w:bidi w:val="0"/>
        <w:rPr>
          <w:rFonts w:hint="default"/>
        </w:rPr>
      </w:pPr>
      <w:r>
        <w:rPr>
          <w:rFonts w:hint="default"/>
        </w:rPr>
        <w:t>证</w:t>
      </w:r>
      <w:r>
        <w:rPr>
          <w:rFonts w:hint="eastAsia"/>
          <w:lang w:val="en-US" w:eastAsia="zh-CN"/>
        </w:rPr>
        <w:t xml:space="preserve">  </w:t>
      </w:r>
      <w:r>
        <w:rPr>
          <w:rFonts w:hint="default"/>
        </w:rPr>
        <w:t>号</w:t>
      </w:r>
      <w:r>
        <w:rPr>
          <w:rFonts w:hint="eastAsia"/>
          <w:lang w:val="en-US" w:eastAsia="zh-CN"/>
        </w:rPr>
        <w:t xml:space="preserve">  C5326272024127230157765</w:t>
      </w:r>
    </w:p>
    <w:p w14:paraId="0F045AE9">
      <w:pPr>
        <w:bidi w:val="0"/>
        <w:rPr>
          <w:rFonts w:hint="default"/>
        </w:rPr>
      </w:pPr>
      <w:r>
        <w:rPr>
          <w:rFonts w:hint="default"/>
        </w:rPr>
        <w:t>采矿权人</w:t>
      </w:r>
      <w:r>
        <w:rPr>
          <w:rFonts w:hint="eastAsia"/>
          <w:lang w:val="en-US" w:eastAsia="zh-CN"/>
        </w:rPr>
        <w:t xml:space="preserve">  </w:t>
      </w:r>
      <w:r>
        <w:rPr>
          <w:rFonts w:hint="eastAsia"/>
          <w:lang w:eastAsia="zh-CN"/>
        </w:rPr>
        <w:t>广南县城硕矿业有限公司</w:t>
      </w:r>
    </w:p>
    <w:p w14:paraId="781F3090">
      <w:pPr>
        <w:bidi w:val="0"/>
        <w:rPr>
          <w:rFonts w:hint="default"/>
          <w:lang w:val="en-US" w:eastAsia="zh-CN"/>
        </w:rPr>
      </w:pPr>
      <w:r>
        <w:rPr>
          <w:rFonts w:hint="default"/>
        </w:rPr>
        <w:t>地</w:t>
      </w:r>
      <w:r>
        <w:rPr>
          <w:rFonts w:hint="eastAsia"/>
          <w:lang w:val="en-US" w:eastAsia="zh-CN"/>
        </w:rPr>
        <w:t xml:space="preserve">  </w:t>
      </w:r>
      <w:r>
        <w:rPr>
          <w:rFonts w:hint="default"/>
        </w:rPr>
        <w:t>址</w:t>
      </w:r>
      <w:r>
        <w:rPr>
          <w:rFonts w:hint="eastAsia"/>
          <w:lang w:val="en-US" w:eastAsia="zh-CN"/>
        </w:rPr>
        <w:t xml:space="preserve">  </w:t>
      </w:r>
      <w:r>
        <w:rPr>
          <w:rFonts w:hint="default"/>
        </w:rPr>
        <w:t>云南省文山壮族苗族自治州广南县</w:t>
      </w:r>
      <w:r>
        <w:rPr>
          <w:rFonts w:hint="eastAsia"/>
          <w:lang w:val="en-US" w:eastAsia="zh-CN"/>
        </w:rPr>
        <w:t>珠街</w:t>
      </w:r>
      <w:r>
        <w:rPr>
          <w:rFonts w:hint="default"/>
        </w:rPr>
        <w:t>镇</w:t>
      </w:r>
      <w:r>
        <w:rPr>
          <w:rFonts w:hint="eastAsia"/>
          <w:lang w:val="en-US" w:eastAsia="zh-CN"/>
        </w:rPr>
        <w:t>老卧村委会新发寨</w:t>
      </w:r>
    </w:p>
    <w:p w14:paraId="327582C7">
      <w:pPr>
        <w:bidi w:val="0"/>
        <w:rPr>
          <w:rFonts w:hint="default"/>
        </w:rPr>
      </w:pPr>
      <w:r>
        <w:rPr>
          <w:rFonts w:hint="default"/>
        </w:rPr>
        <w:t>矿山名称</w:t>
      </w:r>
      <w:r>
        <w:rPr>
          <w:rFonts w:hint="eastAsia"/>
          <w:lang w:val="en-US" w:eastAsia="zh-CN"/>
        </w:rPr>
        <w:t xml:space="preserve">  </w:t>
      </w:r>
      <w:r>
        <w:rPr>
          <w:rFonts w:hint="default"/>
        </w:rPr>
        <w:t>广南县</w:t>
      </w:r>
      <w:r>
        <w:rPr>
          <w:rFonts w:hint="eastAsia"/>
          <w:lang w:val="en-US" w:eastAsia="zh-CN"/>
        </w:rPr>
        <w:t>麦地大山建筑石料用</w:t>
      </w:r>
      <w:r>
        <w:rPr>
          <w:rFonts w:hint="default"/>
        </w:rPr>
        <w:t>石灰岩</w:t>
      </w:r>
    </w:p>
    <w:p w14:paraId="25458070">
      <w:pPr>
        <w:bidi w:val="0"/>
        <w:rPr>
          <w:rFonts w:hint="default"/>
        </w:rPr>
      </w:pPr>
      <w:r>
        <w:rPr>
          <w:rFonts w:hint="default"/>
        </w:rPr>
        <w:t>经济类型</w:t>
      </w:r>
      <w:r>
        <w:rPr>
          <w:rFonts w:hint="eastAsia"/>
          <w:lang w:val="en-US" w:eastAsia="zh-CN"/>
        </w:rPr>
        <w:t xml:space="preserve">  </w:t>
      </w:r>
      <w:r>
        <w:rPr>
          <w:rFonts w:hint="default"/>
        </w:rPr>
        <w:t>有限责任公司</w:t>
      </w:r>
    </w:p>
    <w:p w14:paraId="2403E6C0">
      <w:pPr>
        <w:bidi w:val="0"/>
        <w:rPr>
          <w:rFonts w:hint="default"/>
          <w:lang w:val="en-US" w:eastAsia="zh-CN"/>
        </w:rPr>
      </w:pPr>
      <w:r>
        <w:rPr>
          <w:rFonts w:hint="default"/>
        </w:rPr>
        <w:t>开采矿种</w:t>
      </w:r>
      <w:r>
        <w:rPr>
          <w:rFonts w:hint="eastAsia"/>
          <w:lang w:val="en-US" w:eastAsia="zh-CN"/>
        </w:rPr>
        <w:t xml:space="preserve">  建筑石料用</w:t>
      </w:r>
      <w:r>
        <w:rPr>
          <w:rFonts w:hint="default"/>
        </w:rPr>
        <w:t>石灰岩</w:t>
      </w:r>
      <w:r>
        <w:rPr>
          <w:rFonts w:hint="eastAsia"/>
          <w:lang w:eastAsia="zh-CN"/>
        </w:rPr>
        <w:t>、</w:t>
      </w:r>
      <w:r>
        <w:rPr>
          <w:rFonts w:hint="eastAsia"/>
          <w:lang w:val="en-US" w:eastAsia="zh-CN"/>
        </w:rPr>
        <w:t>无</w:t>
      </w:r>
    </w:p>
    <w:p w14:paraId="2D339E3E">
      <w:pPr>
        <w:bidi w:val="0"/>
        <w:rPr>
          <w:rFonts w:hint="default"/>
        </w:rPr>
      </w:pPr>
      <w:r>
        <w:rPr>
          <w:rFonts w:hint="default"/>
        </w:rPr>
        <w:t>开采方式</w:t>
      </w:r>
      <w:r>
        <w:rPr>
          <w:rFonts w:hint="eastAsia"/>
          <w:lang w:val="en-US" w:eastAsia="zh-CN"/>
        </w:rPr>
        <w:t xml:space="preserve">  </w:t>
      </w:r>
      <w:r>
        <w:rPr>
          <w:rFonts w:hint="default"/>
        </w:rPr>
        <w:t>露天开采</w:t>
      </w:r>
    </w:p>
    <w:p w14:paraId="521AD8B0">
      <w:pPr>
        <w:bidi w:val="0"/>
        <w:rPr>
          <w:rFonts w:hint="default"/>
        </w:rPr>
      </w:pPr>
      <w:r>
        <w:rPr>
          <w:rFonts w:hint="default"/>
        </w:rPr>
        <w:t>生产规模</w:t>
      </w:r>
      <w:r>
        <w:rPr>
          <w:rFonts w:hint="eastAsia"/>
          <w:lang w:val="en-US" w:eastAsia="zh-CN"/>
        </w:rPr>
        <w:t xml:space="preserve">  30</w:t>
      </w:r>
      <w:r>
        <w:rPr>
          <w:rFonts w:hint="default"/>
        </w:rPr>
        <w:t>万t/a</w:t>
      </w:r>
    </w:p>
    <w:p w14:paraId="7F7F2012">
      <w:pPr>
        <w:bidi w:val="0"/>
        <w:rPr>
          <w:rFonts w:hint="default"/>
          <w:lang w:val="en-US"/>
        </w:rPr>
      </w:pPr>
      <w:r>
        <w:rPr>
          <w:rFonts w:hint="default"/>
        </w:rPr>
        <w:t>矿区面积</w:t>
      </w:r>
      <w:r>
        <w:rPr>
          <w:rFonts w:hint="eastAsia"/>
          <w:lang w:val="en-US" w:eastAsia="zh-CN"/>
        </w:rPr>
        <w:t xml:space="preserve">  0.0266km</w:t>
      </w:r>
      <w:r>
        <w:rPr>
          <w:rFonts w:hint="eastAsia"/>
          <w:vertAlign w:val="superscript"/>
          <w:lang w:val="en-US" w:eastAsia="zh-CN"/>
        </w:rPr>
        <w:t>2</w:t>
      </w:r>
    </w:p>
    <w:p w14:paraId="7737832D">
      <w:pPr>
        <w:bidi w:val="0"/>
        <w:rPr>
          <w:rFonts w:hint="default"/>
        </w:rPr>
      </w:pPr>
      <w:r>
        <w:rPr>
          <w:rFonts w:hint="eastAsia"/>
          <w:lang w:eastAsia="zh-CN"/>
        </w:rPr>
        <w:t>有效期限</w:t>
      </w:r>
      <w:r>
        <w:rPr>
          <w:rFonts w:hint="eastAsia"/>
          <w:lang w:val="en-US" w:eastAsia="zh-CN"/>
        </w:rPr>
        <w:t xml:space="preserve">  陆</w:t>
      </w:r>
      <w:r>
        <w:rPr>
          <w:rFonts w:hint="default"/>
        </w:rPr>
        <w:t>年</w:t>
      </w:r>
      <w:r>
        <w:rPr>
          <w:rFonts w:hint="eastAsia"/>
          <w:lang w:val="en-US" w:eastAsia="zh-CN"/>
        </w:rPr>
        <w:t>零贰月</w:t>
      </w:r>
      <w:r>
        <w:rPr>
          <w:rFonts w:hint="eastAsia"/>
          <w:lang w:eastAsia="zh-CN"/>
        </w:rPr>
        <w:t>，</w:t>
      </w:r>
      <w:r>
        <w:rPr>
          <w:rFonts w:hint="eastAsia"/>
          <w:lang w:val="en-US" w:eastAsia="zh-CN"/>
        </w:rPr>
        <w:t>自2024年12月20日至2031年02月20日</w:t>
      </w:r>
    </w:p>
    <w:p w14:paraId="0A7038DB">
      <w:pPr>
        <w:bidi w:val="0"/>
        <w:rPr>
          <w:rFonts w:hint="default"/>
        </w:rPr>
      </w:pPr>
      <w:r>
        <w:rPr>
          <w:rFonts w:hint="default"/>
        </w:rPr>
        <w:t>开采深度</w:t>
      </w:r>
    </w:p>
    <w:p w14:paraId="66A3A53E">
      <w:pPr>
        <w:bidi w:val="0"/>
        <w:rPr>
          <w:rFonts w:hint="default"/>
        </w:rPr>
      </w:pPr>
      <w:r>
        <w:rPr>
          <w:rFonts w:hint="default"/>
        </w:rPr>
        <w:t>发证机关</w:t>
      </w:r>
      <w:r>
        <w:rPr>
          <w:rFonts w:hint="eastAsia"/>
          <w:lang w:val="en-US" w:eastAsia="zh-CN"/>
        </w:rPr>
        <w:t xml:space="preserve">  </w:t>
      </w:r>
      <w:r>
        <w:rPr>
          <w:rFonts w:hint="default"/>
        </w:rPr>
        <w:t>广南县自然资源局</w:t>
      </w:r>
    </w:p>
    <w:p w14:paraId="3A7D8F9E">
      <w:pPr>
        <w:bidi w:val="0"/>
        <w:rPr>
          <w:rFonts w:hint="eastAsia"/>
          <w:lang w:val="en-US" w:eastAsia="zh-CN"/>
        </w:rPr>
      </w:pPr>
      <w:r>
        <w:rPr>
          <w:rFonts w:hint="eastAsia"/>
          <w:lang w:val="en-US" w:eastAsia="zh-CN"/>
        </w:rPr>
        <w:t>发证日期  2024年12月20日</w:t>
      </w:r>
    </w:p>
    <w:p w14:paraId="3D94C845">
      <w:pPr>
        <w:bidi w:val="0"/>
      </w:pPr>
      <w:r>
        <w:rPr>
          <w:rFonts w:hint="eastAsia"/>
          <w:lang w:val="en-US" w:eastAsia="zh-CN"/>
        </w:rPr>
        <w:t>3</w:t>
      </w:r>
      <w:r>
        <w:t>、经济类型</w:t>
      </w:r>
    </w:p>
    <w:p w14:paraId="6524D16E">
      <w:pPr>
        <w:bidi w:val="0"/>
      </w:pPr>
      <w:r>
        <w:rPr>
          <w:rFonts w:hint="eastAsia"/>
          <w:lang w:eastAsia="zh-CN"/>
        </w:rPr>
        <w:t>广南县城硕矿业有限公司</w:t>
      </w:r>
      <w:r>
        <w:t>类型为有限责任公司（自然人投资或控股）。</w:t>
      </w:r>
    </w:p>
    <w:p w14:paraId="6DEF2413">
      <w:pPr>
        <w:bidi w:val="0"/>
      </w:pPr>
      <w:r>
        <w:rPr>
          <w:rFonts w:hint="eastAsia"/>
          <w:lang w:val="en-US" w:eastAsia="zh-CN"/>
        </w:rPr>
        <w:t>4</w:t>
      </w:r>
      <w:r>
        <w:t>、隶属关系</w:t>
      </w:r>
    </w:p>
    <w:p w14:paraId="4CEAD4C2">
      <w:pPr>
        <w:bidi w:val="0"/>
      </w:pPr>
      <w:r>
        <w:rPr>
          <w:rFonts w:hint="eastAsia" w:ascii="Times New Roman" w:hAnsi="Times New Roman" w:eastAsia="宋体" w:cs="Times New Roman"/>
          <w:sz w:val="28"/>
          <w:szCs w:val="28"/>
          <w:lang w:eastAsia="zh-CN"/>
        </w:rPr>
        <w:t>广南县麦地大山建筑石料用石灰岩矿</w:t>
      </w:r>
      <w:r>
        <w:rPr>
          <w:rFonts w:hint="eastAsia"/>
        </w:rPr>
        <w:t>采矿权人即为</w:t>
      </w:r>
      <w:r>
        <w:rPr>
          <w:rFonts w:hint="eastAsia"/>
          <w:lang w:eastAsia="zh-CN"/>
        </w:rPr>
        <w:t>广南县城硕矿业有限公司</w:t>
      </w:r>
      <w:r>
        <w:t>。</w:t>
      </w:r>
    </w:p>
    <w:bookmarkEnd w:id="105"/>
    <w:bookmarkEnd w:id="106"/>
    <w:bookmarkEnd w:id="107"/>
    <w:p w14:paraId="61234AED">
      <w:pPr>
        <w:pStyle w:val="4"/>
        <w:bidi w:val="0"/>
      </w:pPr>
      <w:bookmarkStart w:id="108" w:name="_Toc503469787"/>
      <w:bookmarkStart w:id="109" w:name="_Toc501120271"/>
      <w:bookmarkStart w:id="110" w:name="_Toc214283997"/>
      <w:bookmarkStart w:id="111" w:name="_Toc5135"/>
      <w:bookmarkStart w:id="112" w:name="_Toc30156"/>
      <w:bookmarkStart w:id="113" w:name="_Toc226963127"/>
      <w:bookmarkStart w:id="114" w:name="_Toc115120612"/>
      <w:bookmarkStart w:id="115" w:name="_Toc115120218"/>
      <w:bookmarkStart w:id="116" w:name="_Toc242849739"/>
      <w:r>
        <w:t>2.1.2建设项目背景</w:t>
      </w:r>
      <w:bookmarkEnd w:id="108"/>
      <w:bookmarkEnd w:id="109"/>
      <w:r>
        <w:t>及立项情况</w:t>
      </w:r>
      <w:bookmarkEnd w:id="110"/>
      <w:bookmarkEnd w:id="111"/>
      <w:bookmarkEnd w:id="112"/>
    </w:p>
    <w:p w14:paraId="79D3A11A">
      <w:pPr>
        <w:numPr>
          <w:ilvl w:val="0"/>
          <w:numId w:val="1"/>
        </w:numPr>
      </w:pPr>
      <w:bookmarkStart w:id="117" w:name="_Toc503469789"/>
      <w:bookmarkStart w:id="118" w:name="_Toc214283998"/>
      <w:bookmarkStart w:id="119" w:name="_Toc501120273"/>
      <w:r>
        <w:t>建设项目背景</w:t>
      </w:r>
    </w:p>
    <w:p w14:paraId="76433DF4">
      <w:pPr>
        <w:bidi w:val="0"/>
        <w:rPr>
          <w:rFonts w:hint="eastAsia"/>
          <w:lang w:eastAsia="zh-CN"/>
        </w:rPr>
      </w:pPr>
      <w:r>
        <w:rPr>
          <w:rFonts w:hint="eastAsia"/>
        </w:rPr>
        <w:t>2009年</w:t>
      </w:r>
      <w:r>
        <w:rPr>
          <w:rFonts w:hint="eastAsia"/>
          <w:lang w:eastAsia="zh-CN"/>
        </w:rPr>
        <w:t>，</w:t>
      </w:r>
      <w:r>
        <w:rPr>
          <w:rFonts w:hint="eastAsia"/>
          <w:lang w:val="en-US" w:eastAsia="zh-CN"/>
        </w:rPr>
        <w:t>原矿区成立</w:t>
      </w:r>
      <w:r>
        <w:rPr>
          <w:rFonts w:hint="eastAsia"/>
        </w:rPr>
        <w:t>广南县珠街</w:t>
      </w:r>
      <w:r>
        <w:rPr>
          <w:rFonts w:hint="eastAsia"/>
          <w:lang w:val="en-US" w:eastAsia="zh-CN"/>
        </w:rPr>
        <w:t>镇</w:t>
      </w:r>
      <w:r>
        <w:rPr>
          <w:rFonts w:hint="eastAsia"/>
        </w:rPr>
        <w:t>麦地大山石厂</w:t>
      </w:r>
      <w:r>
        <w:rPr>
          <w:rFonts w:hint="eastAsia"/>
          <w:lang w:val="en-US" w:eastAsia="zh-CN"/>
        </w:rPr>
        <w:t>并</w:t>
      </w:r>
      <w:r>
        <w:rPr>
          <w:rFonts w:hint="eastAsia"/>
        </w:rPr>
        <w:t>首次依法取得采矿许可证</w:t>
      </w:r>
      <w:r>
        <w:rPr>
          <w:rFonts w:hint="eastAsia"/>
          <w:lang w:eastAsia="zh-CN"/>
        </w:rPr>
        <w:t>，</w:t>
      </w:r>
      <w:r>
        <w:rPr>
          <w:rFonts w:hint="eastAsia"/>
        </w:rPr>
        <w:t>采矿许可证经历</w:t>
      </w:r>
      <w:r>
        <w:rPr>
          <w:rFonts w:hint="eastAsia"/>
          <w:lang w:val="en-US" w:eastAsia="zh-CN"/>
        </w:rPr>
        <w:t>了</w:t>
      </w:r>
      <w:r>
        <w:rPr>
          <w:rFonts w:hint="eastAsia"/>
        </w:rPr>
        <w:t>三次延续</w:t>
      </w:r>
      <w:r>
        <w:rPr>
          <w:rFonts w:hint="eastAsia"/>
          <w:lang w:eastAsia="zh-CN"/>
        </w:rPr>
        <w:t>。</w:t>
      </w:r>
      <w:r>
        <w:rPr>
          <w:rFonts w:hint="eastAsia"/>
        </w:rPr>
        <w:t>矿山开采</w:t>
      </w:r>
      <w:r>
        <w:rPr>
          <w:rFonts w:hint="eastAsia"/>
          <w:lang w:val="en-US" w:eastAsia="zh-CN"/>
        </w:rPr>
        <w:t>期间</w:t>
      </w:r>
      <w:r>
        <w:rPr>
          <w:rFonts w:hint="eastAsia"/>
          <w:lang w:eastAsia="zh-CN"/>
        </w:rPr>
        <w:t>，</w:t>
      </w:r>
      <w:r>
        <w:rPr>
          <w:rFonts w:hint="eastAsia"/>
        </w:rPr>
        <w:t>北部开采边坡高度最大约90</w:t>
      </w:r>
      <w:r>
        <w:rPr>
          <w:rFonts w:hint="eastAsia"/>
          <w:lang w:eastAsia="zh-CN"/>
        </w:rPr>
        <w:t>m，</w:t>
      </w:r>
      <w:r>
        <w:rPr>
          <w:rFonts w:hint="eastAsia"/>
        </w:rPr>
        <w:t>角度约70°</w:t>
      </w:r>
      <w:r>
        <w:rPr>
          <w:rFonts w:hint="eastAsia"/>
          <w:lang w:eastAsia="zh-CN"/>
        </w:rPr>
        <w:t>，</w:t>
      </w:r>
      <w:r>
        <w:rPr>
          <w:rFonts w:hint="eastAsia"/>
        </w:rPr>
        <w:t>西部开采为平台</w:t>
      </w:r>
      <w:r>
        <w:rPr>
          <w:rFonts w:hint="eastAsia"/>
          <w:lang w:eastAsia="zh-CN"/>
        </w:rPr>
        <w:t>，</w:t>
      </w:r>
      <w:r>
        <w:rPr>
          <w:rFonts w:hint="eastAsia"/>
        </w:rPr>
        <w:t>与现有矿坑底部相平</w:t>
      </w:r>
      <w:r>
        <w:rPr>
          <w:rFonts w:hint="eastAsia"/>
          <w:lang w:eastAsia="zh-CN"/>
        </w:rPr>
        <w:t>。</w:t>
      </w:r>
      <w:r>
        <w:rPr>
          <w:rFonts w:hint="eastAsia"/>
        </w:rPr>
        <w:t>矿山存在越界开采现象</w:t>
      </w:r>
      <w:r>
        <w:rPr>
          <w:rFonts w:hint="eastAsia"/>
          <w:lang w:eastAsia="zh-CN"/>
        </w:rPr>
        <w:t>，</w:t>
      </w:r>
      <w:r>
        <w:rPr>
          <w:rFonts w:hint="eastAsia"/>
        </w:rPr>
        <w:t>分布于矿山北部和南部</w:t>
      </w:r>
      <w:r>
        <w:rPr>
          <w:rFonts w:hint="eastAsia"/>
          <w:lang w:eastAsia="zh-CN"/>
        </w:rPr>
        <w:t>，</w:t>
      </w:r>
      <w:r>
        <w:rPr>
          <w:rFonts w:hint="eastAsia"/>
        </w:rPr>
        <w:t>北部越界开采为2017年前开采</w:t>
      </w:r>
      <w:r>
        <w:rPr>
          <w:rFonts w:hint="eastAsia"/>
          <w:lang w:eastAsia="zh-CN"/>
        </w:rPr>
        <w:t>，</w:t>
      </w:r>
      <w:r>
        <w:rPr>
          <w:rFonts w:hint="eastAsia"/>
        </w:rPr>
        <w:t>执法大队已经对越界开采行为进行</w:t>
      </w:r>
      <w:r>
        <w:rPr>
          <w:rFonts w:hint="eastAsia"/>
          <w:lang w:val="en-US" w:eastAsia="zh-CN"/>
        </w:rPr>
        <w:t>了</w:t>
      </w:r>
      <w:r>
        <w:rPr>
          <w:rFonts w:hint="eastAsia"/>
        </w:rPr>
        <w:t>处罚</w:t>
      </w:r>
      <w:r>
        <w:rPr>
          <w:rFonts w:hint="eastAsia"/>
          <w:lang w:eastAsia="zh-CN"/>
        </w:rPr>
        <w:t>。</w:t>
      </w:r>
      <w:r>
        <w:rPr>
          <w:rFonts w:hint="eastAsia"/>
          <w:lang w:val="en-US" w:eastAsia="zh-CN"/>
        </w:rPr>
        <w:t>矿区</w:t>
      </w:r>
      <w:r>
        <w:rPr>
          <w:rFonts w:hint="eastAsia"/>
        </w:rPr>
        <w:t>开采边坡长约150</w:t>
      </w:r>
      <w:r>
        <w:rPr>
          <w:rFonts w:hint="eastAsia"/>
          <w:lang w:val="en-US" w:eastAsia="zh-CN"/>
        </w:rPr>
        <w:t>m</w:t>
      </w:r>
      <w:r>
        <w:rPr>
          <w:rFonts w:hint="eastAsia"/>
          <w:lang w:eastAsia="zh-CN"/>
        </w:rPr>
        <w:t>—</w:t>
      </w:r>
      <w:r>
        <w:rPr>
          <w:rFonts w:hint="eastAsia"/>
        </w:rPr>
        <w:t>160</w:t>
      </w:r>
      <w:r>
        <w:rPr>
          <w:rFonts w:hint="eastAsia"/>
          <w:lang w:eastAsia="zh-CN"/>
        </w:rPr>
        <w:t>m，</w:t>
      </w:r>
      <w:r>
        <w:rPr>
          <w:rFonts w:hint="eastAsia"/>
        </w:rPr>
        <w:t>高度约18</w:t>
      </w:r>
      <w:r>
        <w:rPr>
          <w:rFonts w:hint="eastAsia"/>
          <w:lang w:val="en-US" w:eastAsia="zh-CN"/>
        </w:rPr>
        <w:t>m</w:t>
      </w:r>
      <w:r>
        <w:rPr>
          <w:rFonts w:hint="eastAsia"/>
          <w:lang w:eastAsia="zh-CN"/>
        </w:rPr>
        <w:t>—</w:t>
      </w:r>
      <w:r>
        <w:rPr>
          <w:rFonts w:hint="eastAsia"/>
        </w:rPr>
        <w:t>36</w:t>
      </w:r>
      <w:r>
        <w:rPr>
          <w:rFonts w:hint="eastAsia"/>
          <w:lang w:eastAsia="zh-CN"/>
        </w:rPr>
        <w:t>m，</w:t>
      </w:r>
      <w:r>
        <w:rPr>
          <w:rFonts w:hint="eastAsia"/>
        </w:rPr>
        <w:t>边坡角度约62°</w:t>
      </w:r>
      <w:r>
        <w:rPr>
          <w:rFonts w:hint="eastAsia"/>
          <w:lang w:val="en-US" w:eastAsia="zh-CN"/>
        </w:rPr>
        <w:t>-</w:t>
      </w:r>
      <w:r>
        <w:rPr>
          <w:rFonts w:hint="eastAsia"/>
        </w:rPr>
        <w:t>70°</w:t>
      </w:r>
      <w:r>
        <w:rPr>
          <w:rFonts w:hint="eastAsia"/>
          <w:lang w:eastAsia="zh-CN"/>
        </w:rPr>
        <w:t>，</w:t>
      </w:r>
      <w:r>
        <w:rPr>
          <w:rFonts w:hint="eastAsia"/>
        </w:rPr>
        <w:t>为不规则半环形</w:t>
      </w:r>
      <w:r>
        <w:rPr>
          <w:rFonts w:hint="eastAsia"/>
          <w:lang w:eastAsia="zh-CN"/>
        </w:rPr>
        <w:t>；</w:t>
      </w:r>
      <w:r>
        <w:rPr>
          <w:rFonts w:hint="eastAsia"/>
        </w:rPr>
        <w:t>南部越界开采为生产区和堆废料区的场平施工造成的</w:t>
      </w:r>
      <w:r>
        <w:rPr>
          <w:rFonts w:hint="eastAsia"/>
          <w:lang w:eastAsia="zh-CN"/>
        </w:rPr>
        <w:t>。</w:t>
      </w:r>
      <w:r>
        <w:rPr>
          <w:rFonts w:hint="eastAsia"/>
          <w:lang w:val="en-US" w:eastAsia="zh-CN"/>
        </w:rPr>
        <w:t>按照</w:t>
      </w:r>
      <w:r>
        <w:rPr>
          <w:rFonts w:hint="eastAsia"/>
          <w:lang w:val="zh-CN"/>
        </w:rPr>
        <w:t>《广南县矿产资源总体规划》（2021—2025年）</w:t>
      </w:r>
      <w:r>
        <w:rPr>
          <w:rFonts w:hint="eastAsia"/>
          <w:lang w:eastAsia="zh-CN"/>
        </w:rPr>
        <w:t>，</w:t>
      </w:r>
      <w:r>
        <w:rPr>
          <w:rFonts w:hint="eastAsia"/>
        </w:rPr>
        <w:t>广南</w:t>
      </w:r>
      <w:r>
        <w:t>县自然资源局批准</w:t>
      </w:r>
      <w:r>
        <w:rPr>
          <w:rFonts w:hint="eastAsia"/>
        </w:rPr>
        <w:t>云南省广南县麦地大山建筑石料用石灰岩矿</w:t>
      </w:r>
      <w:r>
        <w:rPr>
          <w:rFonts w:hint="eastAsia"/>
          <w:lang w:val="zh-CN"/>
        </w:rPr>
        <w:t>扩大矿区范围，矿区面积由原0.</w:t>
      </w:r>
      <w:r>
        <w:rPr>
          <w:rFonts w:hint="eastAsia"/>
        </w:rPr>
        <w:t>0067km</w:t>
      </w:r>
      <w:r>
        <w:rPr>
          <w:rFonts w:hint="eastAsia"/>
          <w:vertAlign w:val="superscript"/>
        </w:rPr>
        <w:t>2</w:t>
      </w:r>
      <w:r>
        <w:rPr>
          <w:rFonts w:hint="eastAsia"/>
          <w:lang w:val="zh-CN"/>
        </w:rPr>
        <w:t>变更为0.</w:t>
      </w:r>
      <w:r>
        <w:rPr>
          <w:rFonts w:hint="eastAsia"/>
        </w:rPr>
        <w:t>0266km</w:t>
      </w:r>
      <w:r>
        <w:rPr>
          <w:rFonts w:hint="eastAsia"/>
          <w:vertAlign w:val="superscript"/>
        </w:rPr>
        <w:t>2</w:t>
      </w:r>
      <w:r>
        <w:rPr>
          <w:rFonts w:hint="eastAsia"/>
          <w:lang w:val="zh-CN"/>
        </w:rPr>
        <w:t>，标高由</w:t>
      </w:r>
      <w:r>
        <w:rPr>
          <w:rFonts w:hint="eastAsia"/>
        </w:rPr>
        <w:t>1709m</w:t>
      </w:r>
      <w:r>
        <w:rPr>
          <w:rFonts w:hint="eastAsia"/>
          <w:lang w:eastAsia="zh-CN"/>
        </w:rPr>
        <w:t>—</w:t>
      </w:r>
      <w:r>
        <w:rPr>
          <w:rFonts w:hint="eastAsia"/>
        </w:rPr>
        <w:t>1644m</w:t>
      </w:r>
      <w:r>
        <w:rPr>
          <w:rFonts w:hint="eastAsia"/>
          <w:lang w:val="zh-CN"/>
        </w:rPr>
        <w:t>变更为</w:t>
      </w:r>
      <w:r>
        <w:rPr>
          <w:rFonts w:hint="eastAsia"/>
        </w:rPr>
        <w:t>1724m</w:t>
      </w:r>
      <w:r>
        <w:rPr>
          <w:rFonts w:hint="eastAsia"/>
          <w:lang w:eastAsia="zh-CN"/>
        </w:rPr>
        <w:t>—</w:t>
      </w:r>
      <w:r>
        <w:rPr>
          <w:rFonts w:hint="eastAsia"/>
        </w:rPr>
        <w:t>1607m</w:t>
      </w:r>
      <w:r>
        <w:rPr>
          <w:rFonts w:hint="eastAsia"/>
          <w:lang w:val="zh-CN"/>
        </w:rPr>
        <w:t>，生产规模由1</w:t>
      </w:r>
      <w:r>
        <w:rPr>
          <w:rFonts w:hint="eastAsia"/>
        </w:rPr>
        <w:t>0</w:t>
      </w:r>
      <w:r>
        <w:rPr>
          <w:rFonts w:hint="eastAsia"/>
          <w:lang w:val="zh-CN"/>
        </w:rPr>
        <w:t>万</w:t>
      </w:r>
      <w:r>
        <w:rPr>
          <w:rFonts w:hint="eastAsia"/>
        </w:rPr>
        <w:t>t</w:t>
      </w:r>
      <w:r>
        <w:rPr>
          <w:rFonts w:hint="eastAsia"/>
          <w:lang w:val="zh-CN"/>
        </w:rPr>
        <w:t>/</w:t>
      </w:r>
      <w:r>
        <w:rPr>
          <w:rFonts w:hint="eastAsia"/>
        </w:rPr>
        <w:t>a</w:t>
      </w:r>
      <w:r>
        <w:rPr>
          <w:rFonts w:hint="eastAsia"/>
          <w:lang w:val="zh-CN"/>
        </w:rPr>
        <w:t>变更为</w:t>
      </w:r>
      <w:r>
        <w:rPr>
          <w:rFonts w:hint="eastAsia"/>
        </w:rPr>
        <w:t>30</w:t>
      </w:r>
      <w:r>
        <w:rPr>
          <w:rFonts w:hint="eastAsia"/>
          <w:lang w:val="zh-CN"/>
        </w:rPr>
        <w:t>万</w:t>
      </w:r>
      <w:r>
        <w:rPr>
          <w:rFonts w:hint="eastAsia"/>
        </w:rPr>
        <w:t>t</w:t>
      </w:r>
      <w:r>
        <w:rPr>
          <w:rFonts w:hint="eastAsia"/>
          <w:lang w:val="zh-CN"/>
        </w:rPr>
        <w:t>/</w:t>
      </w:r>
      <w:r>
        <w:rPr>
          <w:rFonts w:hint="eastAsia"/>
        </w:rPr>
        <w:t>a</w:t>
      </w:r>
      <w:r>
        <w:rPr>
          <w:rFonts w:hint="eastAsia"/>
          <w:lang w:eastAsia="zh-CN"/>
        </w:rPr>
        <w:t>。</w:t>
      </w:r>
      <w:r>
        <w:rPr>
          <w:rFonts w:hint="eastAsia"/>
        </w:rPr>
        <w:t>注销老采矿权</w:t>
      </w:r>
      <w:r>
        <w:rPr>
          <w:rFonts w:hint="eastAsia"/>
          <w:lang w:eastAsia="zh-CN"/>
        </w:rPr>
        <w:t>，</w:t>
      </w:r>
      <w:r>
        <w:rPr>
          <w:rFonts w:hint="eastAsia"/>
        </w:rPr>
        <w:t>扩大矿区范围</w:t>
      </w:r>
      <w:r>
        <w:rPr>
          <w:rFonts w:hint="eastAsia"/>
          <w:lang w:eastAsia="zh-CN"/>
        </w:rPr>
        <w:t>，</w:t>
      </w:r>
      <w:r>
        <w:rPr>
          <w:rFonts w:hint="eastAsia"/>
        </w:rPr>
        <w:t>通过招拍挂进行确定办理新立采矿权</w:t>
      </w:r>
      <w:r>
        <w:rPr>
          <w:rFonts w:hint="eastAsia"/>
          <w:lang w:eastAsia="zh-CN"/>
        </w:rPr>
        <w:t>。</w:t>
      </w:r>
    </w:p>
    <w:p w14:paraId="40DFE64C">
      <w:pPr>
        <w:keepNext w:val="0"/>
        <w:keepLines w:val="0"/>
        <w:pageBreakBefore w:val="0"/>
        <w:widowControl w:val="0"/>
        <w:numPr>
          <w:ilvl w:val="0"/>
          <w:numId w:val="0"/>
        </w:numPr>
        <w:kinsoku/>
        <w:wordWrap/>
        <w:overflowPunct/>
        <w:autoSpaceDE/>
        <w:autoSpaceDN/>
        <w:bidi w:val="0"/>
        <w:adjustRightInd w:val="0"/>
        <w:snapToGrid w:val="0"/>
        <w:spacing w:line="360" w:lineRule="auto"/>
        <w:ind w:firstLine="552" w:firstLineChars="200"/>
        <w:jc w:val="both"/>
        <w:textAlignment w:val="auto"/>
        <w:rPr>
          <w:rFonts w:hint="default" w:ascii="Times New Roman" w:hAnsi="Times New Roman"/>
          <w:caps w:val="0"/>
          <w:smallCaps w:val="0"/>
          <w:color w:val="000000"/>
          <w:sz w:val="28"/>
          <w:szCs w:val="28"/>
          <w:highlight w:val="none"/>
          <w:lang w:val="en-US" w:eastAsia="zh-CN"/>
        </w:rPr>
      </w:pPr>
      <w:r>
        <w:rPr>
          <w:rFonts w:hint="eastAsia"/>
          <w:sz w:val="28"/>
          <w:szCs w:val="28"/>
          <w:lang w:eastAsia="zh-CN"/>
        </w:rPr>
        <w:t>广南县城硕矿业有限公司</w:t>
      </w:r>
      <w:r>
        <w:rPr>
          <w:sz w:val="28"/>
          <w:szCs w:val="28"/>
        </w:rPr>
        <w:t>成立于202</w:t>
      </w:r>
      <w:r>
        <w:rPr>
          <w:rFonts w:hint="eastAsia"/>
          <w:sz w:val="28"/>
          <w:szCs w:val="28"/>
          <w:lang w:val="en-US" w:eastAsia="zh-CN"/>
        </w:rPr>
        <w:t>4</w:t>
      </w:r>
      <w:r>
        <w:rPr>
          <w:sz w:val="28"/>
          <w:szCs w:val="28"/>
        </w:rPr>
        <w:t>年0</w:t>
      </w:r>
      <w:r>
        <w:rPr>
          <w:rFonts w:hint="eastAsia"/>
          <w:sz w:val="28"/>
          <w:szCs w:val="28"/>
          <w:lang w:val="en-US" w:eastAsia="zh-CN"/>
        </w:rPr>
        <w:t>5</w:t>
      </w:r>
      <w:r>
        <w:rPr>
          <w:sz w:val="28"/>
          <w:szCs w:val="28"/>
        </w:rPr>
        <w:t>月</w:t>
      </w:r>
      <w:r>
        <w:rPr>
          <w:rFonts w:hint="eastAsia"/>
          <w:sz w:val="28"/>
          <w:szCs w:val="28"/>
          <w:lang w:val="en-US" w:eastAsia="zh-CN"/>
        </w:rPr>
        <w:t>24</w:t>
      </w:r>
      <w:r>
        <w:rPr>
          <w:sz w:val="28"/>
          <w:szCs w:val="28"/>
        </w:rPr>
        <w:t>日，注册地位于云南省</w:t>
      </w:r>
      <w:r>
        <w:rPr>
          <w:rFonts w:hint="eastAsia"/>
          <w:sz w:val="28"/>
          <w:szCs w:val="28"/>
          <w:lang w:val="en-US" w:eastAsia="zh-CN"/>
        </w:rPr>
        <w:t>文山壮族苗族自治州广南县珠街镇老卧村委会新发寨。</w:t>
      </w:r>
      <w:r>
        <w:rPr>
          <w:rFonts w:hint="eastAsia" w:ascii="Times New Roman" w:hAnsi="Times New Roman"/>
          <w:bCs/>
          <w:color w:val="000000"/>
          <w:szCs w:val="28"/>
          <w:lang w:val="en-US" w:eastAsia="zh-CN"/>
        </w:rPr>
        <w:t>2024</w:t>
      </w:r>
      <w:r>
        <w:rPr>
          <w:rFonts w:ascii="Times New Roman" w:hAnsi="Times New Roman"/>
          <w:bCs/>
          <w:color w:val="000000"/>
          <w:szCs w:val="28"/>
        </w:rPr>
        <w:t>年</w:t>
      </w:r>
      <w:r>
        <w:rPr>
          <w:rFonts w:hint="eastAsia" w:ascii="Times New Roman" w:hAnsi="Times New Roman"/>
          <w:bCs/>
          <w:color w:val="000000"/>
          <w:szCs w:val="28"/>
          <w:lang w:val="en-US" w:eastAsia="zh-CN"/>
        </w:rPr>
        <w:t>10月22日</w:t>
      </w:r>
      <w:r>
        <w:rPr>
          <w:rFonts w:ascii="Times New Roman" w:hAnsi="Times New Roman"/>
          <w:bCs/>
          <w:color w:val="000000"/>
          <w:szCs w:val="28"/>
        </w:rPr>
        <w:t>依法取得</w:t>
      </w:r>
      <w:r>
        <w:rPr>
          <w:rFonts w:hint="eastAsia" w:ascii="Times New Roman" w:hAnsi="Times New Roman"/>
          <w:color w:val="000000"/>
          <w:szCs w:val="28"/>
          <w:lang w:eastAsia="zh-CN"/>
        </w:rPr>
        <w:t>广南县麦地大山建筑石料用石灰岩矿</w:t>
      </w:r>
      <w:r>
        <w:rPr>
          <w:rFonts w:ascii="Times New Roman" w:hAnsi="Times New Roman"/>
          <w:bCs/>
          <w:color w:val="000000"/>
          <w:szCs w:val="28"/>
        </w:rPr>
        <w:t>采矿许可证，采矿许可证编号：</w:t>
      </w:r>
      <w:r>
        <w:rPr>
          <w:rFonts w:hint="eastAsia" w:ascii="Times New Roman" w:hAnsi="Times New Roman"/>
          <w:bCs/>
          <w:color w:val="000000"/>
          <w:szCs w:val="28"/>
          <w:lang w:eastAsia="zh-CN"/>
        </w:rPr>
        <w:t>C5326272024127230157765</w:t>
      </w:r>
      <w:r>
        <w:rPr>
          <w:rFonts w:ascii="Times New Roman" w:hAnsi="Times New Roman"/>
          <w:bCs/>
          <w:color w:val="000000"/>
          <w:szCs w:val="28"/>
        </w:rPr>
        <w:t>；</w:t>
      </w:r>
      <w:r>
        <w:rPr>
          <w:rFonts w:hint="eastAsia"/>
          <w:bCs/>
          <w:color w:val="000000"/>
          <w:szCs w:val="28"/>
        </w:rPr>
        <w:t>地址：</w:t>
      </w:r>
      <w:r>
        <w:rPr>
          <w:rFonts w:hint="eastAsia"/>
          <w:color w:val="000000"/>
          <w:szCs w:val="28"/>
        </w:rPr>
        <w:t>广南县珠街镇老卧新发寨；矿山名称：广南县麦地大山建筑石料用石灰岩矿；生产规模：30万t/a；矿区面积：0.0266km</w:t>
      </w:r>
      <w:r>
        <w:rPr>
          <w:rFonts w:hint="eastAsia"/>
          <w:color w:val="000000"/>
          <w:szCs w:val="28"/>
          <w:vertAlign w:val="superscript"/>
        </w:rPr>
        <w:t>2</w:t>
      </w:r>
      <w:r>
        <w:rPr>
          <w:rFonts w:hint="eastAsia"/>
          <w:bCs/>
          <w:color w:val="000000"/>
          <w:szCs w:val="28"/>
        </w:rPr>
        <w:t>；</w:t>
      </w:r>
      <w:r>
        <w:rPr>
          <w:rFonts w:hint="eastAsia"/>
          <w:color w:val="000000"/>
          <w:szCs w:val="28"/>
        </w:rPr>
        <w:t>开采深度：1724m～1607m；有限期限：陆年零贰月，自2024年12月20日～2031年2月20日。</w:t>
      </w:r>
    </w:p>
    <w:p w14:paraId="5D95B204">
      <w:pPr>
        <w:pStyle w:val="15"/>
        <w:spacing w:before="7" w:line="359" w:lineRule="auto"/>
        <w:ind w:left="37" w:right="25" w:firstLine="564"/>
        <w:jc w:val="both"/>
        <w:rPr>
          <w:rFonts w:hint="eastAsia" w:ascii="Times New Roman" w:hAnsi="Times New Roman"/>
          <w:color w:val="000000" w:themeColor="text1"/>
          <w:lang w:val="en-US" w:eastAsia="zh-CN"/>
          <w14:textFill>
            <w14:solidFill>
              <w14:schemeClr w14:val="tx1"/>
            </w14:solidFill>
          </w14:textFill>
        </w:rPr>
      </w:pPr>
      <w:r>
        <w:rPr>
          <w:rFonts w:hint="eastAsia"/>
          <w:color w:val="auto"/>
          <w:sz w:val="28"/>
          <w:szCs w:val="28"/>
        </w:rPr>
        <w:t>广南县麦地大山建筑石料用石灰岩矿</w:t>
      </w:r>
      <w:r>
        <w:rPr>
          <w:color w:val="auto"/>
          <w:sz w:val="28"/>
          <w:szCs w:val="28"/>
        </w:rPr>
        <w:t>50万t/a露天采矿工程</w:t>
      </w:r>
      <w:r>
        <w:rPr>
          <w:rFonts w:hint="eastAsia"/>
          <w:color w:val="auto"/>
          <w:sz w:val="28"/>
          <w:szCs w:val="28"/>
          <w:lang w:val="en-US" w:eastAsia="zh-CN"/>
        </w:rPr>
        <w:t>是在重新确立的</w:t>
      </w:r>
      <w:r>
        <w:rPr>
          <w:rFonts w:hint="eastAsia"/>
        </w:rPr>
        <w:t>30</w:t>
      </w:r>
      <w:r>
        <w:rPr>
          <w:rFonts w:hint="eastAsia"/>
          <w:lang w:val="zh-CN"/>
        </w:rPr>
        <w:t>万</w:t>
      </w:r>
      <w:r>
        <w:rPr>
          <w:rFonts w:hint="eastAsia"/>
        </w:rPr>
        <w:t>t</w:t>
      </w:r>
      <w:r>
        <w:rPr>
          <w:rFonts w:hint="eastAsia"/>
          <w:lang w:val="zh-CN"/>
        </w:rPr>
        <w:t>/</w:t>
      </w:r>
      <w:r>
        <w:rPr>
          <w:rFonts w:hint="eastAsia"/>
        </w:rPr>
        <w:t>a</w:t>
      </w:r>
      <w:r>
        <w:rPr>
          <w:rFonts w:hint="eastAsia"/>
          <w:lang w:val="en-US" w:eastAsia="zh-CN"/>
        </w:rPr>
        <w:t>生产规模矿业权建设过程中扩建到5</w:t>
      </w:r>
      <w:r>
        <w:rPr>
          <w:rFonts w:hint="eastAsia"/>
        </w:rPr>
        <w:t>0</w:t>
      </w:r>
      <w:r>
        <w:rPr>
          <w:rFonts w:hint="eastAsia"/>
          <w:lang w:val="zh-CN"/>
        </w:rPr>
        <w:t>万</w:t>
      </w:r>
      <w:r>
        <w:rPr>
          <w:rFonts w:hint="eastAsia"/>
        </w:rPr>
        <w:t>t</w:t>
      </w:r>
      <w:r>
        <w:rPr>
          <w:rFonts w:hint="eastAsia"/>
          <w:lang w:val="zh-CN"/>
        </w:rPr>
        <w:t>/</w:t>
      </w:r>
      <w:r>
        <w:rPr>
          <w:rFonts w:hint="eastAsia"/>
        </w:rPr>
        <w:t>a</w:t>
      </w:r>
      <w:r>
        <w:rPr>
          <w:rFonts w:hint="eastAsia"/>
          <w:lang w:val="en-US" w:eastAsia="zh-CN"/>
        </w:rPr>
        <w:t>生产规模，尚未取得</w:t>
      </w:r>
      <w:r>
        <w:rPr>
          <w:rFonts w:hint="eastAsia"/>
        </w:rPr>
        <w:t>30</w:t>
      </w:r>
      <w:r>
        <w:rPr>
          <w:rFonts w:hint="eastAsia"/>
          <w:lang w:val="zh-CN"/>
        </w:rPr>
        <w:t>万</w:t>
      </w:r>
      <w:r>
        <w:rPr>
          <w:rFonts w:hint="eastAsia"/>
        </w:rPr>
        <w:t>t</w:t>
      </w:r>
      <w:r>
        <w:rPr>
          <w:rFonts w:hint="eastAsia"/>
          <w:lang w:val="zh-CN"/>
        </w:rPr>
        <w:t>/</w:t>
      </w:r>
      <w:r>
        <w:rPr>
          <w:rFonts w:hint="eastAsia"/>
        </w:rPr>
        <w:t>a</w:t>
      </w:r>
      <w:r>
        <w:rPr>
          <w:rFonts w:hint="eastAsia"/>
          <w:lang w:val="en-US" w:eastAsia="zh-CN"/>
        </w:rPr>
        <w:t>生产规模《安全生产许可证》</w:t>
      </w:r>
      <w:r>
        <w:rPr>
          <w:rFonts w:hint="eastAsia" w:ascii="Times New Roman" w:hAnsi="Times New Roman"/>
          <w:color w:val="000000" w:themeColor="text1"/>
          <w:lang w:val="en-US" w:eastAsia="zh-CN"/>
          <w14:textFill>
            <w14:solidFill>
              <w14:schemeClr w14:val="tx1"/>
            </w14:solidFill>
          </w14:textFill>
        </w:rPr>
        <w:t>。</w:t>
      </w:r>
    </w:p>
    <w:p w14:paraId="5D91B967">
      <w:pPr>
        <w:numPr>
          <w:ilvl w:val="0"/>
          <w:numId w:val="1"/>
        </w:numPr>
        <w:ind w:left="0" w:leftChars="0" w:firstLine="552" w:firstLineChars="200"/>
      </w:pPr>
      <w:r>
        <w:t>立项情况</w:t>
      </w:r>
    </w:p>
    <w:p w14:paraId="68B17D3D">
      <w:pPr>
        <w:pStyle w:val="15"/>
        <w:spacing w:before="7" w:line="359" w:lineRule="auto"/>
        <w:ind w:left="37" w:right="25" w:firstLine="564"/>
        <w:jc w:val="both"/>
        <w:rPr>
          <w:rFonts w:hint="eastAsia"/>
          <w:color w:val="auto"/>
          <w:sz w:val="28"/>
          <w:szCs w:val="28"/>
        </w:rPr>
      </w:pPr>
      <w:r>
        <w:rPr>
          <w:rFonts w:hint="eastAsia"/>
          <w:color w:val="auto"/>
          <w:sz w:val="28"/>
          <w:szCs w:val="28"/>
        </w:rPr>
        <w:t>根据</w:t>
      </w:r>
      <w:r>
        <w:rPr>
          <w:rFonts w:hint="eastAsia"/>
          <w:color w:val="auto"/>
          <w:sz w:val="28"/>
          <w:szCs w:val="28"/>
          <w:lang w:eastAsia="zh-CN"/>
        </w:rPr>
        <w:t>“</w:t>
      </w:r>
      <w:r>
        <w:rPr>
          <w:rFonts w:hint="eastAsia"/>
          <w:color w:val="auto"/>
          <w:sz w:val="28"/>
          <w:szCs w:val="28"/>
        </w:rPr>
        <w:t>《云南省全面加强非煤矿山安全生产工作若干措施》（云政办发〔2024〕44号）</w:t>
      </w:r>
      <w:r>
        <w:rPr>
          <w:rFonts w:hint="eastAsia"/>
          <w:color w:val="auto"/>
          <w:sz w:val="28"/>
          <w:szCs w:val="28"/>
          <w:lang w:eastAsia="zh-CN"/>
        </w:rPr>
        <w:t>，</w:t>
      </w:r>
      <w:r>
        <w:rPr>
          <w:rFonts w:hint="default"/>
          <w:color w:val="auto"/>
          <w:sz w:val="28"/>
          <w:szCs w:val="28"/>
        </w:rPr>
        <w:t>严格非煤矿山市场准入</w:t>
      </w:r>
      <w:r>
        <w:rPr>
          <w:rFonts w:hint="eastAsia"/>
          <w:color w:val="auto"/>
          <w:sz w:val="28"/>
          <w:szCs w:val="28"/>
          <w:lang w:eastAsia="zh-CN"/>
        </w:rPr>
        <w:t>：</w:t>
      </w:r>
      <w:r>
        <w:rPr>
          <w:rFonts w:hint="default"/>
          <w:color w:val="auto"/>
          <w:sz w:val="28"/>
          <w:szCs w:val="28"/>
        </w:rPr>
        <w:t>提高露天采石（砂）准入门槛。除硅石、石英砂等特殊需求矿产外，停止新建开采规模低于100万</w:t>
      </w:r>
      <w:r>
        <w:rPr>
          <w:rFonts w:hint="eastAsia"/>
          <w:color w:val="auto"/>
          <w:sz w:val="28"/>
          <w:szCs w:val="28"/>
          <w:lang w:val="en-US" w:eastAsia="zh-CN"/>
        </w:rPr>
        <w:t>t</w:t>
      </w:r>
      <w:r>
        <w:rPr>
          <w:rFonts w:hint="default"/>
          <w:color w:val="auto"/>
          <w:sz w:val="28"/>
          <w:szCs w:val="28"/>
        </w:rPr>
        <w:t>/</w:t>
      </w:r>
      <w:r>
        <w:rPr>
          <w:rFonts w:hint="eastAsia"/>
          <w:color w:val="auto"/>
          <w:sz w:val="28"/>
          <w:szCs w:val="28"/>
          <w:lang w:val="en-US" w:eastAsia="zh-CN"/>
        </w:rPr>
        <w:t>a</w:t>
      </w:r>
      <w:r>
        <w:rPr>
          <w:rFonts w:hint="default"/>
          <w:color w:val="auto"/>
          <w:sz w:val="28"/>
          <w:szCs w:val="28"/>
        </w:rPr>
        <w:t>的露天采石（砂）场。将现有采石（砂）场最小开采规模提高到50万</w:t>
      </w:r>
      <w:r>
        <w:rPr>
          <w:rFonts w:hint="eastAsia"/>
          <w:color w:val="auto"/>
          <w:sz w:val="28"/>
          <w:szCs w:val="28"/>
          <w:lang w:val="en-US" w:eastAsia="zh-CN"/>
        </w:rPr>
        <w:t>t</w:t>
      </w:r>
      <w:r>
        <w:rPr>
          <w:rFonts w:hint="default"/>
          <w:color w:val="auto"/>
          <w:sz w:val="28"/>
          <w:szCs w:val="28"/>
        </w:rPr>
        <w:t>/</w:t>
      </w:r>
      <w:r>
        <w:rPr>
          <w:rFonts w:hint="eastAsia"/>
          <w:color w:val="auto"/>
          <w:sz w:val="28"/>
          <w:szCs w:val="28"/>
          <w:lang w:val="en-US" w:eastAsia="zh-CN"/>
        </w:rPr>
        <w:t>a</w:t>
      </w:r>
      <w:r>
        <w:rPr>
          <w:rFonts w:hint="eastAsia"/>
          <w:color w:val="auto"/>
          <w:sz w:val="28"/>
          <w:szCs w:val="28"/>
          <w:lang w:eastAsia="zh-CN"/>
        </w:rPr>
        <w:t>”</w:t>
      </w:r>
      <w:r>
        <w:rPr>
          <w:rFonts w:hint="eastAsia"/>
          <w:color w:val="auto"/>
          <w:sz w:val="28"/>
          <w:szCs w:val="28"/>
        </w:rPr>
        <w:t>等相关法律、法规、文件，</w:t>
      </w:r>
      <w:r>
        <w:rPr>
          <w:rFonts w:hint="eastAsia"/>
          <w:color w:val="auto"/>
          <w:sz w:val="28"/>
          <w:szCs w:val="28"/>
          <w:lang w:val="en-US" w:eastAsia="zh-CN"/>
        </w:rPr>
        <w:t>矿山采矿许可证不满足现有矿山开采</w:t>
      </w:r>
      <w:r>
        <w:rPr>
          <w:rFonts w:hint="default"/>
          <w:color w:val="auto"/>
          <w:sz w:val="28"/>
          <w:szCs w:val="28"/>
        </w:rPr>
        <w:t>规模提高到50万</w:t>
      </w:r>
      <w:r>
        <w:rPr>
          <w:rFonts w:hint="eastAsia"/>
          <w:color w:val="auto"/>
          <w:sz w:val="28"/>
          <w:szCs w:val="28"/>
          <w:lang w:val="en-US" w:eastAsia="zh-CN"/>
        </w:rPr>
        <w:t>t</w:t>
      </w:r>
      <w:r>
        <w:rPr>
          <w:rFonts w:hint="default"/>
          <w:color w:val="auto"/>
          <w:sz w:val="28"/>
          <w:szCs w:val="28"/>
        </w:rPr>
        <w:t>/</w:t>
      </w:r>
      <w:r>
        <w:rPr>
          <w:rFonts w:hint="eastAsia"/>
          <w:color w:val="auto"/>
          <w:sz w:val="28"/>
          <w:szCs w:val="28"/>
          <w:lang w:val="en-US" w:eastAsia="zh-CN"/>
        </w:rPr>
        <w:t>a要求，</w:t>
      </w:r>
      <w:r>
        <w:rPr>
          <w:rFonts w:hint="eastAsia"/>
          <w:color w:val="auto"/>
          <w:sz w:val="28"/>
          <w:szCs w:val="28"/>
          <w:lang w:eastAsia="zh-CN"/>
        </w:rPr>
        <w:t>广南县城硕矿业有限公司</w:t>
      </w:r>
      <w:r>
        <w:rPr>
          <w:rFonts w:hint="eastAsia"/>
          <w:color w:val="auto"/>
          <w:sz w:val="28"/>
          <w:szCs w:val="28"/>
        </w:rPr>
        <w:t>委托云南增股工程勘察设计有限公司对扩建石场矿山进行可行性研究工作，编制和提交了《广南县麦地大山建筑石料用石灰岩矿50万t/a露天采矿工程可行性研究报告》并于</w:t>
      </w:r>
      <w:r>
        <w:rPr>
          <w:rFonts w:hint="eastAsia"/>
          <w:color w:val="auto"/>
          <w:sz w:val="28"/>
          <w:szCs w:val="28"/>
          <w:lang w:val="en-US" w:eastAsia="zh-CN"/>
        </w:rPr>
        <w:t>2024年11月18日</w:t>
      </w:r>
      <w:r>
        <w:rPr>
          <w:rFonts w:hint="eastAsia"/>
          <w:color w:val="auto"/>
          <w:sz w:val="28"/>
          <w:szCs w:val="28"/>
        </w:rPr>
        <w:t>时候取得</w:t>
      </w:r>
      <w:r>
        <w:rPr>
          <w:rFonts w:hint="eastAsia"/>
          <w:color w:val="auto"/>
          <w:sz w:val="28"/>
          <w:szCs w:val="28"/>
          <w:lang w:val="en-US" w:eastAsia="zh-CN"/>
        </w:rPr>
        <w:t>广南县发展和改革局广南县粮食局、广南县物价局批发的《云南省固定资产投资项目备案证》</w:t>
      </w:r>
      <w:r>
        <w:rPr>
          <w:rFonts w:hint="eastAsia"/>
          <w:color w:val="auto"/>
          <w:sz w:val="28"/>
          <w:szCs w:val="28"/>
          <w:lang w:eastAsia="zh-CN"/>
        </w:rPr>
        <w:t>（备案号</w:t>
      </w:r>
      <w:r>
        <w:rPr>
          <w:rFonts w:hint="eastAsia" w:ascii="宋体" w:hAnsi="宋体" w:eastAsia="宋体" w:cs="宋体"/>
          <w:color w:val="auto"/>
          <w:sz w:val="28"/>
          <w:szCs w:val="28"/>
          <w:lang w:eastAsia="zh-CN"/>
        </w:rPr>
        <w:t>〔</w:t>
      </w:r>
      <w:r>
        <w:rPr>
          <w:rFonts w:hint="eastAsia"/>
          <w:color w:val="auto"/>
          <w:sz w:val="28"/>
          <w:szCs w:val="28"/>
          <w:lang w:eastAsia="zh-CN"/>
        </w:rPr>
        <w:t>项目代码</w:t>
      </w:r>
      <w:r>
        <w:rPr>
          <w:rFonts w:hint="eastAsia" w:ascii="宋体" w:hAnsi="宋体" w:eastAsia="宋体" w:cs="宋体"/>
          <w:color w:val="auto"/>
          <w:sz w:val="28"/>
          <w:szCs w:val="28"/>
          <w:lang w:eastAsia="zh-CN"/>
        </w:rPr>
        <w:t>〕</w:t>
      </w:r>
      <w:r>
        <w:rPr>
          <w:rFonts w:hint="eastAsia"/>
          <w:color w:val="auto"/>
          <w:sz w:val="28"/>
          <w:szCs w:val="28"/>
          <w:lang w:eastAsia="zh-CN"/>
        </w:rPr>
        <w:t>：</w:t>
      </w:r>
      <w:r>
        <w:rPr>
          <w:rFonts w:hint="eastAsia"/>
          <w:color w:val="auto"/>
          <w:sz w:val="28"/>
          <w:szCs w:val="28"/>
        </w:rPr>
        <w:t>2016-532627-12-03-259499</w:t>
      </w:r>
      <w:r>
        <w:rPr>
          <w:rFonts w:hint="eastAsia"/>
          <w:color w:val="auto"/>
          <w:sz w:val="28"/>
          <w:szCs w:val="28"/>
          <w:lang w:eastAsia="zh-CN"/>
        </w:rPr>
        <w:t>）</w:t>
      </w:r>
      <w:r>
        <w:rPr>
          <w:rFonts w:hint="eastAsia"/>
          <w:color w:val="auto"/>
          <w:sz w:val="28"/>
          <w:szCs w:val="28"/>
        </w:rPr>
        <w:t>。</w:t>
      </w:r>
    </w:p>
    <w:p w14:paraId="1EE5107D">
      <w:pPr>
        <w:bidi w:val="0"/>
      </w:pPr>
      <w:r>
        <w:rPr>
          <w:rFonts w:hint="eastAsia"/>
          <w:bCs/>
          <w:color w:val="auto"/>
          <w:sz w:val="28"/>
          <w:szCs w:val="28"/>
        </w:rPr>
        <w:t>根据</w:t>
      </w:r>
      <w:r>
        <w:rPr>
          <w:bCs/>
          <w:color w:val="auto"/>
          <w:sz w:val="28"/>
          <w:szCs w:val="28"/>
          <w:lang w:val="zh-TW" w:eastAsia="zh-TW"/>
        </w:rPr>
        <w:t>《建设项目安全设施</w:t>
      </w:r>
      <w:r>
        <w:rPr>
          <w:rFonts w:hint="eastAsia"/>
          <w:bCs/>
          <w:color w:val="auto"/>
          <w:sz w:val="28"/>
          <w:szCs w:val="28"/>
          <w:lang w:val="zh-TW"/>
        </w:rPr>
        <w:t>“</w:t>
      </w:r>
      <w:r>
        <w:rPr>
          <w:bCs/>
          <w:color w:val="auto"/>
          <w:sz w:val="28"/>
          <w:szCs w:val="28"/>
          <w:lang w:val="zh-TW" w:eastAsia="zh-TW"/>
        </w:rPr>
        <w:t>三同时</w:t>
      </w:r>
      <w:r>
        <w:rPr>
          <w:rFonts w:hint="eastAsia"/>
          <w:bCs/>
          <w:color w:val="auto"/>
          <w:sz w:val="28"/>
          <w:szCs w:val="28"/>
          <w:lang w:val="zh-TW"/>
        </w:rPr>
        <w:t>”</w:t>
      </w:r>
      <w:r>
        <w:rPr>
          <w:bCs/>
          <w:color w:val="auto"/>
          <w:sz w:val="28"/>
          <w:szCs w:val="28"/>
          <w:lang w:val="zh-TW" w:eastAsia="zh-TW"/>
        </w:rPr>
        <w:t>监督管理办法》</w:t>
      </w:r>
      <w:r>
        <w:rPr>
          <w:bCs/>
          <w:color w:val="auto"/>
          <w:sz w:val="28"/>
          <w:szCs w:val="28"/>
          <w:lang w:val="zh-TW"/>
        </w:rPr>
        <w:t>规</w:t>
      </w:r>
      <w:r>
        <w:rPr>
          <w:bCs/>
          <w:color w:val="auto"/>
          <w:szCs w:val="28"/>
          <w:lang w:val="zh-TW"/>
        </w:rPr>
        <w:t>定</w:t>
      </w:r>
      <w:r>
        <w:rPr>
          <w:bCs/>
          <w:color w:val="auto"/>
          <w:szCs w:val="28"/>
        </w:rPr>
        <w:t>，需完善建设项目</w:t>
      </w:r>
      <w:r>
        <w:rPr>
          <w:rFonts w:hint="eastAsia"/>
          <w:bCs/>
          <w:color w:val="auto"/>
          <w:szCs w:val="28"/>
        </w:rPr>
        <w:t>“</w:t>
      </w:r>
      <w:r>
        <w:rPr>
          <w:bCs/>
          <w:color w:val="auto"/>
          <w:szCs w:val="28"/>
        </w:rPr>
        <w:t>三同时</w:t>
      </w:r>
      <w:r>
        <w:rPr>
          <w:rFonts w:hint="eastAsia"/>
          <w:bCs/>
          <w:color w:val="auto"/>
          <w:szCs w:val="28"/>
        </w:rPr>
        <w:t>”</w:t>
      </w:r>
      <w:r>
        <w:rPr>
          <w:bCs/>
          <w:color w:val="auto"/>
          <w:szCs w:val="28"/>
        </w:rPr>
        <w:t>工作。</w:t>
      </w:r>
      <w:r>
        <w:rPr>
          <w:rFonts w:hint="eastAsia" w:cs="Times New Roman"/>
          <w:color w:val="auto"/>
          <w:szCs w:val="28"/>
        </w:rPr>
        <w:t>广南县城硕矿业有限公司</w:t>
      </w:r>
      <w:r>
        <w:rPr>
          <w:rFonts w:cs="Times New Roman"/>
          <w:color w:val="auto"/>
          <w:szCs w:val="28"/>
        </w:rPr>
        <w:t>202</w:t>
      </w:r>
      <w:r>
        <w:rPr>
          <w:rFonts w:hint="eastAsia" w:cs="Times New Roman"/>
          <w:color w:val="auto"/>
          <w:szCs w:val="28"/>
        </w:rPr>
        <w:t>5</w:t>
      </w:r>
      <w:r>
        <w:rPr>
          <w:rFonts w:cs="Times New Roman"/>
          <w:color w:val="auto"/>
          <w:szCs w:val="28"/>
        </w:rPr>
        <w:t>年</w:t>
      </w:r>
      <w:r>
        <w:rPr>
          <w:rFonts w:hint="eastAsia" w:cs="Times New Roman"/>
          <w:color w:val="auto"/>
          <w:szCs w:val="28"/>
        </w:rPr>
        <w:t>1</w:t>
      </w:r>
      <w:r>
        <w:rPr>
          <w:rFonts w:cs="Times New Roman"/>
          <w:color w:val="auto"/>
          <w:szCs w:val="28"/>
        </w:rPr>
        <w:t>月</w:t>
      </w:r>
      <w:r>
        <w:rPr>
          <w:spacing w:val="1"/>
        </w:rPr>
        <w:t>委托</w:t>
      </w:r>
      <w:r>
        <w:rPr>
          <w:rFonts w:hint="eastAsia" w:ascii="宋体" w:hAnsi="宋体" w:eastAsia="宋体" w:cs="宋体"/>
          <w:color w:val="auto"/>
          <w:sz w:val="28"/>
          <w:szCs w:val="28"/>
          <w:lang w:val="en-US" w:eastAsia="zh-CN"/>
        </w:rPr>
        <w:t>江西赣安安全生产科学技术咨询服务中心</w:t>
      </w:r>
      <w:r>
        <w:rPr>
          <w:spacing w:val="-1"/>
        </w:rPr>
        <w:t>编制安全</w:t>
      </w:r>
      <w:r>
        <w:rPr>
          <w:rFonts w:hint="eastAsia"/>
          <w:spacing w:val="-1"/>
          <w:lang w:val="en-US" w:eastAsia="zh-CN"/>
        </w:rPr>
        <w:t>预</w:t>
      </w:r>
      <w:r>
        <w:rPr>
          <w:spacing w:val="-1"/>
        </w:rPr>
        <w:t>评价报告</w:t>
      </w:r>
      <w:r>
        <w:rPr>
          <w:rFonts w:hint="eastAsia"/>
          <w:spacing w:val="-1"/>
          <w:lang w:eastAsia="zh-CN"/>
        </w:rPr>
        <w:t>，</w:t>
      </w:r>
      <w:r>
        <w:rPr>
          <w:rFonts w:cs="Times New Roman"/>
          <w:color w:val="auto"/>
          <w:szCs w:val="28"/>
        </w:rPr>
        <w:t>202</w:t>
      </w:r>
      <w:r>
        <w:rPr>
          <w:rFonts w:hint="eastAsia" w:cs="Times New Roman"/>
          <w:color w:val="auto"/>
          <w:szCs w:val="28"/>
        </w:rPr>
        <w:t>5</w:t>
      </w:r>
      <w:r>
        <w:rPr>
          <w:rFonts w:cs="Times New Roman"/>
          <w:color w:val="auto"/>
          <w:szCs w:val="28"/>
        </w:rPr>
        <w:t>年</w:t>
      </w:r>
      <w:r>
        <w:rPr>
          <w:rFonts w:hint="eastAsia" w:cs="Times New Roman"/>
          <w:color w:val="auto"/>
          <w:szCs w:val="28"/>
          <w:lang w:val="en-US" w:eastAsia="zh-CN"/>
        </w:rPr>
        <w:t>2</w:t>
      </w:r>
      <w:r>
        <w:rPr>
          <w:rFonts w:cs="Times New Roman"/>
          <w:color w:val="auto"/>
          <w:szCs w:val="28"/>
        </w:rPr>
        <w:t>月</w:t>
      </w:r>
      <w:r>
        <w:rPr>
          <w:rFonts w:cs="Times New Roman"/>
          <w:color w:val="auto"/>
          <w:szCs w:val="28"/>
          <w:lang w:val="zh-TW"/>
        </w:rPr>
        <w:t>委托</w:t>
      </w:r>
      <w:r>
        <w:rPr>
          <w:rFonts w:cs="Times New Roman"/>
          <w:color w:val="auto"/>
          <w:szCs w:val="28"/>
        </w:rPr>
        <w:t>云南增股工程勘察设计有限公司</w:t>
      </w:r>
      <w:r>
        <w:rPr>
          <w:rFonts w:cs="Times New Roman"/>
          <w:color w:val="auto"/>
          <w:szCs w:val="28"/>
          <w:lang w:val="zh-TW"/>
        </w:rPr>
        <w:t>编制《</w:t>
      </w:r>
      <w:r>
        <w:rPr>
          <w:rFonts w:hint="eastAsia" w:cs="Times New Roman"/>
          <w:color w:val="000000"/>
          <w:szCs w:val="28"/>
        </w:rPr>
        <w:t>广南县麦地大山建筑石料用石灰岩矿50万t/a露天采矿工程</w:t>
      </w:r>
      <w:r>
        <w:rPr>
          <w:rFonts w:cs="Times New Roman"/>
          <w:color w:val="000000"/>
          <w:szCs w:val="28"/>
        </w:rPr>
        <w:t>初步设计</w:t>
      </w:r>
      <w:r>
        <w:rPr>
          <w:rFonts w:cs="Times New Roman"/>
          <w:color w:val="000000"/>
          <w:szCs w:val="28"/>
          <w:lang w:val="zh-TW"/>
        </w:rPr>
        <w:t>》</w:t>
      </w:r>
      <w:r>
        <w:rPr>
          <w:rFonts w:cs="Times New Roman"/>
          <w:color w:val="000000"/>
          <w:szCs w:val="28"/>
        </w:rPr>
        <w:t>及</w:t>
      </w:r>
      <w:r>
        <w:rPr>
          <w:rFonts w:cs="Times New Roman"/>
          <w:color w:val="000000"/>
          <w:szCs w:val="28"/>
          <w:lang w:val="zh-TW"/>
        </w:rPr>
        <w:t>《</w:t>
      </w:r>
      <w:r>
        <w:rPr>
          <w:rFonts w:hint="eastAsia" w:cs="Times New Roman"/>
          <w:color w:val="000000"/>
          <w:szCs w:val="28"/>
        </w:rPr>
        <w:t>广南县麦地大山建筑石料用石灰岩矿50万t/a露天采矿工程</w:t>
      </w:r>
      <w:r>
        <w:rPr>
          <w:rFonts w:cs="Times New Roman"/>
          <w:color w:val="000000"/>
          <w:szCs w:val="28"/>
        </w:rPr>
        <w:t>安全设施设计</w:t>
      </w:r>
      <w:r>
        <w:rPr>
          <w:rFonts w:cs="Times New Roman"/>
          <w:color w:val="000000"/>
          <w:szCs w:val="28"/>
          <w:lang w:val="zh-TW"/>
        </w:rPr>
        <w:t>》</w:t>
      </w:r>
      <w:r>
        <w:rPr>
          <w:rFonts w:hint="eastAsia" w:ascii="Times New Roman" w:hAnsi="Times New Roman" w:eastAsia="宋体" w:cs="Times New Roman"/>
          <w:color w:val="000000"/>
          <w:sz w:val="28"/>
          <w:szCs w:val="28"/>
          <w:lang w:val="zh-TW" w:eastAsia="zh-CN"/>
        </w:rPr>
        <w:t>，</w:t>
      </w:r>
      <w:r>
        <w:rPr>
          <w:rFonts w:cs="Times New Roman"/>
          <w:color w:val="auto"/>
          <w:szCs w:val="28"/>
        </w:rPr>
        <w:t>202</w:t>
      </w:r>
      <w:r>
        <w:rPr>
          <w:rFonts w:hint="eastAsia" w:cs="Times New Roman"/>
          <w:color w:val="auto"/>
          <w:szCs w:val="28"/>
        </w:rPr>
        <w:t>5</w:t>
      </w:r>
      <w:r>
        <w:rPr>
          <w:rFonts w:cs="Times New Roman"/>
          <w:color w:val="auto"/>
          <w:szCs w:val="28"/>
        </w:rPr>
        <w:t>年</w:t>
      </w:r>
      <w:r>
        <w:rPr>
          <w:rFonts w:hint="eastAsia" w:cs="Times New Roman"/>
          <w:color w:val="auto"/>
          <w:szCs w:val="28"/>
          <w:lang w:val="en-US" w:eastAsia="zh-CN"/>
        </w:rPr>
        <w:t>3</w:t>
      </w:r>
      <w:r>
        <w:rPr>
          <w:rFonts w:cs="Times New Roman"/>
          <w:color w:val="auto"/>
          <w:szCs w:val="28"/>
        </w:rPr>
        <w:t>月</w:t>
      </w:r>
      <w:r>
        <w:rPr>
          <w:rFonts w:hint="eastAsia" w:cs="Times New Roman"/>
          <w:color w:val="auto"/>
          <w:szCs w:val="28"/>
          <w:lang w:val="en-US" w:eastAsia="zh-CN"/>
        </w:rPr>
        <w:t>通过专家评审。</w:t>
      </w:r>
      <w:r>
        <w:rPr>
          <w:spacing w:val="-5"/>
        </w:rPr>
        <w:t>202</w:t>
      </w:r>
      <w:r>
        <w:rPr>
          <w:rFonts w:hint="eastAsia"/>
          <w:spacing w:val="-5"/>
          <w:lang w:val="en-US" w:eastAsia="zh-CN"/>
        </w:rPr>
        <w:t>5</w:t>
      </w:r>
      <w:r>
        <w:rPr>
          <w:spacing w:val="-5"/>
        </w:rPr>
        <w:t>年</w:t>
      </w:r>
      <w:r>
        <w:rPr>
          <w:rFonts w:hint="eastAsia"/>
          <w:spacing w:val="-5"/>
          <w:lang w:val="en-US" w:eastAsia="zh-CN"/>
        </w:rPr>
        <w:t>6</w:t>
      </w:r>
      <w:r>
        <w:rPr>
          <w:spacing w:val="-5"/>
        </w:rPr>
        <w:t>月</w:t>
      </w:r>
      <w:r>
        <w:rPr>
          <w:rFonts w:hint="eastAsia"/>
          <w:spacing w:val="-5"/>
          <w:lang w:val="en-US" w:eastAsia="zh-CN"/>
        </w:rPr>
        <w:t>19</w:t>
      </w:r>
      <w:r>
        <w:rPr>
          <w:spacing w:val="-5"/>
        </w:rPr>
        <w:t>日取得了</w:t>
      </w:r>
      <w:r>
        <w:rPr>
          <w:rFonts w:hint="eastAsia"/>
          <w:spacing w:val="-5"/>
          <w:lang w:eastAsia="zh-CN"/>
        </w:rPr>
        <w:t>《</w:t>
      </w:r>
      <w:r>
        <w:t>云南</w:t>
      </w:r>
      <w:r>
        <w:rPr>
          <w:rFonts w:ascii="Times New Roman" w:hAnsi="Times New Roman"/>
          <w:color w:val="000000" w:themeColor="text1"/>
          <w:szCs w:val="28"/>
          <w14:textFill>
            <w14:solidFill>
              <w14:schemeClr w14:val="tx1"/>
            </w14:solidFill>
          </w14:textFill>
        </w:rPr>
        <w:t>省建设项目安全设施设计审批书</w:t>
      </w:r>
      <w:r>
        <w:rPr>
          <w:rFonts w:hint="eastAsia" w:ascii="Times New Roman" w:hAnsi="Times New Roman"/>
          <w:color w:val="000000" w:themeColor="text1"/>
          <w:lang w:eastAsia="zh-CN"/>
          <w14:textFill>
            <w14:solidFill>
              <w14:schemeClr w14:val="tx1"/>
            </w14:solidFill>
          </w14:textFill>
        </w:rPr>
        <w:t>》</w:t>
      </w:r>
      <w:r>
        <w:rPr>
          <w:spacing w:val="2"/>
        </w:rPr>
        <w:t>。</w:t>
      </w:r>
    </w:p>
    <w:p w14:paraId="478F8AC0">
      <w:pPr>
        <w:pStyle w:val="4"/>
      </w:pPr>
      <w:bookmarkStart w:id="120" w:name="_Toc3155"/>
      <w:bookmarkStart w:id="121" w:name="_Toc19915"/>
      <w:r>
        <w:t>2.1.3建设项目行政区划、地理位置及交通</w:t>
      </w:r>
      <w:bookmarkEnd w:id="117"/>
      <w:bookmarkEnd w:id="118"/>
      <w:bookmarkEnd w:id="119"/>
      <w:bookmarkEnd w:id="120"/>
      <w:bookmarkEnd w:id="121"/>
    </w:p>
    <w:p w14:paraId="54C40D46">
      <w:pPr>
        <w:kinsoku w:val="0"/>
        <w:autoSpaceDE w:val="0"/>
        <w:autoSpaceDN w:val="0"/>
        <w:adjustRightInd w:val="0"/>
        <w:snapToGrid w:val="0"/>
        <w:spacing w:before="3" w:line="360" w:lineRule="auto"/>
        <w:ind w:left="39" w:right="525" w:firstLine="558"/>
        <w:jc w:val="both"/>
        <w:textAlignment w:val="baseline"/>
        <w:rPr>
          <w:rFonts w:ascii="宋体" w:hAnsi="宋体" w:eastAsia="宋体" w:cs="宋体"/>
          <w:snapToGrid w:val="0"/>
          <w:color w:val="auto"/>
          <w:kern w:val="0"/>
          <w:sz w:val="28"/>
          <w:szCs w:val="28"/>
          <w:lang w:val="en-US" w:eastAsia="en-US" w:bidi="ar-SA"/>
        </w:rPr>
      </w:pPr>
      <w:r>
        <w:rPr>
          <w:rFonts w:hint="eastAsia" w:ascii="Times New Roman" w:hAnsi="Times New Roman" w:eastAsia="宋体" w:cs="Times New Roman"/>
          <w:color w:val="auto"/>
          <w:sz w:val="28"/>
          <w:szCs w:val="28"/>
          <w:lang w:eastAsia="zh-CN"/>
        </w:rPr>
        <w:t>广南县麦地大山建筑石料用石灰岩矿</w:t>
      </w:r>
      <w:r>
        <w:rPr>
          <w:rFonts w:hint="default" w:ascii="Times New Roman" w:hAnsi="Times New Roman" w:eastAsia="宋体" w:cs="Times New Roman"/>
          <w:color w:val="auto"/>
          <w:sz w:val="28"/>
          <w:szCs w:val="28"/>
        </w:rPr>
        <w:t>位于广南县城</w:t>
      </w:r>
      <w:r>
        <w:rPr>
          <w:rFonts w:hint="default" w:ascii="Times New Roman" w:hAnsi="Times New Roman" w:eastAsia="宋体" w:cs="Times New Roman"/>
          <w:color w:val="auto"/>
          <w:sz w:val="28"/>
          <w:szCs w:val="28"/>
          <w:lang w:val="en-US" w:eastAsia="zh-CN"/>
        </w:rPr>
        <w:t>195</w:t>
      </w:r>
      <w:r>
        <w:rPr>
          <w:rFonts w:hint="default" w:ascii="Times New Roman" w:hAnsi="Times New Roman" w:eastAsia="宋体" w:cs="Times New Roman"/>
          <w:color w:val="auto"/>
          <w:sz w:val="28"/>
          <w:szCs w:val="28"/>
        </w:rPr>
        <w:t>°方向，直距</w:t>
      </w:r>
      <w:r>
        <w:rPr>
          <w:rFonts w:hint="default" w:ascii="Times New Roman" w:hAnsi="Times New Roman" w:eastAsia="宋体" w:cs="Times New Roman"/>
          <w:color w:val="auto"/>
          <w:sz w:val="28"/>
          <w:szCs w:val="28"/>
          <w:lang w:val="en-US" w:eastAsia="zh-CN"/>
        </w:rPr>
        <w:t>28km</w:t>
      </w:r>
      <w:r>
        <w:rPr>
          <w:rFonts w:hint="default" w:ascii="Times New Roman" w:hAnsi="Times New Roman" w:eastAsia="宋体" w:cs="Times New Roman"/>
          <w:color w:val="auto"/>
          <w:sz w:val="28"/>
          <w:szCs w:val="28"/>
        </w:rPr>
        <w:t>。地理坐标：</w:t>
      </w:r>
      <w:r>
        <w:rPr>
          <w:rFonts w:hint="default" w:ascii="Times New Roman" w:hAnsi="Times New Roman" w:eastAsia="宋体" w:cs="Times New Roman"/>
          <w:color w:val="auto"/>
          <w:sz w:val="28"/>
          <w:szCs w:val="28"/>
          <w:lang w:eastAsia="zh-CN"/>
        </w:rPr>
        <w:t>东经104°54′46.39″-104°56′3.89″，北纬23°38′31″-23°41′58.27″</w:t>
      </w:r>
      <w:r>
        <w:rPr>
          <w:rFonts w:hint="default" w:ascii="Times New Roman" w:hAnsi="Times New Roman" w:eastAsia="宋体" w:cs="Times New Roman"/>
          <w:color w:val="auto"/>
          <w:sz w:val="28"/>
          <w:szCs w:val="28"/>
        </w:rPr>
        <w:t>，采矿权面积</w:t>
      </w:r>
      <w:r>
        <w:rPr>
          <w:rFonts w:hint="default" w:ascii="Times New Roman" w:hAnsi="Times New Roman" w:eastAsia="宋体" w:cs="Times New Roman"/>
          <w:color w:val="auto"/>
          <w:sz w:val="28"/>
          <w:szCs w:val="28"/>
          <w:lang w:eastAsia="zh-CN"/>
        </w:rPr>
        <w:t>0.0</w:t>
      </w:r>
      <w:r>
        <w:rPr>
          <w:rFonts w:hint="eastAsia" w:ascii="Times New Roman" w:hAnsi="Times New Roman" w:eastAsia="宋体" w:cs="Times New Roman"/>
          <w:color w:val="auto"/>
          <w:sz w:val="28"/>
          <w:szCs w:val="28"/>
          <w:lang w:val="en-US" w:eastAsia="zh-CN"/>
        </w:rPr>
        <w:t>266</w:t>
      </w:r>
      <w:r>
        <w:rPr>
          <w:rFonts w:hint="default" w:ascii="Times New Roman" w:hAnsi="Times New Roman" w:eastAsia="宋体" w:cs="Times New Roman"/>
          <w:color w:val="auto"/>
          <w:sz w:val="28"/>
          <w:szCs w:val="28"/>
          <w:lang w:val="en-US" w:eastAsia="zh-CN"/>
        </w:rPr>
        <w:t>km</w:t>
      </w:r>
      <w:r>
        <w:rPr>
          <w:rFonts w:hint="eastAsia" w:ascii="Times New Roman" w:hAnsi="Times New Roman" w:eastAsia="宋体" w:cs="Times New Roman"/>
          <w:color w:val="auto"/>
          <w:sz w:val="28"/>
          <w:szCs w:val="28"/>
          <w:vertAlign w:val="superscript"/>
          <w:lang w:val="en-US" w:eastAsia="zh-CN"/>
        </w:rPr>
        <w:t>2</w:t>
      </w:r>
      <w:r>
        <w:rPr>
          <w:rFonts w:hint="eastAsia"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lang w:eastAsia="zh-CN"/>
        </w:rPr>
        <w:t>开采标高：</w:t>
      </w:r>
      <w:r>
        <w:rPr>
          <w:rFonts w:hint="eastAsia" w:ascii="Times New Roman" w:hAnsi="Times New Roman" w:eastAsia="宋体" w:cs="Times New Roman"/>
          <w:color w:val="auto"/>
          <w:sz w:val="28"/>
          <w:szCs w:val="28"/>
          <w:lang w:val="en-US" w:eastAsia="zh-CN"/>
        </w:rPr>
        <w:t>1724m～1607m</w:t>
      </w:r>
      <w:r>
        <w:rPr>
          <w:rFonts w:hint="default" w:ascii="Times New Roman" w:hAnsi="Times New Roman" w:eastAsia="宋体" w:cs="Times New Roman"/>
          <w:color w:val="auto"/>
          <w:sz w:val="28"/>
          <w:szCs w:val="28"/>
          <w:lang w:eastAsia="zh-CN"/>
        </w:rPr>
        <w:t>。行政区划</w:t>
      </w:r>
      <w:r>
        <w:rPr>
          <w:rFonts w:hint="default" w:ascii="Times New Roman" w:hAnsi="Times New Roman" w:eastAsia="宋体" w:cs="Times New Roman"/>
          <w:color w:val="auto"/>
          <w:sz w:val="28"/>
          <w:szCs w:val="28"/>
        </w:rPr>
        <w:t>属广南县</w:t>
      </w:r>
      <w:r>
        <w:rPr>
          <w:rFonts w:hint="default" w:ascii="Times New Roman" w:hAnsi="Times New Roman" w:eastAsia="宋体" w:cs="Times New Roman"/>
          <w:color w:val="auto"/>
          <w:sz w:val="28"/>
          <w:szCs w:val="28"/>
          <w:lang w:val="en-US" w:eastAsia="zh-CN"/>
        </w:rPr>
        <w:t>珠街镇新发寨村委会</w:t>
      </w:r>
      <w:r>
        <w:rPr>
          <w:rFonts w:hint="default" w:ascii="Times New Roman" w:hAnsi="Times New Roman" w:eastAsia="宋体" w:cs="Times New Roman"/>
          <w:color w:val="auto"/>
          <w:sz w:val="28"/>
          <w:szCs w:val="28"/>
        </w:rPr>
        <w:t>管辖。</w:t>
      </w:r>
      <w:r>
        <w:rPr>
          <w:rFonts w:hint="default" w:ascii="Times New Roman" w:hAnsi="Times New Roman" w:eastAsia="宋体" w:cs="Times New Roman"/>
          <w:color w:val="auto"/>
          <w:sz w:val="28"/>
          <w:szCs w:val="28"/>
          <w:lang w:eastAsia="zh-CN"/>
        </w:rPr>
        <w:t>矿区</w:t>
      </w:r>
      <w:r>
        <w:rPr>
          <w:rFonts w:hint="default" w:ascii="Times New Roman" w:hAnsi="Times New Roman" w:eastAsia="宋体" w:cs="Times New Roman"/>
          <w:color w:val="auto"/>
          <w:sz w:val="28"/>
          <w:szCs w:val="28"/>
        </w:rPr>
        <w:t>至</w:t>
      </w:r>
      <w:r>
        <w:rPr>
          <w:rFonts w:hint="default" w:ascii="Times New Roman" w:hAnsi="Times New Roman" w:eastAsia="宋体" w:cs="Times New Roman"/>
          <w:color w:val="auto"/>
          <w:sz w:val="28"/>
          <w:szCs w:val="28"/>
          <w:lang w:eastAsia="zh-CN"/>
        </w:rPr>
        <w:t>矿区</w:t>
      </w:r>
      <w:r>
        <w:rPr>
          <w:rFonts w:hint="default" w:ascii="Times New Roman" w:hAnsi="Times New Roman" w:eastAsia="宋体" w:cs="Times New Roman"/>
          <w:color w:val="auto"/>
          <w:sz w:val="28"/>
          <w:szCs w:val="28"/>
        </w:rPr>
        <w:t>至</w:t>
      </w:r>
      <w:r>
        <w:rPr>
          <w:rFonts w:hint="default" w:ascii="Times New Roman" w:hAnsi="Times New Roman" w:eastAsia="宋体" w:cs="Times New Roman"/>
          <w:color w:val="auto"/>
          <w:sz w:val="28"/>
          <w:szCs w:val="28"/>
          <w:lang w:val="en-US" w:eastAsia="zh-CN"/>
        </w:rPr>
        <w:t>珠西公路约有100m左右的矿山道路；沿珠西公路向南4.3km到达国道G323；沿国道G323向西约4.9km到达广南县珠街镇镇政府驻地；珠街镇可以连通广砚高速（G80）。矿山沿珠西公路向北到达</w:t>
      </w:r>
      <w:r>
        <w:rPr>
          <w:rFonts w:hint="default" w:ascii="Times New Roman" w:hAnsi="Times New Roman" w:eastAsia="宋体" w:cs="Times New Roman"/>
          <w:color w:val="auto"/>
          <w:sz w:val="28"/>
          <w:szCs w:val="28"/>
          <w:lang w:eastAsia="zh-CN"/>
        </w:rPr>
        <w:t>广南县城，运距</w:t>
      </w:r>
      <w:r>
        <w:rPr>
          <w:rFonts w:hint="default" w:ascii="Times New Roman" w:hAnsi="Times New Roman" w:eastAsia="宋体" w:cs="Times New Roman"/>
          <w:color w:val="auto"/>
          <w:sz w:val="28"/>
          <w:szCs w:val="28"/>
        </w:rPr>
        <w:t>约</w:t>
      </w:r>
      <w:r>
        <w:rPr>
          <w:rFonts w:hint="default" w:ascii="Times New Roman" w:hAnsi="Times New Roman" w:eastAsia="宋体" w:cs="Times New Roman"/>
          <w:color w:val="auto"/>
          <w:sz w:val="28"/>
          <w:szCs w:val="28"/>
          <w:lang w:val="en-US" w:eastAsia="zh-CN"/>
        </w:rPr>
        <w:t>44km</w:t>
      </w:r>
      <w:r>
        <w:rPr>
          <w:rFonts w:hint="default" w:ascii="Times New Roman" w:hAnsi="Times New Roman" w:eastAsia="宋体" w:cs="Times New Roman"/>
          <w:color w:val="auto"/>
          <w:sz w:val="28"/>
          <w:szCs w:val="28"/>
        </w:rPr>
        <w:t>，</w:t>
      </w:r>
      <w:r>
        <w:rPr>
          <w:rFonts w:hint="default" w:ascii="Times New Roman" w:hAnsi="Times New Roman" w:eastAsia="宋体" w:cs="Times New Roman"/>
          <w:color w:val="auto"/>
          <w:sz w:val="28"/>
          <w:szCs w:val="28"/>
          <w:lang w:eastAsia="zh-CN"/>
        </w:rPr>
        <w:t>广南县距州府文山市约</w:t>
      </w:r>
      <w:r>
        <w:rPr>
          <w:rFonts w:hint="default" w:ascii="Times New Roman" w:hAnsi="Times New Roman" w:eastAsia="宋体" w:cs="Times New Roman"/>
          <w:color w:val="auto"/>
          <w:sz w:val="28"/>
          <w:szCs w:val="28"/>
          <w:lang w:val="en-US" w:eastAsia="zh-CN"/>
        </w:rPr>
        <w:t>180km，文山市距省会昆明约300km</w:t>
      </w:r>
      <w:r>
        <w:rPr>
          <w:rFonts w:hint="eastAsia"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交通条件较为便利</w:t>
      </w:r>
      <w:r>
        <w:rPr>
          <w:rFonts w:hint="eastAsia"/>
          <w:color w:val="auto"/>
          <w:szCs w:val="28"/>
        </w:rPr>
        <w:t>（见图</w:t>
      </w:r>
      <w:r>
        <w:rPr>
          <w:rFonts w:hint="eastAsia"/>
          <w:color w:val="auto"/>
          <w:szCs w:val="28"/>
          <w:lang w:val="en-US" w:eastAsia="zh-CN"/>
        </w:rPr>
        <w:t>2.1</w:t>
      </w:r>
      <w:r>
        <w:rPr>
          <w:color w:val="auto"/>
          <w:szCs w:val="28"/>
        </w:rPr>
        <w:t>-</w:t>
      </w:r>
      <w:r>
        <w:rPr>
          <w:rFonts w:hint="eastAsia"/>
          <w:color w:val="auto"/>
          <w:szCs w:val="28"/>
          <w:lang w:val="en-US" w:eastAsia="zh-CN"/>
        </w:rPr>
        <w:t>1</w:t>
      </w:r>
      <w:r>
        <w:rPr>
          <w:rFonts w:hint="eastAsia"/>
          <w:color w:val="auto"/>
          <w:szCs w:val="28"/>
        </w:rPr>
        <w:t>交通位置图）</w:t>
      </w:r>
      <w:r>
        <w:rPr>
          <w:rFonts w:ascii="宋体" w:hAnsi="宋体" w:eastAsia="宋体" w:cs="宋体"/>
          <w:snapToGrid w:val="0"/>
          <w:color w:val="auto"/>
          <w:spacing w:val="-4"/>
          <w:kern w:val="0"/>
          <w:sz w:val="28"/>
          <w:szCs w:val="28"/>
          <w:lang w:val="en-US" w:eastAsia="en-US" w:bidi="ar-SA"/>
        </w:rPr>
        <w:t>。</w:t>
      </w:r>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0"/>
      </w:tblGrid>
      <w:tr w14:paraId="66B0C94B">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174" w:hRule="atLeast"/>
        </w:trPr>
        <w:tc>
          <w:tcPr>
            <w:tcW w:w="9570" w:type="dxa"/>
            <w:tcBorders>
              <w:tl2br w:val="nil"/>
              <w:tr2bl w:val="nil"/>
            </w:tcBorders>
            <w:vAlign w:val="top"/>
          </w:tcPr>
          <w:p w14:paraId="53FE50C5">
            <w:pPr>
              <w:ind w:left="0" w:leftChars="0" w:firstLine="0" w:firstLineChars="0"/>
              <w:jc w:val="center"/>
              <w:rPr>
                <w:rFonts w:ascii="Times New Roman" w:hAnsi="Times New Roman"/>
                <w:color w:val="000000" w:themeColor="text1"/>
                <w:kern w:val="2"/>
                <w:szCs w:val="28"/>
                <w:vertAlign w:val="baseline"/>
                <w14:textFill>
                  <w14:solidFill>
                    <w14:schemeClr w14:val="tx1"/>
                  </w14:solidFill>
                </w14:textFill>
              </w:rPr>
            </w:pPr>
            <w:r>
              <w:drawing>
                <wp:inline distT="0" distB="0" distL="114300" distR="114300">
                  <wp:extent cx="5922645" cy="5052060"/>
                  <wp:effectExtent l="0" t="0" r="1905" b="15240"/>
                  <wp:docPr id="26"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
                          <pic:cNvPicPr>
                            <a:picLocks noChangeAspect="1"/>
                          </pic:cNvPicPr>
                        </pic:nvPicPr>
                        <pic:blipFill>
                          <a:blip r:embed="rId18"/>
                          <a:stretch>
                            <a:fillRect/>
                          </a:stretch>
                        </pic:blipFill>
                        <pic:spPr>
                          <a:xfrm>
                            <a:off x="0" y="0"/>
                            <a:ext cx="5922645" cy="5052060"/>
                          </a:xfrm>
                          <a:prstGeom prst="rect">
                            <a:avLst/>
                          </a:prstGeom>
                          <a:noFill/>
                          <a:ln>
                            <a:noFill/>
                          </a:ln>
                        </pic:spPr>
                      </pic:pic>
                    </a:graphicData>
                  </a:graphic>
                </wp:inline>
              </w:drawing>
            </w:r>
          </w:p>
        </w:tc>
      </w:tr>
    </w:tbl>
    <w:p w14:paraId="6CAAC2E2">
      <w:pPr>
        <w:pStyle w:val="4"/>
        <w:bidi w:val="0"/>
      </w:pPr>
      <w:bookmarkStart w:id="122" w:name="_Toc501120274"/>
      <w:bookmarkStart w:id="123" w:name="_Toc503469790"/>
      <w:bookmarkStart w:id="124" w:name="_Toc214283999"/>
      <w:bookmarkStart w:id="125" w:name="_Toc30962"/>
      <w:r>
        <w:t>2.1.4矿区周边环境</w:t>
      </w:r>
      <w:bookmarkEnd w:id="122"/>
      <w:bookmarkEnd w:id="123"/>
      <w:bookmarkEnd w:id="124"/>
      <w:bookmarkEnd w:id="125"/>
    </w:p>
    <w:bookmarkEnd w:id="113"/>
    <w:bookmarkEnd w:id="114"/>
    <w:bookmarkEnd w:id="115"/>
    <w:bookmarkEnd w:id="116"/>
    <w:p w14:paraId="1C0E644D">
      <w:pPr>
        <w:numPr>
          <w:ilvl w:val="0"/>
          <w:numId w:val="2"/>
        </w:numPr>
        <w:bidi w:val="0"/>
      </w:pPr>
      <w:bookmarkStart w:id="126" w:name="_Toc214284000"/>
      <w:bookmarkStart w:id="127" w:name="_Toc9132"/>
      <w:bookmarkStart w:id="128" w:name="_Toc501120275"/>
      <w:bookmarkStart w:id="129" w:name="_Toc503469791"/>
      <w:r>
        <w:t>周边环境</w:t>
      </w:r>
    </w:p>
    <w:p w14:paraId="58CA6D32">
      <w:pPr>
        <w:bidi w:val="0"/>
        <w:rPr>
          <w:rFonts w:hint="eastAsia"/>
          <w:lang w:val="en-US" w:eastAsia="zh-CN"/>
        </w:rPr>
      </w:pPr>
      <w:r>
        <w:rPr>
          <w:rFonts w:hint="default"/>
          <w:lang w:eastAsia="zh-CN"/>
        </w:rPr>
        <w:t>根据现场勘察，矿区西南边有</w:t>
      </w:r>
      <w:r>
        <w:rPr>
          <w:rFonts w:hint="default"/>
          <w:lang w:val="en-US" w:eastAsia="zh-CN"/>
        </w:rPr>
        <w:t>G246（遂麻线）国道穿过，距离矿界最近点2</w:t>
      </w:r>
      <w:r>
        <w:rPr>
          <w:rFonts w:hint="eastAsia"/>
          <w:lang w:val="en-US" w:eastAsia="zh-CN"/>
        </w:rPr>
        <w:t>30</w:t>
      </w:r>
      <w:r>
        <w:rPr>
          <w:rFonts w:hint="default"/>
          <w:lang w:val="en-US" w:eastAsia="zh-CN"/>
        </w:rPr>
        <w:t>m，距离满足《公路安全保护条例》第十七条</w:t>
      </w:r>
      <w:r>
        <w:rPr>
          <w:rFonts w:hint="eastAsia"/>
          <w:lang w:val="en-US" w:eastAsia="zh-CN"/>
        </w:rPr>
        <w:t>“</w:t>
      </w:r>
      <w:r>
        <w:rPr>
          <w:rFonts w:hint="default"/>
          <w:lang w:val="en-US" w:eastAsia="zh-CN"/>
        </w:rPr>
        <w:t>国道、省道、县道的公路用地外缘起向外100m</w:t>
      </w:r>
      <w:r>
        <w:rPr>
          <w:rFonts w:hint="eastAsia"/>
          <w:lang w:val="en-US" w:eastAsia="zh-CN"/>
        </w:rPr>
        <w:t>”</w:t>
      </w:r>
      <w:r>
        <w:rPr>
          <w:rFonts w:hint="default"/>
          <w:lang w:val="en-US" w:eastAsia="zh-CN"/>
        </w:rPr>
        <w:t>的规定</w:t>
      </w:r>
      <w:r>
        <w:rPr>
          <w:rFonts w:hint="eastAsia"/>
          <w:lang w:val="en-US" w:eastAsia="zh-CN"/>
        </w:rPr>
        <w:t>。</w:t>
      </w:r>
    </w:p>
    <w:p w14:paraId="5A243B13">
      <w:pPr>
        <w:bidi w:val="0"/>
        <w:rPr>
          <w:rFonts w:hint="default"/>
          <w:lang w:val="en-US" w:eastAsia="zh-CN"/>
        </w:rPr>
      </w:pPr>
      <w:r>
        <w:rPr>
          <w:rFonts w:hint="default"/>
          <w:lang w:val="en-US" w:eastAsia="zh-CN"/>
        </w:rPr>
        <w:t>矿区西面及西南面有条</w:t>
      </w:r>
      <w:r>
        <w:rPr>
          <w:rFonts w:hint="eastAsia"/>
          <w:lang w:val="en-US" w:eastAsia="zh-CN"/>
        </w:rPr>
        <w:t>矿区道路</w:t>
      </w:r>
      <w:r>
        <w:rPr>
          <w:rFonts w:hint="default"/>
          <w:lang w:val="en-US" w:eastAsia="zh-CN"/>
        </w:rPr>
        <w:t>，距离矿界最近点30m</w:t>
      </w:r>
      <w:r>
        <w:rPr>
          <w:rFonts w:hint="eastAsia"/>
          <w:lang w:val="en-US" w:eastAsia="zh-CN"/>
        </w:rPr>
        <w:t>；</w:t>
      </w:r>
    </w:p>
    <w:p w14:paraId="77F0681A">
      <w:pPr>
        <w:bidi w:val="0"/>
        <w:rPr>
          <w:rFonts w:hint="default"/>
          <w:lang w:eastAsia="zh-CN"/>
        </w:rPr>
      </w:pPr>
      <w:r>
        <w:rPr>
          <w:rFonts w:hint="default"/>
          <w:lang w:val="en-US" w:eastAsia="zh-CN"/>
        </w:rPr>
        <w:t>办公生活区位于矿区东南乡村路边，距离矿界最近点</w:t>
      </w:r>
      <w:r>
        <w:rPr>
          <w:rFonts w:hint="eastAsia"/>
          <w:lang w:val="en-US" w:eastAsia="zh-CN"/>
        </w:rPr>
        <w:t>186</w:t>
      </w:r>
      <w:r>
        <w:rPr>
          <w:rFonts w:hint="default"/>
          <w:lang w:val="en-US" w:eastAsia="zh-CN"/>
        </w:rPr>
        <w:t>m-303m</w:t>
      </w:r>
      <w:r>
        <w:rPr>
          <w:rFonts w:hint="default"/>
          <w:lang w:eastAsia="zh-CN"/>
        </w:rPr>
        <w:t>；</w:t>
      </w:r>
    </w:p>
    <w:p w14:paraId="7852F9A2">
      <w:pPr>
        <w:bidi w:val="0"/>
        <w:rPr>
          <w:rFonts w:hint="eastAsia"/>
          <w:lang w:val="en-US" w:eastAsia="zh-CN"/>
        </w:rPr>
      </w:pPr>
      <w:r>
        <w:rPr>
          <w:rFonts w:hint="default"/>
          <w:lang w:val="en-US" w:eastAsia="zh-CN"/>
        </w:rPr>
        <w:t>距离矿区最近的位于矿区东南边的新发寨村，距离矿界最近点703m</w:t>
      </w:r>
      <w:r>
        <w:rPr>
          <w:rFonts w:hint="eastAsia"/>
          <w:lang w:val="en-US" w:eastAsia="zh-CN"/>
        </w:rPr>
        <w:t>；</w:t>
      </w:r>
    </w:p>
    <w:p w14:paraId="382864F7">
      <w:pPr>
        <w:bidi w:val="0"/>
        <w:rPr>
          <w:rFonts w:hint="default"/>
          <w:lang w:val="en-US" w:eastAsia="zh-CN"/>
        </w:rPr>
      </w:pPr>
      <w:r>
        <w:rPr>
          <w:rFonts w:hint="default"/>
          <w:lang w:val="en-US" w:eastAsia="zh-CN"/>
        </w:rPr>
        <w:t>矿权东南</w:t>
      </w:r>
      <w:r>
        <w:rPr>
          <w:rFonts w:hint="eastAsia"/>
          <w:lang w:val="en-US" w:eastAsia="zh-CN"/>
        </w:rPr>
        <w:t>52</w:t>
      </w:r>
      <w:r>
        <w:rPr>
          <w:rFonts w:hint="default"/>
          <w:lang w:val="en-US" w:eastAsia="zh-CN"/>
        </w:rPr>
        <w:t>m为矿山破碎站及工业场地。</w:t>
      </w:r>
    </w:p>
    <w:p w14:paraId="1ACD88D3">
      <w:pPr>
        <w:bidi w:val="0"/>
        <w:rPr>
          <w:rFonts w:hint="default"/>
        </w:rPr>
      </w:pPr>
      <w:r>
        <w:rPr>
          <w:rFonts w:hint="default"/>
          <w:lang w:eastAsia="zh-CN"/>
        </w:rPr>
        <w:t>其他周边</w:t>
      </w:r>
      <w:r>
        <w:rPr>
          <w:rFonts w:hint="default"/>
          <w:lang w:val="en-US" w:eastAsia="zh-CN"/>
        </w:rPr>
        <w:t>500m范围内无其他生产生活设施。</w:t>
      </w:r>
      <w:r>
        <w:rPr>
          <w:rFonts w:hint="eastAsia"/>
          <w:lang w:val="en-US" w:eastAsia="zh-CN"/>
        </w:rPr>
        <w:t>无</w:t>
      </w:r>
      <w:r>
        <w:rPr>
          <w:rFonts w:hint="default"/>
        </w:rPr>
        <w:t>矿权重叠</w:t>
      </w:r>
      <w:r>
        <w:rPr>
          <w:rFonts w:hint="default"/>
          <w:lang w:eastAsia="zh-CN"/>
        </w:rPr>
        <w:t>，</w:t>
      </w:r>
      <w:r>
        <w:rPr>
          <w:rFonts w:hint="default"/>
        </w:rPr>
        <w:t>矿界无争议。</w:t>
      </w:r>
    </w:p>
    <w:p w14:paraId="7660B547">
      <w:pPr>
        <w:bidi w:val="0"/>
        <w:rPr>
          <w:rFonts w:hint="eastAsia"/>
          <w:lang w:val="en-US" w:eastAsia="zh-CN"/>
        </w:rPr>
      </w:pPr>
      <w:r>
        <w:rPr>
          <w:rFonts w:hint="default"/>
        </w:rPr>
        <w:t>矿区</w:t>
      </w:r>
      <w:r>
        <w:rPr>
          <w:rFonts w:hint="default"/>
          <w:lang w:eastAsia="zh-CN"/>
        </w:rPr>
        <w:t>多</w:t>
      </w:r>
      <w:r>
        <w:rPr>
          <w:rFonts w:hint="default"/>
        </w:rPr>
        <w:t>为荒山、荒坡；矿区内无标志地质剖面经过；无科研价值的古生物化石分布；无珍稀濒危保护物种和古树名木；无国家重点保护的野生动植物名类；亦无需要保护的自然景观</w:t>
      </w:r>
      <w:r>
        <w:rPr>
          <w:rFonts w:hint="eastAsia"/>
        </w:rPr>
        <w:t>。</w:t>
      </w:r>
      <w:r>
        <w:rPr>
          <w:rFonts w:hint="eastAsia"/>
          <w:lang w:val="en-US" w:eastAsia="zh-CN"/>
        </w:rPr>
        <w:t>矿区周边环境见图2.1-2（图2.1-2矿区周边环境卫星影像图）。</w:t>
      </w:r>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1"/>
      </w:tblGrid>
      <w:tr w14:paraId="35FD7E0F">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71" w:type="dxa"/>
            <w:tcBorders>
              <w:tl2br w:val="nil"/>
              <w:tr2bl w:val="nil"/>
            </w:tcBorders>
            <w:vAlign w:val="top"/>
          </w:tcPr>
          <w:p w14:paraId="6564CA73">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eastAsia" w:ascii="宋体" w:hAnsi="宋体" w:eastAsia="宋体" w:cs="宋体"/>
                <w:color w:val="auto"/>
                <w:sz w:val="28"/>
                <w:szCs w:val="28"/>
                <w:highlight w:val="none"/>
                <w:vertAlign w:val="baseline"/>
                <w:lang w:val="en-US" w:eastAsia="zh-CN"/>
              </w:rPr>
            </w:pPr>
            <w:r>
              <w:drawing>
                <wp:inline distT="0" distB="0" distL="114300" distR="114300">
                  <wp:extent cx="5724525" cy="4090035"/>
                  <wp:effectExtent l="0" t="0" r="9525" b="5715"/>
                  <wp:docPr id="27" name="图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3"/>
                          <pic:cNvPicPr>
                            <a:picLocks noChangeAspect="1"/>
                          </pic:cNvPicPr>
                        </pic:nvPicPr>
                        <pic:blipFill>
                          <a:blip r:embed="rId19"/>
                          <a:stretch>
                            <a:fillRect/>
                          </a:stretch>
                        </pic:blipFill>
                        <pic:spPr>
                          <a:xfrm>
                            <a:off x="0" y="0"/>
                            <a:ext cx="5724525" cy="4090035"/>
                          </a:xfrm>
                          <a:prstGeom prst="rect">
                            <a:avLst/>
                          </a:prstGeom>
                          <a:noFill/>
                          <a:ln>
                            <a:noFill/>
                          </a:ln>
                        </pic:spPr>
                      </pic:pic>
                    </a:graphicData>
                  </a:graphic>
                </wp:inline>
              </w:drawing>
            </w:r>
            <w:r>
              <w:rPr>
                <w:rFonts w:hint="eastAsia" w:ascii="宋体" w:hAnsi="宋体" w:eastAsia="宋体" w:cs="Times New Roman"/>
                <w:b/>
                <w:bCs/>
                <w:color w:val="auto"/>
                <w:kern w:val="2"/>
                <w:sz w:val="24"/>
                <w:szCs w:val="24"/>
                <w:highlight w:val="none"/>
                <w:lang w:val="en-US" w:eastAsia="zh-CN" w:bidi="ar-SA"/>
              </w:rPr>
              <w:t>图</w:t>
            </w:r>
            <w:r>
              <w:rPr>
                <w:rFonts w:hint="eastAsia" w:ascii="Times New Roman" w:hAnsi="Times New Roman" w:eastAsia="宋体" w:cs="Times New Roman"/>
                <w:b/>
                <w:bCs/>
                <w:color w:val="auto"/>
                <w:kern w:val="2"/>
                <w:sz w:val="24"/>
                <w:szCs w:val="24"/>
                <w:highlight w:val="none"/>
                <w:lang w:val="en-US" w:eastAsia="zh-CN" w:bidi="ar-SA"/>
              </w:rPr>
              <w:t>2</w:t>
            </w:r>
            <w:r>
              <w:rPr>
                <w:rFonts w:hint="eastAsia" w:ascii="宋体" w:hAnsi="宋体" w:eastAsia="宋体" w:cs="Times New Roman"/>
                <w:b/>
                <w:bCs/>
                <w:color w:val="auto"/>
                <w:kern w:val="2"/>
                <w:sz w:val="24"/>
                <w:szCs w:val="24"/>
                <w:highlight w:val="none"/>
                <w:lang w:val="en-US" w:eastAsia="zh-CN" w:bidi="ar-SA"/>
              </w:rPr>
              <w:t>.</w:t>
            </w:r>
            <w:r>
              <w:rPr>
                <w:rFonts w:hint="eastAsia" w:ascii="Times New Roman" w:hAnsi="Times New Roman" w:eastAsia="宋体" w:cs="Times New Roman"/>
                <w:b/>
                <w:bCs/>
                <w:color w:val="auto"/>
                <w:kern w:val="2"/>
                <w:sz w:val="24"/>
                <w:szCs w:val="24"/>
                <w:highlight w:val="none"/>
                <w:lang w:val="en-US" w:eastAsia="zh-CN" w:bidi="ar-SA"/>
              </w:rPr>
              <w:t>1</w:t>
            </w:r>
            <w:r>
              <w:rPr>
                <w:rFonts w:hint="eastAsia" w:ascii="宋体" w:hAnsi="宋体" w:eastAsia="宋体" w:cs="Times New Roman"/>
                <w:b/>
                <w:bCs/>
                <w:color w:val="auto"/>
                <w:kern w:val="2"/>
                <w:sz w:val="24"/>
                <w:szCs w:val="24"/>
                <w:highlight w:val="none"/>
                <w:lang w:val="en-US" w:eastAsia="zh-CN" w:bidi="ar-SA"/>
              </w:rPr>
              <w:t>-</w:t>
            </w:r>
            <w:r>
              <w:rPr>
                <w:rFonts w:hint="eastAsia" w:ascii="Times New Roman" w:hAnsi="Times New Roman" w:eastAsia="宋体" w:cs="Times New Roman"/>
                <w:b/>
                <w:bCs/>
                <w:color w:val="auto"/>
                <w:kern w:val="2"/>
                <w:sz w:val="24"/>
                <w:szCs w:val="24"/>
                <w:highlight w:val="none"/>
                <w:lang w:val="en-US" w:eastAsia="zh-CN" w:bidi="ar-SA"/>
              </w:rPr>
              <w:t>2</w:t>
            </w:r>
            <w:r>
              <w:rPr>
                <w:rFonts w:hint="eastAsia" w:ascii="宋体" w:hAnsi="宋体" w:eastAsia="宋体" w:cs="Times New Roman"/>
                <w:b/>
                <w:bCs/>
                <w:color w:val="auto"/>
                <w:kern w:val="2"/>
                <w:sz w:val="24"/>
                <w:szCs w:val="24"/>
                <w:highlight w:val="none"/>
                <w:lang w:val="en-US" w:eastAsia="zh-CN" w:bidi="ar-SA"/>
              </w:rPr>
              <w:t>矿区周边</w:t>
            </w:r>
            <w:r>
              <w:rPr>
                <w:rFonts w:hint="eastAsia" w:eastAsia="宋体" w:cs="Times New Roman"/>
                <w:b/>
                <w:bCs/>
                <w:color w:val="auto"/>
                <w:kern w:val="2"/>
                <w:sz w:val="24"/>
                <w:szCs w:val="24"/>
                <w:highlight w:val="none"/>
                <w:lang w:val="en-US" w:eastAsia="zh-CN" w:bidi="ar-SA"/>
              </w:rPr>
              <w:t>环境</w:t>
            </w:r>
            <w:r>
              <w:rPr>
                <w:rFonts w:hint="eastAsia" w:ascii="宋体" w:hAnsi="宋体" w:eastAsia="宋体" w:cs="Times New Roman"/>
                <w:b/>
                <w:bCs/>
                <w:color w:val="auto"/>
                <w:kern w:val="2"/>
                <w:sz w:val="24"/>
                <w:szCs w:val="24"/>
                <w:highlight w:val="none"/>
                <w:lang w:val="en-US" w:eastAsia="zh-CN" w:bidi="ar-SA"/>
              </w:rPr>
              <w:t>卫星影像图</w:t>
            </w:r>
          </w:p>
        </w:tc>
      </w:tr>
    </w:tbl>
    <w:p w14:paraId="55610407">
      <w:pPr>
        <w:numPr>
          <w:ilvl w:val="0"/>
          <w:numId w:val="0"/>
        </w:numPr>
        <w:bidi w:val="0"/>
        <w:ind w:leftChars="200"/>
      </w:pPr>
      <w:bookmarkStart w:id="130" w:name="_Toc214289959"/>
      <w:r>
        <w:rPr>
          <w:rFonts w:hint="eastAsia"/>
          <w:lang w:val="en-US" w:eastAsia="zh-CN"/>
        </w:rPr>
        <w:t>2、</w:t>
      </w:r>
      <w:r>
        <w:t>周边环境</w:t>
      </w:r>
      <w:r>
        <w:rPr>
          <w:rFonts w:hint="eastAsia"/>
        </w:rPr>
        <w:t>与矿山</w:t>
      </w:r>
      <w:r>
        <w:t>开采的</w:t>
      </w:r>
      <w:r>
        <w:rPr>
          <w:rFonts w:hint="eastAsia"/>
        </w:rPr>
        <w:t>相互</w:t>
      </w:r>
      <w:r>
        <w:t>影响</w:t>
      </w:r>
      <w:bookmarkEnd w:id="130"/>
    </w:p>
    <w:p w14:paraId="6320F996">
      <w:pPr>
        <w:bidi w:val="0"/>
      </w:pPr>
      <w:r>
        <w:rPr>
          <w:rFonts w:hint="default"/>
          <w:lang w:eastAsia="zh-CN"/>
        </w:rPr>
        <w:t>根据现场勘察，矿区西南边有</w:t>
      </w:r>
      <w:r>
        <w:rPr>
          <w:rFonts w:hint="default"/>
          <w:lang w:val="en-US" w:eastAsia="zh-CN"/>
        </w:rPr>
        <w:t>G246（遂麻线</w:t>
      </w:r>
      <w:r>
        <w:rPr>
          <w:rFonts w:hint="eastAsia"/>
          <w:lang w:val="en-US" w:eastAsia="zh-CN"/>
        </w:rPr>
        <w:t>西畴一西林段</w:t>
      </w:r>
      <w:r>
        <w:rPr>
          <w:rFonts w:hint="default"/>
          <w:lang w:val="en-US" w:eastAsia="zh-CN"/>
        </w:rPr>
        <w:t>）国道穿过，距离矿界最近点2</w:t>
      </w:r>
      <w:r>
        <w:rPr>
          <w:rFonts w:hint="eastAsia"/>
          <w:lang w:val="en-US" w:eastAsia="zh-CN"/>
        </w:rPr>
        <w:t>30</w:t>
      </w:r>
      <w:r>
        <w:rPr>
          <w:rFonts w:hint="default"/>
          <w:lang w:val="en-US" w:eastAsia="zh-CN"/>
        </w:rPr>
        <w:t>m，</w:t>
      </w:r>
      <w:r>
        <w:rPr>
          <w:rFonts w:hint="eastAsia"/>
          <w:lang w:val="en-US" w:eastAsia="zh-CN"/>
        </w:rPr>
        <w:t>矿山开采爆破作业爆破声会对</w:t>
      </w:r>
      <w:r>
        <w:rPr>
          <w:rFonts w:hint="default"/>
          <w:lang w:val="en-US" w:eastAsia="zh-CN"/>
        </w:rPr>
        <w:t>国道</w:t>
      </w:r>
      <w:r>
        <w:rPr>
          <w:rFonts w:hint="eastAsia"/>
          <w:lang w:val="en-US" w:eastAsia="zh-CN"/>
        </w:rPr>
        <w:t>上车辆人员造成惊吓等影响</w:t>
      </w:r>
      <w:r>
        <w:rPr>
          <w:rFonts w:hint="default"/>
          <w:lang w:val="en-US" w:eastAsia="zh-CN"/>
        </w:rPr>
        <w:t>；矿区西面及西南面有条</w:t>
      </w:r>
      <w:r>
        <w:rPr>
          <w:rFonts w:hint="eastAsia"/>
          <w:lang w:val="en-US" w:eastAsia="zh-CN"/>
        </w:rPr>
        <w:t>矿区道路</w:t>
      </w:r>
      <w:r>
        <w:rPr>
          <w:rFonts w:hint="default"/>
          <w:lang w:val="en-US" w:eastAsia="zh-CN"/>
        </w:rPr>
        <w:t>，距离矿界最近点30m</w:t>
      </w:r>
      <w:r>
        <w:rPr>
          <w:rFonts w:hint="eastAsia"/>
          <w:lang w:val="en-US" w:eastAsia="zh-CN"/>
        </w:rPr>
        <w:t>，矿区道路上会有附近村民路过或放牧，矿山开采爆破作业产生的飞石、振动会对其造成伤害，爆破作业时应做好清查和警戒工作；</w:t>
      </w:r>
      <w:r>
        <w:rPr>
          <w:rFonts w:hint="default"/>
          <w:lang w:val="en-US" w:eastAsia="zh-CN"/>
        </w:rPr>
        <w:t>办公生活区位于矿区东南乡村路边，距离矿界最近点</w:t>
      </w:r>
      <w:r>
        <w:rPr>
          <w:rFonts w:hint="eastAsia"/>
          <w:lang w:val="en-US" w:eastAsia="zh-CN"/>
        </w:rPr>
        <w:t>186</w:t>
      </w:r>
      <w:r>
        <w:rPr>
          <w:rFonts w:hint="default"/>
          <w:lang w:val="en-US" w:eastAsia="zh-CN"/>
        </w:rPr>
        <w:t>m</w:t>
      </w:r>
      <w:r>
        <w:rPr>
          <w:i w:val="0"/>
          <w:iCs w:val="0"/>
          <w:snapToGrid w:val="0"/>
          <w:color w:val="000000"/>
          <w:kern w:val="0"/>
          <w:sz w:val="28"/>
          <w:szCs w:val="28"/>
        </w:rPr>
        <w:t>～</w:t>
      </w:r>
      <w:r>
        <w:rPr>
          <w:rFonts w:hint="default"/>
          <w:lang w:val="en-US" w:eastAsia="zh-CN"/>
        </w:rPr>
        <w:t>303m</w:t>
      </w:r>
      <w:r>
        <w:rPr>
          <w:rFonts w:hint="eastAsia"/>
          <w:lang w:val="en-US" w:eastAsia="zh-CN"/>
        </w:rPr>
        <w:t>，根据本次爆破</w:t>
      </w:r>
      <w:r>
        <w:rPr>
          <w:rFonts w:hint="default"/>
          <w:lang w:val="zh-TW" w:eastAsia="zh-CN"/>
        </w:rPr>
        <w:t>安全距离</w:t>
      </w:r>
      <w:r>
        <w:rPr>
          <w:rFonts w:hint="eastAsia"/>
          <w:lang w:val="en-US" w:eastAsia="zh-CN"/>
        </w:rPr>
        <w:t>计算，</w:t>
      </w:r>
      <w:r>
        <w:rPr>
          <w:rFonts w:hint="default"/>
          <w:lang w:val="en-US" w:eastAsia="zh-CN"/>
        </w:rPr>
        <w:t>爆破振动安全允许距离</w:t>
      </w:r>
      <w:r>
        <w:rPr>
          <w:rFonts w:hint="eastAsia"/>
          <w:lang w:val="en-US" w:eastAsia="zh-CN"/>
        </w:rPr>
        <w:t>63.4m，</w:t>
      </w:r>
      <w:r>
        <w:rPr>
          <w:rFonts w:hint="default"/>
          <w:lang w:eastAsia="zh-CN"/>
        </w:rPr>
        <w:t>爆破冲击波安全允许距离</w:t>
      </w:r>
      <w:r>
        <w:rPr>
          <w:rFonts w:hint="eastAsia"/>
          <w:lang w:val="en-US" w:eastAsia="zh-CN"/>
        </w:rPr>
        <w:t>114.5m，</w:t>
      </w:r>
      <w:r>
        <w:rPr>
          <w:rFonts w:hint="default"/>
          <w:lang w:eastAsia="zh-CN"/>
        </w:rPr>
        <w:t>个别飞散物安全允许距离</w:t>
      </w:r>
      <w:r>
        <w:rPr>
          <w:rFonts w:hint="eastAsia"/>
          <w:lang w:val="en-US" w:eastAsia="zh-CN"/>
        </w:rPr>
        <w:t>59.1</w:t>
      </w:r>
      <w:r>
        <w:rPr>
          <w:rFonts w:hint="default"/>
          <w:lang w:val="zh-TW" w:eastAsia="zh-TW"/>
        </w:rPr>
        <w:t>m</w:t>
      </w:r>
      <w:r>
        <w:rPr>
          <w:rFonts w:hint="default"/>
          <w:lang w:val="zh-TW" w:eastAsia="zh-CN"/>
        </w:rPr>
        <w:t>，顺坡方向增加</w:t>
      </w:r>
      <w:r>
        <w:rPr>
          <w:rFonts w:hint="default"/>
          <w:lang w:eastAsia="zh-CN"/>
        </w:rPr>
        <w:t>50%即</w:t>
      </w:r>
      <w:r>
        <w:rPr>
          <w:rFonts w:hint="eastAsia"/>
          <w:lang w:val="en-US" w:eastAsia="zh-CN"/>
        </w:rPr>
        <w:t>89</w:t>
      </w:r>
      <w:r>
        <w:rPr>
          <w:rFonts w:hint="default"/>
          <w:lang w:eastAsia="zh-CN"/>
        </w:rPr>
        <w:t>m</w:t>
      </w:r>
      <w:r>
        <w:rPr>
          <w:rFonts w:hint="default"/>
          <w:lang w:val="en-US" w:eastAsia="zh-CN"/>
        </w:rPr>
        <w:t>；</w:t>
      </w:r>
      <w:r>
        <w:rPr>
          <w:rFonts w:hint="eastAsia"/>
          <w:lang w:val="en-US" w:eastAsia="zh-CN"/>
        </w:rPr>
        <w:t>矿山开采爆破作业不会对</w:t>
      </w:r>
      <w:r>
        <w:rPr>
          <w:rFonts w:hint="default"/>
          <w:lang w:val="en-US" w:eastAsia="zh-CN"/>
        </w:rPr>
        <w:t>办公生活区</w:t>
      </w:r>
      <w:r>
        <w:rPr>
          <w:rFonts w:hint="eastAsia"/>
          <w:lang w:val="en-US" w:eastAsia="zh-CN"/>
        </w:rPr>
        <w:t>造成影响。</w:t>
      </w:r>
      <w:r>
        <w:rPr>
          <w:rFonts w:hint="default"/>
          <w:lang w:val="en-US" w:eastAsia="zh-CN"/>
        </w:rPr>
        <w:t>矿权东南</w:t>
      </w:r>
      <w:r>
        <w:rPr>
          <w:rFonts w:hint="eastAsia"/>
          <w:lang w:val="en-US" w:eastAsia="zh-CN"/>
        </w:rPr>
        <w:t>52</w:t>
      </w:r>
      <w:r>
        <w:rPr>
          <w:rFonts w:hint="default"/>
          <w:lang w:val="en-US" w:eastAsia="zh-CN"/>
        </w:rPr>
        <w:t>m为矿山破碎站及工业场地</w:t>
      </w:r>
      <w:r>
        <w:rPr>
          <w:rFonts w:hint="eastAsia"/>
          <w:lang w:val="en-US" w:eastAsia="zh-CN"/>
        </w:rPr>
        <w:t>，矿山开采爆破作业会对其造成飞石和振动伤害，爆破作业时应做好防护工作</w:t>
      </w:r>
      <w:r>
        <w:rPr>
          <w:rFonts w:hint="default"/>
          <w:lang w:val="en-US" w:eastAsia="zh-CN"/>
        </w:rPr>
        <w:t>。</w:t>
      </w:r>
    </w:p>
    <w:p w14:paraId="675DCB42">
      <w:pPr>
        <w:pStyle w:val="3"/>
        <w:bidi w:val="0"/>
      </w:pPr>
      <w:bookmarkStart w:id="131" w:name="_Toc15236"/>
      <w:r>
        <w:t>2.2自然环境概况</w:t>
      </w:r>
      <w:bookmarkEnd w:id="126"/>
      <w:bookmarkEnd w:id="127"/>
      <w:bookmarkEnd w:id="128"/>
      <w:bookmarkEnd w:id="129"/>
      <w:bookmarkEnd w:id="131"/>
    </w:p>
    <w:p w14:paraId="50ED97F3">
      <w:pPr>
        <w:pStyle w:val="4"/>
        <w:bidi w:val="0"/>
        <w:rPr>
          <w:lang w:val="en-US" w:eastAsia="en-US"/>
        </w:rPr>
      </w:pPr>
      <w:bookmarkStart w:id="132" w:name="_Toc17502"/>
      <w:bookmarkStart w:id="133" w:name="_Toc108"/>
      <w:bookmarkStart w:id="134" w:name="_Toc214284001"/>
      <w:bookmarkStart w:id="135" w:name="_Toc115120620"/>
      <w:bookmarkStart w:id="136" w:name="_Toc503469792"/>
      <w:bookmarkStart w:id="137" w:name="_Toc115120226"/>
      <w:bookmarkStart w:id="138" w:name="_Toc501120276"/>
      <w:r>
        <w:rPr>
          <w:lang w:val="en-US" w:eastAsia="en-US"/>
        </w:rPr>
        <w:t>2.2.1矿区地形地貌</w:t>
      </w:r>
      <w:bookmarkEnd w:id="132"/>
      <w:bookmarkEnd w:id="133"/>
    </w:p>
    <w:p w14:paraId="52372B1C">
      <w:pPr>
        <w:keepNext w:val="0"/>
        <w:keepLines w:val="0"/>
        <w:pageBreakBefore w:val="0"/>
        <w:widowControl w:val="0"/>
        <w:kinsoku/>
        <w:wordWrap/>
        <w:overflowPunct/>
        <w:topLinePunct w:val="0"/>
        <w:autoSpaceDE/>
        <w:autoSpaceDN/>
        <w:bidi w:val="0"/>
        <w:adjustRightInd w:val="0"/>
        <w:snapToGrid w:val="0"/>
        <w:spacing w:line="360" w:lineRule="auto"/>
        <w:ind w:firstLine="552" w:firstLineChars="200"/>
        <w:jc w:val="both"/>
        <w:textAlignment w:val="auto"/>
        <w:rPr>
          <w:rFonts w:hint="default" w:ascii="Times New Roman" w:hAnsi="Times New Roman" w:eastAsia="宋体" w:cs="Times New Roman"/>
          <w:color w:val="auto"/>
          <w:kern w:val="0"/>
          <w:szCs w:val="28"/>
          <w:lang w:bidi="en-US"/>
        </w:rPr>
      </w:pPr>
      <w:bookmarkStart w:id="139" w:name="bookmark15"/>
      <w:bookmarkEnd w:id="139"/>
      <w:bookmarkStart w:id="140" w:name="_Toc1912"/>
      <w:r>
        <w:rPr>
          <w:rFonts w:hint="default" w:ascii="Times New Roman" w:hAnsi="Times New Roman" w:eastAsia="宋体" w:cs="Times New Roman"/>
          <w:color w:val="auto"/>
          <w:sz w:val="28"/>
          <w:szCs w:val="28"/>
        </w:rPr>
        <w:t>矿区总体属滇东高原侵蚀溶蚀中山地貌，矿区内总体北高南低，地形较为完整，最高点位于矿区北</w:t>
      </w:r>
      <w:r>
        <w:rPr>
          <w:rFonts w:hint="default" w:ascii="Times New Roman" w:hAnsi="Times New Roman" w:eastAsia="宋体" w:cs="Times New Roman"/>
          <w:color w:val="auto"/>
          <w:sz w:val="28"/>
          <w:szCs w:val="28"/>
          <w:lang w:val="en-US" w:eastAsia="zh-CN"/>
        </w:rPr>
        <w:t>东近山顶地带矿</w:t>
      </w:r>
      <w:r>
        <w:rPr>
          <w:rFonts w:hint="default" w:ascii="Times New Roman" w:hAnsi="Times New Roman" w:eastAsia="宋体" w:cs="Times New Roman"/>
          <w:color w:val="auto"/>
          <w:sz w:val="28"/>
          <w:szCs w:val="28"/>
        </w:rPr>
        <w:t>，高程为</w:t>
      </w:r>
      <w:r>
        <w:rPr>
          <w:rFonts w:hint="default" w:ascii="Times New Roman" w:hAnsi="Times New Roman" w:eastAsia="宋体" w:cs="Times New Roman"/>
          <w:color w:val="auto"/>
          <w:sz w:val="28"/>
          <w:szCs w:val="28"/>
          <w:lang w:val="en-US" w:eastAsia="zh-CN"/>
        </w:rPr>
        <w:t>17</w:t>
      </w:r>
      <w:r>
        <w:rPr>
          <w:rFonts w:hint="eastAsia" w:ascii="Times New Roman" w:hAnsi="Times New Roman" w:eastAsia="宋体" w:cs="Times New Roman"/>
          <w:color w:val="auto"/>
          <w:sz w:val="28"/>
          <w:szCs w:val="28"/>
          <w:lang w:val="en-US" w:eastAsia="zh-CN"/>
        </w:rPr>
        <w:t>20m</w:t>
      </w:r>
      <w:r>
        <w:rPr>
          <w:rFonts w:hint="default" w:ascii="Times New Roman" w:hAnsi="Times New Roman" w:eastAsia="宋体" w:cs="Times New Roman"/>
          <w:color w:val="auto"/>
          <w:sz w:val="28"/>
          <w:szCs w:val="28"/>
        </w:rPr>
        <w:t>，最低点位于矿区</w:t>
      </w:r>
      <w:r>
        <w:rPr>
          <w:rFonts w:hint="eastAsia" w:ascii="Times New Roman" w:hAnsi="Times New Roman" w:eastAsia="宋体" w:cs="Times New Roman"/>
          <w:color w:val="auto"/>
          <w:sz w:val="28"/>
          <w:szCs w:val="28"/>
          <w:lang w:val="en-US" w:eastAsia="zh-CN"/>
        </w:rPr>
        <w:t>东部</w:t>
      </w:r>
      <w:r>
        <w:rPr>
          <w:rFonts w:hint="default" w:ascii="Times New Roman" w:hAnsi="Times New Roman" w:eastAsia="宋体" w:cs="Times New Roman"/>
          <w:color w:val="auto"/>
          <w:sz w:val="28"/>
          <w:szCs w:val="28"/>
        </w:rPr>
        <w:t>，高程为</w:t>
      </w:r>
      <w:r>
        <w:rPr>
          <w:rFonts w:hint="default" w:ascii="Times New Roman" w:hAnsi="Times New Roman" w:eastAsia="宋体" w:cs="Times New Roman"/>
          <w:color w:val="auto"/>
          <w:sz w:val="28"/>
          <w:szCs w:val="28"/>
          <w:lang w:val="en-US" w:eastAsia="zh-CN"/>
        </w:rPr>
        <w:t>16</w:t>
      </w:r>
      <w:r>
        <w:rPr>
          <w:rFonts w:hint="eastAsia" w:ascii="Times New Roman" w:hAnsi="Times New Roman" w:eastAsia="宋体" w:cs="Times New Roman"/>
          <w:color w:val="auto"/>
          <w:sz w:val="28"/>
          <w:szCs w:val="28"/>
          <w:lang w:val="en-US" w:eastAsia="zh-CN"/>
        </w:rPr>
        <w:t>07m</w:t>
      </w:r>
      <w:r>
        <w:rPr>
          <w:rFonts w:hint="default" w:ascii="Times New Roman" w:hAnsi="Times New Roman" w:eastAsia="宋体" w:cs="Times New Roman"/>
          <w:color w:val="auto"/>
          <w:sz w:val="28"/>
          <w:szCs w:val="28"/>
        </w:rPr>
        <w:t>，相对高差</w:t>
      </w:r>
      <w:r>
        <w:rPr>
          <w:rFonts w:hint="eastAsia" w:ascii="Times New Roman" w:hAnsi="Times New Roman" w:eastAsia="宋体" w:cs="Times New Roman"/>
          <w:color w:val="auto"/>
          <w:sz w:val="28"/>
          <w:szCs w:val="28"/>
          <w:lang w:val="en-US" w:eastAsia="zh-CN"/>
        </w:rPr>
        <w:t>113m</w:t>
      </w:r>
      <w:r>
        <w:rPr>
          <w:rFonts w:hint="default" w:ascii="Times New Roman" w:hAnsi="Times New Roman" w:eastAsia="宋体" w:cs="Times New Roman"/>
          <w:color w:val="auto"/>
          <w:sz w:val="28"/>
          <w:szCs w:val="28"/>
        </w:rPr>
        <w:t>。地面倾向与岩层倾向多为反向，矿区地形地貌复杂程度为中等类型</w:t>
      </w:r>
      <w:r>
        <w:rPr>
          <w:rFonts w:hint="default" w:ascii="Times New Roman" w:hAnsi="Times New Roman" w:eastAsia="宋体" w:cs="Times New Roman"/>
          <w:color w:val="auto"/>
          <w:kern w:val="0"/>
          <w:szCs w:val="28"/>
          <w:lang w:bidi="en-US"/>
        </w:rPr>
        <w:t>。</w:t>
      </w:r>
    </w:p>
    <w:p w14:paraId="5E1C4D86">
      <w:pPr>
        <w:pStyle w:val="4"/>
        <w:bidi w:val="0"/>
        <w:rPr>
          <w:lang w:val="en-US" w:eastAsia="en-US"/>
        </w:rPr>
      </w:pPr>
      <w:bookmarkStart w:id="141" w:name="_Toc23052"/>
      <w:r>
        <w:rPr>
          <w:lang w:val="en-US" w:eastAsia="en-US"/>
        </w:rPr>
        <w:t>2.2.2矿区气候</w:t>
      </w:r>
      <w:bookmarkEnd w:id="140"/>
      <w:bookmarkEnd w:id="141"/>
    </w:p>
    <w:p w14:paraId="14FBCDDD">
      <w:pPr>
        <w:keepNext w:val="0"/>
        <w:keepLines w:val="0"/>
        <w:pageBreakBefore w:val="0"/>
        <w:widowControl w:val="0"/>
        <w:tabs>
          <w:tab w:val="left" w:pos="540"/>
        </w:tabs>
        <w:kinsoku/>
        <w:wordWrap/>
        <w:overflowPunct/>
        <w:topLinePunct w:val="0"/>
        <w:autoSpaceDE/>
        <w:autoSpaceDN/>
        <w:bidi w:val="0"/>
        <w:adjustRightInd/>
        <w:snapToGrid/>
        <w:spacing w:line="360" w:lineRule="auto"/>
        <w:ind w:firstLine="552" w:firstLineChars="200"/>
        <w:jc w:val="both"/>
        <w:textAlignment w:val="auto"/>
        <w:outlineLvl w:val="9"/>
        <w:rPr>
          <w:rFonts w:hint="default" w:ascii="Times New Roman" w:hAnsi="Times New Roman" w:eastAsia="宋体" w:cs="Times New Roman"/>
          <w:bCs/>
          <w:color w:val="auto"/>
          <w:sz w:val="28"/>
          <w:szCs w:val="28"/>
        </w:rPr>
      </w:pPr>
      <w:bookmarkStart w:id="142" w:name="bookmark16"/>
      <w:bookmarkEnd w:id="142"/>
      <w:bookmarkStart w:id="143" w:name="_Toc27145"/>
      <w:r>
        <w:rPr>
          <w:rFonts w:hint="default" w:ascii="Times New Roman" w:hAnsi="Times New Roman" w:eastAsia="宋体" w:cs="Times New Roman"/>
          <w:bCs/>
          <w:color w:val="auto"/>
          <w:sz w:val="28"/>
          <w:szCs w:val="28"/>
        </w:rPr>
        <w:t>广南县位于云贵高原向桂东溶原过度的斜坡地带，是一个山地高原的丘陵地区，受地势海拔和大气环流的影响，属南亚、中亚和北亚热带气候类型，北回归线过县境南缘，经常受孟加拉湾和北部湾海洋气候影响，其特征是终年气候温和，潮湿多雨，冬无严寒，夏无酷暑，春暖干旱，秋凉湿润干湿季节分明，全年气候温和，年温差小，日温差大，霜期短，降水较集中，光照充足。年平均气温16.7℃，最冷月1月平均气温8.4℃，最热月7月平均气温22.6℃，全年无霜期305天。年均相对湿度79%，平均降雨量1056.5</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，受季风气候影响，降水量季节分配极不均匀，最多8月为200.5</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，最少1月为13.5</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，季节明显。降水量最多1978年达1253.6</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，最少年1955为599.5</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，历年日照时数平均值为1857.7</w:t>
      </w:r>
      <w:r>
        <w:rPr>
          <w:rFonts w:hint="default" w:ascii="Times New Roman" w:hAnsi="Times New Roman" w:eastAsia="宋体" w:cs="Times New Roman"/>
          <w:bCs/>
          <w:color w:val="auto"/>
          <w:sz w:val="28"/>
          <w:szCs w:val="28"/>
          <w:lang w:eastAsia="zh-CN"/>
        </w:rPr>
        <w:t>小时</w:t>
      </w:r>
      <w:r>
        <w:rPr>
          <w:rFonts w:hint="default" w:ascii="Times New Roman" w:hAnsi="Times New Roman" w:eastAsia="宋体" w:cs="Times New Roman"/>
          <w:bCs/>
          <w:color w:val="auto"/>
          <w:sz w:val="28"/>
          <w:szCs w:val="28"/>
        </w:rPr>
        <w:t>，年最多风向为西南风和东南风，其次为自西向东的定向风，年均风速2.0</w:t>
      </w:r>
      <w:r>
        <w:rPr>
          <w:rFonts w:hint="eastAsia" w:ascii="Times New Roman" w:hAnsi="Times New Roman" w:cs="Times New Roman"/>
          <w:bCs/>
          <w:color w:val="auto"/>
          <w:sz w:val="28"/>
          <w:szCs w:val="28"/>
          <w:lang w:val="en-US" w:eastAsia="zh-CN"/>
        </w:rPr>
        <w:t>m</w:t>
      </w:r>
      <w:r>
        <w:rPr>
          <w:rFonts w:hint="default" w:ascii="Times New Roman" w:hAnsi="Times New Roman" w:eastAsia="宋体" w:cs="Times New Roman"/>
          <w:bCs/>
          <w:color w:val="auto"/>
          <w:sz w:val="28"/>
          <w:szCs w:val="28"/>
        </w:rPr>
        <w:t>/</w:t>
      </w:r>
      <w:r>
        <w:rPr>
          <w:rFonts w:hint="eastAsia" w:ascii="Times New Roman" w:hAnsi="Times New Roman" w:cs="Times New Roman"/>
          <w:bCs/>
          <w:color w:val="auto"/>
          <w:sz w:val="28"/>
          <w:szCs w:val="28"/>
          <w:lang w:val="en-US" w:eastAsia="zh-CN"/>
        </w:rPr>
        <w:t>s</w:t>
      </w:r>
      <w:r>
        <w:rPr>
          <w:rFonts w:hint="default" w:ascii="Times New Roman" w:hAnsi="Times New Roman" w:eastAsia="宋体" w:cs="Times New Roman"/>
          <w:bCs/>
          <w:color w:val="auto"/>
          <w:sz w:val="28"/>
          <w:szCs w:val="28"/>
        </w:rPr>
        <w:t>，静风频率约20%。</w:t>
      </w:r>
    </w:p>
    <w:p w14:paraId="29245406">
      <w:pPr>
        <w:keepNext w:val="0"/>
        <w:keepLines w:val="0"/>
        <w:pageBreakBefore w:val="0"/>
        <w:widowControl w:val="0"/>
        <w:kinsoku/>
        <w:wordWrap/>
        <w:overflowPunct/>
        <w:topLinePunct w:val="0"/>
        <w:autoSpaceDE/>
        <w:autoSpaceDN/>
        <w:bidi w:val="0"/>
        <w:adjustRightInd w:val="0"/>
        <w:snapToGrid w:val="0"/>
        <w:spacing w:line="360" w:lineRule="auto"/>
        <w:ind w:firstLine="552" w:firstLineChars="200"/>
        <w:jc w:val="both"/>
        <w:textAlignment w:val="auto"/>
        <w:rPr>
          <w:rFonts w:hint="default" w:ascii="Times New Roman" w:hAnsi="Times New Roman" w:eastAsia="宋体" w:cs="Times New Roman"/>
          <w:color w:val="auto"/>
          <w:kern w:val="0"/>
          <w:szCs w:val="28"/>
          <w:lang w:bidi="en-US"/>
        </w:rPr>
      </w:pPr>
      <w:r>
        <w:rPr>
          <w:rFonts w:hint="default" w:ascii="Times New Roman" w:hAnsi="Times New Roman" w:eastAsia="宋体" w:cs="Times New Roman"/>
          <w:color w:val="auto"/>
          <w:sz w:val="28"/>
          <w:szCs w:val="28"/>
        </w:rPr>
        <w:t>矿区所在的</w:t>
      </w:r>
      <w:r>
        <w:rPr>
          <w:rFonts w:hint="default" w:ascii="Times New Roman" w:hAnsi="Times New Roman" w:eastAsia="宋体" w:cs="Times New Roman"/>
          <w:color w:val="auto"/>
          <w:sz w:val="28"/>
          <w:szCs w:val="28"/>
          <w:lang w:eastAsia="zh-CN"/>
        </w:rPr>
        <w:t>珠街镇</w:t>
      </w:r>
      <w:r>
        <w:rPr>
          <w:rFonts w:hint="default" w:ascii="Times New Roman" w:hAnsi="Times New Roman" w:eastAsia="宋体" w:cs="Times New Roman"/>
          <w:color w:val="auto"/>
          <w:sz w:val="28"/>
          <w:szCs w:val="28"/>
        </w:rPr>
        <w:t>，年平均气温25.0℃，海拨1563</w:t>
      </w:r>
      <w:r>
        <w:rPr>
          <w:rFonts w:hint="eastAsia" w:ascii="Times New Roman" w:hAnsi="Times New Roman" w:cs="Times New Roman"/>
          <w:color w:val="auto"/>
          <w:sz w:val="28"/>
          <w:szCs w:val="28"/>
          <w:lang w:val="en-US" w:eastAsia="zh-CN"/>
        </w:rPr>
        <w:t>m</w:t>
      </w:r>
      <w:r>
        <w:rPr>
          <w:rFonts w:hint="default" w:ascii="Times New Roman" w:hAnsi="Times New Roman" w:eastAsia="宋体" w:cs="Times New Roman"/>
          <w:color w:val="auto"/>
          <w:sz w:val="28"/>
          <w:szCs w:val="28"/>
        </w:rPr>
        <w:t>，年均降雨量1067</w:t>
      </w:r>
      <w:r>
        <w:rPr>
          <w:rFonts w:hint="eastAsia" w:ascii="Times New Roman" w:hAnsi="Times New Roman" w:eastAsia="宋体" w:cs="Times New Roman"/>
          <w:color w:val="auto"/>
          <w:sz w:val="28"/>
          <w:szCs w:val="28"/>
          <w:lang w:val="en-US" w:eastAsia="zh-CN"/>
        </w:rPr>
        <w:t>mm</w:t>
      </w:r>
      <w:r>
        <w:rPr>
          <w:rFonts w:hint="default" w:ascii="Times New Roman" w:hAnsi="Times New Roman" w:eastAsia="宋体" w:cs="Times New Roman"/>
          <w:color w:val="auto"/>
          <w:sz w:val="28"/>
          <w:szCs w:val="28"/>
        </w:rPr>
        <w:t>，全年无霜期335天，年日照时数1865</w:t>
      </w:r>
      <w:r>
        <w:rPr>
          <w:rFonts w:hint="default" w:ascii="Times New Roman" w:hAnsi="Times New Roman" w:eastAsia="宋体" w:cs="Times New Roman"/>
          <w:color w:val="auto"/>
          <w:sz w:val="28"/>
          <w:szCs w:val="28"/>
          <w:lang w:val="en-US" w:eastAsia="zh-CN"/>
        </w:rPr>
        <w:t>小时</w:t>
      </w:r>
      <w:r>
        <w:rPr>
          <w:rFonts w:hint="default" w:ascii="Times New Roman" w:hAnsi="Times New Roman" w:eastAsia="宋体" w:cs="Times New Roman"/>
          <w:color w:val="auto"/>
          <w:sz w:val="28"/>
          <w:szCs w:val="28"/>
        </w:rPr>
        <w:t>，相对湿度70～80%，具有冬暖夏凉，雨量充沛，雨热同季，光照充足的气候特点</w:t>
      </w:r>
      <w:r>
        <w:rPr>
          <w:rFonts w:hint="default" w:ascii="Times New Roman" w:hAnsi="Times New Roman" w:eastAsia="宋体" w:cs="Times New Roman"/>
          <w:color w:val="auto"/>
          <w:kern w:val="0"/>
          <w:szCs w:val="28"/>
          <w:lang w:bidi="en-US"/>
        </w:rPr>
        <w:t>。</w:t>
      </w:r>
    </w:p>
    <w:p w14:paraId="61A62A39">
      <w:pPr>
        <w:pStyle w:val="4"/>
        <w:bidi w:val="0"/>
        <w:rPr>
          <w:lang w:val="en-US" w:eastAsia="en-US"/>
        </w:rPr>
      </w:pPr>
      <w:bookmarkStart w:id="144" w:name="_Toc10648"/>
      <w:r>
        <w:rPr>
          <w:lang w:val="en-US" w:eastAsia="en-US"/>
        </w:rPr>
        <w:t>2.2.3自然经济</w:t>
      </w:r>
      <w:bookmarkEnd w:id="143"/>
      <w:bookmarkEnd w:id="144"/>
    </w:p>
    <w:p w14:paraId="504C1C8D">
      <w:pPr>
        <w:autoSpaceDE w:val="0"/>
        <w:autoSpaceDN w:val="0"/>
        <w:adjustRightInd w:val="0"/>
        <w:snapToGrid w:val="0"/>
        <w:spacing w:line="360" w:lineRule="auto"/>
        <w:ind w:firstLine="552" w:firstLineChars="200"/>
        <w:jc w:val="both"/>
        <w:rPr>
          <w:rFonts w:hint="default" w:ascii="Times New Roman" w:hAnsi="Times New Roman" w:eastAsia="宋体" w:cs="Times New Roman"/>
          <w:color w:val="auto"/>
          <w:kern w:val="0"/>
          <w:sz w:val="28"/>
          <w:szCs w:val="28"/>
        </w:rPr>
      </w:pPr>
      <w:bookmarkStart w:id="145" w:name="bookmark17"/>
      <w:bookmarkEnd w:id="145"/>
      <w:bookmarkStart w:id="146" w:name="_Toc11367"/>
      <w:r>
        <w:rPr>
          <w:rFonts w:hint="default" w:ascii="Times New Roman" w:hAnsi="Times New Roman" w:eastAsia="宋体" w:cs="Times New Roman"/>
          <w:color w:val="auto"/>
          <w:sz w:val="28"/>
          <w:szCs w:val="28"/>
        </w:rPr>
        <w:t>根据第七次人口普查数据，截至202</w:t>
      </w:r>
      <w:r>
        <w:rPr>
          <w:rFonts w:hint="eastAsia" w:ascii="Times New Roman" w:hAnsi="Times New Roman" w:eastAsia="宋体" w:cs="Times New Roman"/>
          <w:color w:val="auto"/>
          <w:sz w:val="28"/>
          <w:szCs w:val="28"/>
          <w:lang w:val="en-US" w:eastAsia="zh-CN"/>
        </w:rPr>
        <w:t>4</w:t>
      </w:r>
      <w:r>
        <w:rPr>
          <w:rFonts w:hint="default" w:ascii="Times New Roman" w:hAnsi="Times New Roman" w:eastAsia="宋体" w:cs="Times New Roman"/>
          <w:color w:val="auto"/>
          <w:sz w:val="28"/>
          <w:szCs w:val="28"/>
        </w:rPr>
        <w:t>年11月1日零时，广南县常住人口为771948人</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广南县世居着11个</w:t>
      </w:r>
      <w:r>
        <w:rPr>
          <w:rFonts w:hint="default" w:ascii="Times New Roman" w:hAnsi="Times New Roman" w:eastAsia="宋体" w:cs="Times New Roman"/>
          <w:color w:val="auto"/>
          <w:sz w:val="28"/>
          <w:szCs w:val="28"/>
        </w:rPr>
        <w:fldChar w:fldCharType="begin"/>
      </w:r>
      <w:r>
        <w:rPr>
          <w:rFonts w:hint="default" w:ascii="Times New Roman" w:hAnsi="Times New Roman" w:eastAsia="宋体" w:cs="Times New Roman"/>
          <w:color w:val="auto"/>
          <w:sz w:val="28"/>
          <w:szCs w:val="28"/>
        </w:rPr>
        <w:instrText xml:space="preserve"> HYPERLINK "https://baike.baidu.com/item/%E5%B0%91%E6%95%B0%E6%B0%91%E6%97%8F/117663" \t "https://baike.baidu.com/item/%E5%B9%BF%E5%8D%97%E5%8E%BF/_blank" </w:instrText>
      </w:r>
      <w:r>
        <w:rPr>
          <w:rFonts w:hint="default" w:ascii="Times New Roman" w:hAnsi="Times New Roman" w:eastAsia="宋体" w:cs="Times New Roman"/>
          <w:color w:val="auto"/>
          <w:sz w:val="28"/>
          <w:szCs w:val="28"/>
        </w:rPr>
        <w:fldChar w:fldCharType="separate"/>
      </w:r>
      <w:r>
        <w:rPr>
          <w:rFonts w:hint="default" w:ascii="Times New Roman" w:hAnsi="Times New Roman" w:eastAsia="宋体" w:cs="Times New Roman"/>
          <w:color w:val="auto"/>
          <w:sz w:val="28"/>
          <w:szCs w:val="28"/>
        </w:rPr>
        <w:t>少数民族</w:t>
      </w:r>
      <w:r>
        <w:rPr>
          <w:rFonts w:hint="default" w:ascii="Times New Roman" w:hAnsi="Times New Roman" w:eastAsia="宋体" w:cs="Times New Roman"/>
          <w:color w:val="auto"/>
          <w:sz w:val="28"/>
          <w:szCs w:val="28"/>
        </w:rPr>
        <w:fldChar w:fldCharType="end"/>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矿区周边居民以汉族为主</w:t>
      </w:r>
      <w:r>
        <w:rPr>
          <w:rFonts w:hint="default" w:ascii="Times New Roman" w:hAnsi="Times New Roman" w:eastAsia="宋体" w:cs="Times New Roman"/>
          <w:color w:val="auto"/>
          <w:kern w:val="0"/>
          <w:sz w:val="28"/>
          <w:szCs w:val="28"/>
        </w:rPr>
        <w:t>，劳动力富足有余。主要从事农业生产，以水稻为主，旱谷、玉米次之，主要经济作物以茶叶为主，其次为油茶果及少量八角等。当地村民文化较为落后，经济欠发达，矿业开发已成为本县经济发展的支柱产业之一。</w:t>
      </w:r>
    </w:p>
    <w:p w14:paraId="212F49A8">
      <w:pPr>
        <w:keepNext w:val="0"/>
        <w:keepLines w:val="0"/>
        <w:pageBreakBefore w:val="0"/>
        <w:widowControl w:val="0"/>
        <w:kinsoku/>
        <w:wordWrap/>
        <w:overflowPunct/>
        <w:topLinePunct w:val="0"/>
        <w:autoSpaceDE/>
        <w:autoSpaceDN/>
        <w:bidi w:val="0"/>
        <w:adjustRightInd w:val="0"/>
        <w:snapToGrid w:val="0"/>
        <w:spacing w:line="360" w:lineRule="auto"/>
        <w:ind w:firstLine="552" w:firstLineChars="200"/>
        <w:jc w:val="both"/>
        <w:textAlignment w:val="auto"/>
        <w:rPr>
          <w:rFonts w:hint="default" w:ascii="Times New Roman" w:hAnsi="Times New Roman" w:eastAsia="宋体" w:cs="Times New Roman"/>
          <w:color w:val="auto"/>
          <w:kern w:val="0"/>
          <w:szCs w:val="28"/>
          <w:lang w:bidi="en-US"/>
        </w:rPr>
      </w:pPr>
      <w:r>
        <w:rPr>
          <w:rFonts w:hint="default" w:ascii="Times New Roman" w:hAnsi="Times New Roman" w:eastAsia="宋体" w:cs="Times New Roman"/>
          <w:color w:val="auto"/>
          <w:kern w:val="0"/>
          <w:sz w:val="28"/>
          <w:szCs w:val="28"/>
        </w:rPr>
        <w:t>广南县及各乡</w:t>
      </w:r>
      <w:r>
        <w:rPr>
          <w:rFonts w:hint="eastAsia" w:ascii="Times New Roman" w:hAnsi="Times New Roman" w:eastAsia="宋体" w:cs="Times New Roman"/>
          <w:color w:val="auto"/>
          <w:kern w:val="0"/>
          <w:sz w:val="28"/>
          <w:szCs w:val="28"/>
          <w:lang w:eastAsia="zh-CN"/>
        </w:rPr>
        <w:t>（</w:t>
      </w:r>
      <w:r>
        <w:rPr>
          <w:rFonts w:hint="default" w:ascii="Times New Roman" w:hAnsi="Times New Roman" w:eastAsia="宋体" w:cs="Times New Roman"/>
          <w:color w:val="auto"/>
          <w:kern w:val="0"/>
          <w:sz w:val="28"/>
          <w:szCs w:val="28"/>
        </w:rPr>
        <w:t>镇</w:t>
      </w:r>
      <w:r>
        <w:rPr>
          <w:rFonts w:hint="eastAsia" w:ascii="Times New Roman" w:hAnsi="Times New Roman" w:eastAsia="宋体" w:cs="Times New Roman"/>
          <w:color w:val="auto"/>
          <w:kern w:val="0"/>
          <w:sz w:val="28"/>
          <w:szCs w:val="28"/>
          <w:lang w:eastAsia="zh-CN"/>
        </w:rPr>
        <w:t>）</w:t>
      </w:r>
      <w:r>
        <w:rPr>
          <w:rFonts w:hint="default" w:ascii="Times New Roman" w:hAnsi="Times New Roman" w:eastAsia="宋体" w:cs="Times New Roman"/>
          <w:color w:val="auto"/>
          <w:kern w:val="0"/>
          <w:sz w:val="28"/>
          <w:szCs w:val="28"/>
        </w:rPr>
        <w:t>村委会均开通程控电话，矿山已安装了中国移动、中国联通，中国电信网络覆盖整个矿区，通讯极为方便</w:t>
      </w:r>
      <w:r>
        <w:rPr>
          <w:rFonts w:hint="default" w:ascii="Times New Roman" w:hAnsi="Times New Roman" w:eastAsia="宋体" w:cs="Times New Roman"/>
          <w:color w:val="auto"/>
          <w:kern w:val="0"/>
          <w:szCs w:val="28"/>
          <w:lang w:bidi="en-US"/>
        </w:rPr>
        <w:t>。</w:t>
      </w:r>
    </w:p>
    <w:p w14:paraId="34F34614">
      <w:pPr>
        <w:pStyle w:val="4"/>
        <w:bidi w:val="0"/>
        <w:rPr>
          <w:lang w:val="en-US" w:eastAsia="en-US"/>
        </w:rPr>
      </w:pPr>
      <w:bookmarkStart w:id="147" w:name="_Toc25951"/>
      <w:r>
        <w:rPr>
          <w:lang w:val="en-US" w:eastAsia="en-US"/>
        </w:rPr>
        <w:t>2.2.4地震烈度</w:t>
      </w:r>
      <w:bookmarkEnd w:id="146"/>
      <w:bookmarkEnd w:id="147"/>
    </w:p>
    <w:p w14:paraId="4AF742BC">
      <w:pPr>
        <w:bidi w:val="0"/>
        <w:rPr>
          <w:rFonts w:hint="eastAsia"/>
        </w:rPr>
      </w:pPr>
      <w:bookmarkStart w:id="148" w:name="_Toc7690"/>
      <w:r>
        <w:rPr>
          <w:rFonts w:hint="default"/>
        </w:rPr>
        <w:t>区内</w:t>
      </w:r>
      <w:r>
        <w:rPr>
          <w:rFonts w:hint="default"/>
          <w:lang w:eastAsia="zh-CN"/>
        </w:rPr>
        <w:t>地震活动频繁且有加强的趋势，在富宁断裂和董堡</w:t>
      </w:r>
      <w:r>
        <w:rPr>
          <w:rFonts w:hint="eastAsia"/>
          <w:lang w:eastAsia="zh-CN"/>
        </w:rPr>
        <w:t>——</w:t>
      </w:r>
      <w:r>
        <w:rPr>
          <w:rFonts w:hint="default"/>
          <w:lang w:eastAsia="zh-CN"/>
        </w:rPr>
        <w:t>那桑断裂带上</w:t>
      </w:r>
      <w:r>
        <w:rPr>
          <w:rFonts w:hint="default"/>
        </w:rPr>
        <w:t>，根据</w:t>
      </w:r>
      <w:r>
        <w:rPr>
          <w:rFonts w:hint="default"/>
          <w:lang w:eastAsia="zh-CN"/>
        </w:rPr>
        <w:t>《</w:t>
      </w:r>
      <w:r>
        <w:rPr>
          <w:rFonts w:hint="default"/>
          <w:lang w:val="en-US" w:eastAsia="zh-CN"/>
        </w:rPr>
        <w:t>建筑抗震设计规范（2016年版）》（GB</w:t>
      </w:r>
      <w:r>
        <w:rPr>
          <w:rFonts w:hint="eastAsia"/>
          <w:lang w:val="en-US" w:eastAsia="zh-CN"/>
        </w:rPr>
        <w:t>mm</w:t>
      </w:r>
      <w:r>
        <w:rPr>
          <w:rFonts w:hint="default"/>
          <w:lang w:val="en-US" w:eastAsia="zh-CN"/>
        </w:rPr>
        <w:t>50011-2010）</w:t>
      </w:r>
      <w:r>
        <w:rPr>
          <w:rFonts w:hint="default"/>
        </w:rPr>
        <w:t>，广南县抗震设防烈度为</w:t>
      </w:r>
      <w:r>
        <w:rPr>
          <w:rFonts w:hint="eastAsia"/>
        </w:rPr>
        <w:t>Ⅶ</w:t>
      </w:r>
      <w:r>
        <w:rPr>
          <w:rFonts w:hint="default"/>
        </w:rPr>
        <w:t>度，设计基本地震加速度值为0.05g，第</w:t>
      </w:r>
      <w:r>
        <w:rPr>
          <w:rFonts w:hint="default"/>
          <w:lang w:eastAsia="zh-CN"/>
        </w:rPr>
        <w:t>二</w:t>
      </w:r>
      <w:r>
        <w:rPr>
          <w:rFonts w:hint="default"/>
        </w:rPr>
        <w:t>组。</w:t>
      </w:r>
      <w:r>
        <w:rPr>
          <w:rFonts w:hint="default"/>
          <w:lang w:eastAsia="zh-CN"/>
        </w:rPr>
        <w:t>矿区所在区域地质构造简单，地震活动相对频繁，但烈度较低，破坏性较小</w:t>
      </w:r>
      <w:r>
        <w:rPr>
          <w:rFonts w:hint="eastAsia"/>
        </w:rPr>
        <w:t>。</w:t>
      </w:r>
    </w:p>
    <w:p w14:paraId="7F4F3FD8">
      <w:pPr>
        <w:pStyle w:val="3"/>
      </w:pPr>
      <w:bookmarkStart w:id="149" w:name="_Toc13240"/>
      <w:r>
        <w:t>2.3地质概况</w:t>
      </w:r>
      <w:bookmarkEnd w:id="134"/>
      <w:bookmarkEnd w:id="135"/>
      <w:bookmarkEnd w:id="136"/>
      <w:bookmarkEnd w:id="137"/>
      <w:bookmarkEnd w:id="138"/>
      <w:bookmarkEnd w:id="148"/>
      <w:bookmarkEnd w:id="149"/>
      <w:bookmarkStart w:id="150" w:name="_Toc501120281"/>
      <w:bookmarkStart w:id="151" w:name="_Toc503469797"/>
    </w:p>
    <w:p w14:paraId="1A392200">
      <w:pPr>
        <w:bidi w:val="0"/>
      </w:pPr>
      <w:bookmarkStart w:id="152" w:name="_Toc214284006"/>
      <w:r>
        <w:t>本报告地质资料引用</w:t>
      </w:r>
      <w:r>
        <w:rPr>
          <w:rFonts w:hint="eastAsia"/>
          <w:color w:val="auto"/>
          <w:szCs w:val="28"/>
          <w:lang w:val="en-US" w:eastAsia="zh-CN"/>
        </w:rPr>
        <w:t>《云南省广南县麦地大山建筑石料用石灰岩矿资源储量核实报告》（昆明彦清地质勘查有限公司，2023年11月）</w:t>
      </w:r>
      <w:r>
        <w:rPr>
          <w:rFonts w:hint="eastAsia"/>
          <w:lang w:val="en-US" w:eastAsia="zh-CN"/>
        </w:rPr>
        <w:t>。</w:t>
      </w:r>
    </w:p>
    <w:p w14:paraId="7DDD6039">
      <w:pPr>
        <w:pStyle w:val="4"/>
        <w:bidi w:val="0"/>
      </w:pPr>
      <w:bookmarkStart w:id="153" w:name="bookmark19"/>
      <w:bookmarkEnd w:id="153"/>
      <w:bookmarkStart w:id="154" w:name="_Toc210"/>
      <w:bookmarkStart w:id="155" w:name="_Toc31258"/>
      <w:r>
        <w:t>2.3.1矿区地质概况</w:t>
      </w:r>
      <w:bookmarkEnd w:id="154"/>
      <w:bookmarkEnd w:id="155"/>
    </w:p>
    <w:p w14:paraId="4F6296D5">
      <w:pPr>
        <w:pStyle w:val="5"/>
        <w:bidi w:val="0"/>
      </w:pPr>
      <w:bookmarkStart w:id="156" w:name="_Toc367"/>
      <w:r>
        <w:t>2.3.1.1地层</w:t>
      </w:r>
      <w:bookmarkEnd w:id="156"/>
    </w:p>
    <w:p w14:paraId="11CDC6A5">
      <w:pPr>
        <w:spacing w:line="360" w:lineRule="auto"/>
        <w:ind w:firstLine="552" w:firstLineChars="200"/>
        <w:rPr>
          <w:rFonts w:hint="default" w:ascii="Times New Roman" w:hAnsi="Times New Roman" w:eastAsia="宋体" w:cs="Times New Roman"/>
          <w:color w:val="auto"/>
          <w:sz w:val="28"/>
        </w:rPr>
      </w:pPr>
      <w:bookmarkStart w:id="157" w:name="bookmark20"/>
      <w:bookmarkEnd w:id="157"/>
      <w:bookmarkStart w:id="158" w:name="_Toc19858"/>
      <w:r>
        <w:rPr>
          <w:rFonts w:hint="default" w:ascii="Times New Roman" w:hAnsi="Times New Roman" w:eastAsia="宋体" w:cs="Times New Roman"/>
          <w:color w:val="auto"/>
          <w:sz w:val="28"/>
        </w:rPr>
        <w:t>矿区主要出露第四系残积层（Q</w:t>
      </w:r>
      <w:r>
        <w:rPr>
          <w:rFonts w:hint="default" w:ascii="Times New Roman" w:hAnsi="Times New Roman" w:eastAsia="宋体" w:cs="Times New Roman"/>
          <w:color w:val="auto"/>
          <w:sz w:val="28"/>
          <w:vertAlign w:val="superscript"/>
        </w:rPr>
        <w:t>el+dl</w:t>
      </w:r>
      <w:r>
        <w:rPr>
          <w:rFonts w:hint="default" w:ascii="Times New Roman" w:hAnsi="Times New Roman" w:eastAsia="宋体" w:cs="Times New Roman"/>
          <w:color w:val="auto"/>
          <w:sz w:val="28"/>
        </w:rPr>
        <w:t>）和</w:t>
      </w:r>
      <w:r>
        <w:rPr>
          <w:rFonts w:hint="default" w:ascii="Times New Roman" w:hAnsi="Times New Roman" w:eastAsia="宋体" w:cs="Times New Roman"/>
          <w:color w:val="auto"/>
          <w:spacing w:val="11"/>
          <w:sz w:val="28"/>
          <w:szCs w:val="28"/>
          <w:lang w:val="en-US" w:eastAsia="zh-CN"/>
        </w:rPr>
        <w:t>泥盆系中统东岗岭组（D</w:t>
      </w:r>
      <w:r>
        <w:rPr>
          <w:rFonts w:hint="default" w:ascii="Times New Roman" w:hAnsi="Times New Roman" w:eastAsia="宋体" w:cs="Times New Roman"/>
          <w:color w:val="auto"/>
          <w:spacing w:val="11"/>
          <w:sz w:val="28"/>
          <w:szCs w:val="28"/>
          <w:vertAlign w:val="subscript"/>
          <w:lang w:val="en-US" w:eastAsia="zh-CN"/>
        </w:rPr>
        <w:t>2</w:t>
      </w:r>
      <w:r>
        <w:rPr>
          <w:rFonts w:hint="default" w:ascii="Times New Roman" w:hAnsi="Times New Roman" w:eastAsia="宋体" w:cs="Times New Roman"/>
          <w:color w:val="auto"/>
          <w:spacing w:val="11"/>
          <w:sz w:val="28"/>
          <w:szCs w:val="28"/>
          <w:lang w:val="en-US" w:eastAsia="zh-CN"/>
        </w:rPr>
        <w:t>d）</w:t>
      </w:r>
      <w:r>
        <w:rPr>
          <w:rFonts w:hint="default" w:ascii="Times New Roman" w:hAnsi="Times New Roman" w:eastAsia="宋体" w:cs="Times New Roman"/>
          <w:color w:val="auto"/>
          <w:sz w:val="28"/>
        </w:rPr>
        <w:t>。由新至老分述如下：</w:t>
      </w:r>
    </w:p>
    <w:p w14:paraId="24FC92FE">
      <w:pPr>
        <w:spacing w:line="360" w:lineRule="auto"/>
        <w:rPr>
          <w:rFonts w:hint="default" w:ascii="Times New Roman" w:hAnsi="Times New Roman" w:eastAsia="宋体" w:cs="Times New Roman"/>
          <w:color w:val="auto"/>
          <w:sz w:val="28"/>
        </w:rPr>
      </w:pPr>
      <w:r>
        <w:rPr>
          <w:rFonts w:hint="default" w:ascii="Times New Roman" w:hAnsi="Times New Roman" w:eastAsia="宋体" w:cs="Times New Roman"/>
          <w:color w:val="auto"/>
          <w:sz w:val="28"/>
        </w:rPr>
        <w:t>1、第四系残积层（Q</w:t>
      </w:r>
      <w:r>
        <w:rPr>
          <w:rFonts w:hint="default" w:ascii="Times New Roman" w:hAnsi="Times New Roman" w:eastAsia="宋体" w:cs="Times New Roman"/>
          <w:color w:val="auto"/>
          <w:sz w:val="28"/>
          <w:vertAlign w:val="superscript"/>
        </w:rPr>
        <w:t>el+dl</w:t>
      </w:r>
      <w:r>
        <w:rPr>
          <w:rFonts w:hint="default" w:ascii="Times New Roman" w:hAnsi="Times New Roman" w:eastAsia="宋体" w:cs="Times New Roman"/>
          <w:color w:val="auto"/>
          <w:sz w:val="28"/>
        </w:rPr>
        <w:t>）</w:t>
      </w:r>
    </w:p>
    <w:p w14:paraId="2F49A13B">
      <w:pPr>
        <w:pageBreakBefore w:val="0"/>
        <w:kinsoku/>
        <w:wordWrap/>
        <w:overflowPunct/>
        <w:topLinePunct w:val="0"/>
        <w:autoSpaceDE/>
        <w:autoSpaceDN/>
        <w:bidi w:val="0"/>
        <w:spacing w:line="360" w:lineRule="auto"/>
        <w:ind w:firstLine="552"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rPr>
        <w:t>主要分布于地表表层及地势较平缓及沟谷地带，岩性为粘土、粉质粘土，含少量腐殖质。厚度0.3～1.5</w:t>
      </w:r>
      <w:r>
        <w:rPr>
          <w:rFonts w:hint="eastAsia" w:ascii="Times New Roman" w:hAnsi="Times New Roman" w:cs="Times New Roman"/>
          <w:color w:val="auto"/>
          <w:sz w:val="28"/>
          <w:lang w:val="en-US" w:eastAsia="zh-CN"/>
        </w:rPr>
        <w:t>m</w:t>
      </w:r>
      <w:r>
        <w:rPr>
          <w:rFonts w:hint="default" w:ascii="Times New Roman" w:hAnsi="Times New Roman" w:eastAsia="宋体" w:cs="Times New Roman"/>
          <w:color w:val="auto"/>
          <w:sz w:val="28"/>
        </w:rPr>
        <w:t>。</w:t>
      </w:r>
    </w:p>
    <w:p w14:paraId="66CE42A9">
      <w:pPr>
        <w:pageBreakBefore w:val="0"/>
        <w:numPr>
          <w:ilvl w:val="0"/>
          <w:numId w:val="3"/>
        </w:numPr>
        <w:kinsoku/>
        <w:wordWrap/>
        <w:overflowPunct/>
        <w:topLinePunct w:val="0"/>
        <w:autoSpaceDE/>
        <w:autoSpaceDN/>
        <w:bidi w:val="0"/>
        <w:spacing w:line="360" w:lineRule="auto"/>
        <w:ind w:firstLine="604" w:firstLineChars="200"/>
        <w:rPr>
          <w:rFonts w:hint="default" w:ascii="Times New Roman" w:hAnsi="Times New Roman" w:eastAsia="宋体" w:cs="Times New Roman"/>
          <w:color w:val="auto"/>
          <w:spacing w:val="11"/>
          <w:sz w:val="28"/>
          <w:szCs w:val="28"/>
          <w:lang w:val="en-US" w:eastAsia="zh-CN"/>
        </w:rPr>
      </w:pPr>
      <w:r>
        <w:rPr>
          <w:rFonts w:hint="default" w:ascii="Times New Roman" w:hAnsi="Times New Roman" w:eastAsia="宋体" w:cs="Times New Roman"/>
          <w:color w:val="auto"/>
          <w:spacing w:val="11"/>
          <w:sz w:val="28"/>
          <w:szCs w:val="28"/>
          <w:lang w:val="en-US" w:eastAsia="zh-CN"/>
        </w:rPr>
        <w:t>泥盆系中统东岗岭组（D</w:t>
      </w:r>
      <w:r>
        <w:rPr>
          <w:rFonts w:hint="default" w:ascii="Times New Roman" w:hAnsi="Times New Roman" w:eastAsia="宋体" w:cs="Times New Roman"/>
          <w:color w:val="auto"/>
          <w:spacing w:val="11"/>
          <w:sz w:val="28"/>
          <w:szCs w:val="28"/>
          <w:vertAlign w:val="subscript"/>
          <w:lang w:val="en-US" w:eastAsia="zh-CN"/>
        </w:rPr>
        <w:t>2</w:t>
      </w:r>
      <w:r>
        <w:rPr>
          <w:rFonts w:hint="default" w:ascii="Times New Roman" w:hAnsi="Times New Roman" w:eastAsia="宋体" w:cs="Times New Roman"/>
          <w:color w:val="auto"/>
          <w:spacing w:val="11"/>
          <w:sz w:val="28"/>
          <w:szCs w:val="28"/>
          <w:lang w:val="en-US" w:eastAsia="zh-CN"/>
        </w:rPr>
        <w:t>d）</w:t>
      </w:r>
    </w:p>
    <w:p w14:paraId="0F27C8E1">
      <w:pPr>
        <w:rPr>
          <w:color w:val="auto"/>
        </w:rPr>
      </w:pPr>
      <w:r>
        <w:rPr>
          <w:rFonts w:hint="default" w:ascii="Times New Roman" w:hAnsi="Times New Roman" w:eastAsia="宋体" w:cs="Times New Roman"/>
          <w:color w:val="auto"/>
          <w:sz w:val="28"/>
          <w:szCs w:val="28"/>
        </w:rPr>
        <w:t>主要分布在</w:t>
      </w:r>
      <w:r>
        <w:rPr>
          <w:rFonts w:hint="default" w:ascii="Times New Roman" w:hAnsi="Times New Roman" w:eastAsia="宋体" w:cs="Times New Roman"/>
          <w:color w:val="auto"/>
          <w:sz w:val="28"/>
          <w:szCs w:val="28"/>
          <w:lang w:val="en-US" w:eastAsia="zh-CN"/>
        </w:rPr>
        <w:t>矿区</w:t>
      </w:r>
      <w:r>
        <w:rPr>
          <w:rFonts w:hint="default" w:ascii="Times New Roman" w:hAnsi="Times New Roman" w:eastAsia="宋体" w:cs="Times New Roman"/>
          <w:color w:val="auto"/>
          <w:sz w:val="28"/>
          <w:szCs w:val="28"/>
        </w:rPr>
        <w:t>坡度较陡地带，浅灰色</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lang w:val="en-US" w:eastAsia="zh-CN"/>
        </w:rPr>
        <w:t>深灰色中-</w:t>
      </w:r>
      <w:r>
        <w:rPr>
          <w:rFonts w:hint="default" w:ascii="Times New Roman" w:hAnsi="Times New Roman" w:eastAsia="宋体" w:cs="Times New Roman"/>
          <w:color w:val="auto"/>
          <w:sz w:val="28"/>
          <w:szCs w:val="28"/>
        </w:rPr>
        <w:t>厚层状灰岩，细</w:t>
      </w:r>
      <w:r>
        <w:rPr>
          <w:rFonts w:hint="default" w:ascii="Times New Roman" w:hAnsi="Times New Roman" w:eastAsia="宋体" w:cs="Times New Roman"/>
          <w:color w:val="auto"/>
          <w:sz w:val="28"/>
          <w:szCs w:val="28"/>
          <w:lang w:val="en-US" w:eastAsia="zh-CN"/>
        </w:rPr>
        <w:t>-微</w:t>
      </w:r>
      <w:r>
        <w:rPr>
          <w:rFonts w:hint="default" w:ascii="Times New Roman" w:hAnsi="Times New Roman" w:eastAsia="宋体" w:cs="Times New Roman"/>
          <w:color w:val="auto"/>
          <w:sz w:val="28"/>
          <w:szCs w:val="28"/>
        </w:rPr>
        <w:t>晶结构，</w:t>
      </w:r>
      <w:r>
        <w:rPr>
          <w:rFonts w:hint="default" w:ascii="Times New Roman" w:hAnsi="Times New Roman" w:eastAsia="宋体" w:cs="Times New Roman"/>
          <w:color w:val="auto"/>
          <w:sz w:val="28"/>
          <w:szCs w:val="28"/>
          <w:lang w:val="en-US" w:eastAsia="zh-CN"/>
        </w:rPr>
        <w:t>区域</w:t>
      </w:r>
      <w:r>
        <w:rPr>
          <w:rFonts w:hint="default" w:ascii="Times New Roman" w:hAnsi="Times New Roman" w:eastAsia="宋体" w:cs="Times New Roman"/>
          <w:color w:val="auto"/>
          <w:sz w:val="28"/>
          <w:szCs w:val="28"/>
        </w:rPr>
        <w:t>岩层厚度</w:t>
      </w:r>
      <w:r>
        <w:rPr>
          <w:rFonts w:hint="default" w:ascii="Times New Roman" w:hAnsi="Times New Roman" w:eastAsia="宋体" w:cs="Times New Roman"/>
          <w:color w:val="auto"/>
          <w:sz w:val="28"/>
          <w:szCs w:val="28"/>
          <w:lang w:val="en-US" w:eastAsia="zh-CN"/>
        </w:rPr>
        <w:t>1166</w:t>
      </w:r>
      <w:r>
        <w:rPr>
          <w:rFonts w:hint="eastAsia" w:ascii="Times New Roman" w:hAnsi="Times New Roman" w:cs="Times New Roman"/>
          <w:color w:val="auto"/>
          <w:sz w:val="28"/>
          <w:lang w:val="en-US" w:eastAsia="zh-CN"/>
        </w:rPr>
        <w:t>m</w:t>
      </w:r>
      <w:r>
        <w:rPr>
          <w:rFonts w:hint="default" w:ascii="Times New Roman" w:hAnsi="Times New Roman" w:eastAsia="宋体" w:cs="Times New Roman"/>
          <w:color w:val="auto"/>
          <w:sz w:val="28"/>
          <w:szCs w:val="28"/>
          <w:lang w:val="en-US" w:eastAsia="zh-CN"/>
        </w:rPr>
        <w:t>，矿区附近出露厚度＞200</w:t>
      </w:r>
      <w:r>
        <w:rPr>
          <w:rFonts w:hint="eastAsia" w:ascii="Times New Roman" w:hAnsi="Times New Roman" w:cs="Times New Roman"/>
          <w:color w:val="auto"/>
          <w:sz w:val="28"/>
          <w:lang w:val="en-US" w:eastAsia="zh-CN"/>
        </w:rPr>
        <w:t>m</w:t>
      </w:r>
      <w:r>
        <w:rPr>
          <w:rFonts w:hint="default" w:ascii="Times New Roman" w:hAnsi="Times New Roman" w:eastAsia="宋体" w:cs="Times New Roman"/>
          <w:color w:val="auto"/>
          <w:sz w:val="28"/>
          <w:szCs w:val="28"/>
        </w:rPr>
        <w:t>。岩层</w:t>
      </w:r>
      <w:r>
        <w:rPr>
          <w:rFonts w:hint="default" w:ascii="Times New Roman" w:hAnsi="Times New Roman" w:eastAsia="宋体" w:cs="Times New Roman"/>
          <w:color w:val="auto"/>
          <w:sz w:val="28"/>
          <w:szCs w:val="28"/>
          <w:lang w:val="en-US" w:eastAsia="zh-CN"/>
        </w:rPr>
        <w:t>平均产状349°∠15°，岩溶裂隙较为发育，</w:t>
      </w:r>
      <w:r>
        <w:rPr>
          <w:rFonts w:hint="default" w:ascii="Times New Roman" w:hAnsi="Times New Roman" w:eastAsia="宋体" w:cs="Times New Roman"/>
          <w:color w:val="auto"/>
          <w:sz w:val="28"/>
          <w:szCs w:val="28"/>
        </w:rPr>
        <w:t>岩层节理裂隙发育，将岩层切割成较规则的巨型块体</w:t>
      </w:r>
      <w:r>
        <w:rPr>
          <w:rFonts w:hint="eastAsia"/>
          <w:color w:val="auto"/>
        </w:rPr>
        <w:t>。</w:t>
      </w:r>
    </w:p>
    <w:p w14:paraId="3177219F">
      <w:pPr>
        <w:pStyle w:val="5"/>
        <w:bidi w:val="0"/>
      </w:pPr>
      <w:r>
        <w:t>2.3.</w:t>
      </w:r>
      <w:r>
        <w:rPr>
          <w:rFonts w:hint="eastAsia"/>
          <w:lang w:val="en-US" w:eastAsia="zh-CN"/>
        </w:rPr>
        <w:t>1.</w:t>
      </w:r>
      <w:r>
        <w:t>2构造</w:t>
      </w:r>
      <w:bookmarkEnd w:id="158"/>
    </w:p>
    <w:p w14:paraId="5AD13763">
      <w:pPr>
        <w:rPr>
          <w:rFonts w:hint="eastAsia"/>
          <w:color w:val="auto"/>
          <w:szCs w:val="28"/>
        </w:rPr>
      </w:pPr>
      <w:bookmarkStart w:id="159" w:name="bookmark21"/>
      <w:bookmarkEnd w:id="159"/>
      <w:bookmarkStart w:id="160" w:name="_Toc333423441"/>
      <w:bookmarkStart w:id="161" w:name="_Toc202504115"/>
      <w:bookmarkStart w:id="162" w:name="_Toc25785"/>
      <w:r>
        <w:rPr>
          <w:rFonts w:hint="default" w:ascii="Times New Roman" w:hAnsi="Times New Roman" w:eastAsia="宋体" w:cs="Times New Roman"/>
          <w:color w:val="auto"/>
          <w:sz w:val="28"/>
        </w:rPr>
        <w:t>矿区地质构造简单，</w:t>
      </w:r>
      <w:r>
        <w:rPr>
          <w:rFonts w:hint="default" w:ascii="Times New Roman" w:hAnsi="Times New Roman" w:eastAsia="宋体" w:cs="Times New Roman"/>
          <w:color w:val="auto"/>
          <w:sz w:val="28"/>
          <w:lang w:val="en-US" w:eastAsia="zh-CN"/>
        </w:rPr>
        <w:t>矿体产出于</w:t>
      </w:r>
      <w:r>
        <w:rPr>
          <w:rFonts w:hint="default" w:ascii="Times New Roman" w:hAnsi="Times New Roman" w:eastAsia="宋体" w:cs="Times New Roman"/>
          <w:color w:val="auto"/>
          <w:spacing w:val="11"/>
          <w:sz w:val="28"/>
          <w:szCs w:val="28"/>
          <w:lang w:val="en-US" w:eastAsia="zh-CN"/>
        </w:rPr>
        <w:t>泥盆系中统东岗岭组（D</w:t>
      </w:r>
      <w:r>
        <w:rPr>
          <w:rFonts w:hint="default" w:ascii="Times New Roman" w:hAnsi="Times New Roman" w:eastAsia="宋体" w:cs="Times New Roman"/>
          <w:color w:val="auto"/>
          <w:spacing w:val="11"/>
          <w:sz w:val="28"/>
          <w:szCs w:val="28"/>
          <w:vertAlign w:val="subscript"/>
          <w:lang w:val="en-US" w:eastAsia="zh-CN"/>
        </w:rPr>
        <w:t>2</w:t>
      </w:r>
      <w:r>
        <w:rPr>
          <w:rFonts w:hint="default" w:ascii="Times New Roman" w:hAnsi="Times New Roman" w:eastAsia="宋体" w:cs="Times New Roman"/>
          <w:color w:val="auto"/>
          <w:spacing w:val="11"/>
          <w:sz w:val="28"/>
          <w:szCs w:val="28"/>
          <w:lang w:val="en-US" w:eastAsia="zh-CN"/>
        </w:rPr>
        <w:t>d）</w:t>
      </w:r>
      <w:r>
        <w:rPr>
          <w:rFonts w:hint="default" w:ascii="Times New Roman" w:hAnsi="Times New Roman" w:eastAsia="宋体" w:cs="Times New Roman"/>
          <w:color w:val="auto"/>
          <w:sz w:val="28"/>
        </w:rPr>
        <w:t>地层，矿区地层呈单斜层状产出，</w:t>
      </w:r>
      <w:r>
        <w:rPr>
          <w:rFonts w:hint="default" w:ascii="Times New Roman" w:hAnsi="Times New Roman" w:eastAsia="宋体" w:cs="Times New Roman"/>
          <w:color w:val="auto"/>
          <w:sz w:val="28"/>
          <w:szCs w:val="28"/>
          <w:lang w:val="en-US" w:eastAsia="zh-CN"/>
        </w:rPr>
        <w:t>平均产状349°∠15°</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lang w:val="en-US" w:eastAsia="zh-CN"/>
        </w:rPr>
        <w:t>区内节理裂隙较为发育，</w:t>
      </w:r>
      <w:r>
        <w:rPr>
          <w:rFonts w:hint="default" w:ascii="Times New Roman" w:hAnsi="Times New Roman" w:eastAsia="宋体" w:cs="Times New Roman"/>
          <w:color w:val="auto"/>
          <w:sz w:val="28"/>
          <w:szCs w:val="28"/>
        </w:rPr>
        <w:t>节理裂隙产状主要发育两组：一组产状</w:t>
      </w:r>
      <w:r>
        <w:rPr>
          <w:rFonts w:hint="default" w:ascii="Times New Roman" w:hAnsi="Times New Roman" w:eastAsia="宋体" w:cs="Times New Roman"/>
          <w:color w:val="auto"/>
          <w:sz w:val="28"/>
          <w:szCs w:val="28"/>
          <w:lang w:val="en-US" w:eastAsia="zh-CN"/>
        </w:rPr>
        <w:t>3</w:t>
      </w:r>
      <w:r>
        <w:rPr>
          <w:rFonts w:hint="default" w:ascii="Times New Roman" w:hAnsi="Times New Roman" w:eastAsia="宋体" w:cs="Times New Roman"/>
          <w:color w:val="auto"/>
          <w:sz w:val="28"/>
          <w:szCs w:val="28"/>
        </w:rPr>
        <w:t>20°∠60°，线密度2～3条/</w:t>
      </w:r>
      <w:r>
        <w:rPr>
          <w:rFonts w:hint="default" w:ascii="Times New Roman" w:hAnsi="Times New Roman" w:eastAsia="宋体" w:cs="Times New Roman"/>
          <w:color w:val="auto"/>
          <w:sz w:val="28"/>
          <w:szCs w:val="28"/>
          <w:lang w:val="en-US" w:eastAsia="zh-CN"/>
        </w:rPr>
        <w:t>米</w:t>
      </w:r>
      <w:r>
        <w:rPr>
          <w:rFonts w:hint="default" w:ascii="Times New Roman" w:hAnsi="Times New Roman" w:eastAsia="宋体" w:cs="Times New Roman"/>
          <w:color w:val="auto"/>
          <w:sz w:val="28"/>
          <w:szCs w:val="28"/>
        </w:rPr>
        <w:t>，延伸长＞5</w:t>
      </w:r>
      <w:r>
        <w:rPr>
          <w:rFonts w:hint="eastAsia"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rPr>
        <w:t>，切割深&gt;2</w:t>
      </w:r>
      <w:r>
        <w:rPr>
          <w:rFonts w:hint="eastAsia"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rPr>
        <w:t>；二组产状：</w:t>
      </w:r>
      <w:r>
        <w:rPr>
          <w:rFonts w:hint="default" w:ascii="Times New Roman" w:hAnsi="Times New Roman" w:eastAsia="宋体" w:cs="Times New Roman"/>
          <w:color w:val="auto"/>
          <w:sz w:val="28"/>
          <w:szCs w:val="28"/>
          <w:lang w:val="en-US" w:eastAsia="zh-CN"/>
        </w:rPr>
        <w:t>2</w:t>
      </w:r>
      <w:r>
        <w:rPr>
          <w:rFonts w:hint="default" w:ascii="Times New Roman" w:hAnsi="Times New Roman" w:eastAsia="宋体" w:cs="Times New Roman"/>
          <w:color w:val="auto"/>
          <w:sz w:val="28"/>
          <w:szCs w:val="28"/>
        </w:rPr>
        <w:t>10∠70°，线密度3～4条/</w:t>
      </w:r>
      <w:r>
        <w:rPr>
          <w:rFonts w:hint="default" w:ascii="Times New Roman" w:hAnsi="Times New Roman" w:eastAsia="宋体" w:cs="Times New Roman"/>
          <w:color w:val="auto"/>
          <w:sz w:val="28"/>
          <w:szCs w:val="28"/>
          <w:lang w:val="en-US" w:eastAsia="zh-CN"/>
        </w:rPr>
        <w:t>米</w:t>
      </w:r>
      <w:r>
        <w:rPr>
          <w:rFonts w:hint="default" w:ascii="Times New Roman" w:hAnsi="Times New Roman" w:eastAsia="宋体" w:cs="Times New Roman"/>
          <w:color w:val="auto"/>
          <w:sz w:val="28"/>
          <w:szCs w:val="28"/>
        </w:rPr>
        <w:t>，延伸长＞5</w:t>
      </w:r>
      <w:r>
        <w:rPr>
          <w:rFonts w:hint="eastAsia"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rPr>
        <w:t>，切割深&gt;2</w:t>
      </w:r>
      <w:r>
        <w:rPr>
          <w:rFonts w:hint="eastAsia"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rPr>
        <w:t>；构造节理、裂隙以微张至开口状为主，开口1</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5</w:t>
      </w:r>
      <w:r>
        <w:rPr>
          <w:rFonts w:hint="default" w:ascii="Times New Roman" w:hAnsi="Times New Roman" w:eastAsia="宋体" w:cs="Times New Roman"/>
          <w:color w:val="auto"/>
          <w:sz w:val="28"/>
          <w:szCs w:val="28"/>
          <w:lang w:val="en-US" w:eastAsia="zh-CN"/>
        </w:rPr>
        <w:t>cm</w:t>
      </w:r>
      <w:r>
        <w:rPr>
          <w:rFonts w:hint="default" w:ascii="Times New Roman" w:hAnsi="Times New Roman" w:eastAsia="宋体" w:cs="Times New Roman"/>
          <w:color w:val="auto"/>
          <w:sz w:val="28"/>
          <w:szCs w:val="28"/>
        </w:rPr>
        <w:t>，局部有少量泥质充填，据两组节理的相互切穿关系，可判定二组节理（</w:t>
      </w:r>
      <w:r>
        <w:rPr>
          <w:rFonts w:hint="default" w:ascii="Times New Roman" w:hAnsi="Times New Roman" w:eastAsia="宋体" w:cs="Times New Roman"/>
          <w:color w:val="auto"/>
          <w:sz w:val="28"/>
          <w:szCs w:val="28"/>
          <w:lang w:val="en-US" w:eastAsia="zh-CN"/>
        </w:rPr>
        <w:t>2</w:t>
      </w:r>
      <w:r>
        <w:rPr>
          <w:rFonts w:hint="default" w:ascii="Times New Roman" w:hAnsi="Times New Roman" w:eastAsia="宋体" w:cs="Times New Roman"/>
          <w:color w:val="auto"/>
          <w:sz w:val="28"/>
          <w:szCs w:val="28"/>
        </w:rPr>
        <w:t>10∠70°）为早期，后被一组节理（</w:t>
      </w:r>
      <w:r>
        <w:rPr>
          <w:rFonts w:hint="default" w:ascii="Times New Roman" w:hAnsi="Times New Roman" w:eastAsia="宋体" w:cs="Times New Roman"/>
          <w:color w:val="auto"/>
          <w:sz w:val="28"/>
          <w:szCs w:val="28"/>
          <w:lang w:val="en-US" w:eastAsia="zh-CN"/>
        </w:rPr>
        <w:t>3</w:t>
      </w:r>
      <w:r>
        <w:rPr>
          <w:rFonts w:hint="default" w:ascii="Times New Roman" w:hAnsi="Times New Roman" w:eastAsia="宋体" w:cs="Times New Roman"/>
          <w:color w:val="auto"/>
          <w:sz w:val="28"/>
          <w:szCs w:val="28"/>
        </w:rPr>
        <w:t>20°∠60°）切穿</w:t>
      </w:r>
      <w:r>
        <w:rPr>
          <w:rFonts w:hint="eastAsia"/>
          <w:color w:val="auto"/>
          <w:szCs w:val="28"/>
        </w:rPr>
        <w:t>。</w:t>
      </w:r>
      <w:bookmarkEnd w:id="160"/>
      <w:bookmarkEnd w:id="161"/>
    </w:p>
    <w:p w14:paraId="69657F91">
      <w:pPr>
        <w:pStyle w:val="5"/>
        <w:bidi w:val="0"/>
      </w:pPr>
      <w:r>
        <w:t>2.3.</w:t>
      </w:r>
      <w:r>
        <w:rPr>
          <w:rFonts w:hint="eastAsia"/>
          <w:lang w:val="en-US" w:eastAsia="zh-CN"/>
        </w:rPr>
        <w:t>1.3</w:t>
      </w:r>
      <w:r>
        <w:t>矿床地质特征</w:t>
      </w:r>
      <w:bookmarkEnd w:id="162"/>
    </w:p>
    <w:p w14:paraId="599D1C55">
      <w:pPr>
        <w:ind w:firstLine="560"/>
        <w:rPr>
          <w:b/>
          <w:bCs/>
          <w:color w:val="auto"/>
          <w:highlight w:val="none"/>
        </w:rPr>
      </w:pPr>
      <w:bookmarkStart w:id="163" w:name="bookmark22"/>
      <w:bookmarkEnd w:id="163"/>
      <w:bookmarkStart w:id="164" w:name="_Toc1729"/>
      <w:r>
        <w:rPr>
          <w:rFonts w:hint="eastAsia" w:ascii="宋体" w:hAnsi="宋体" w:eastAsia="宋体" w:cs="宋体"/>
          <w:b/>
          <w:bCs/>
          <w:color w:val="auto"/>
          <w:sz w:val="28"/>
          <w:szCs w:val="28"/>
          <w:highlight w:val="none"/>
          <w:lang w:val="en-US" w:eastAsia="zh-CN"/>
        </w:rPr>
        <w:t>1、</w:t>
      </w:r>
      <w:r>
        <w:rPr>
          <w:rFonts w:hint="eastAsia"/>
          <w:b/>
          <w:bCs/>
          <w:color w:val="auto"/>
          <w:highlight w:val="none"/>
        </w:rPr>
        <w:t>矿体特征</w:t>
      </w:r>
    </w:p>
    <w:p w14:paraId="6F9B0BE4">
      <w:pPr>
        <w:rPr>
          <w:color w:val="auto"/>
        </w:rPr>
      </w:pPr>
      <w:bookmarkStart w:id="165" w:name="_Toc30617"/>
      <w:bookmarkStart w:id="166" w:name="_Toc19965"/>
      <w:bookmarkStart w:id="167" w:name="_Toc29182314"/>
      <w:bookmarkStart w:id="168" w:name="_Toc492269915"/>
      <w:bookmarkStart w:id="169" w:name="_Toc492270424"/>
      <w:r>
        <w:rPr>
          <w:rFonts w:hint="default" w:ascii="Times New Roman" w:hAnsi="Times New Roman" w:eastAsia="宋体" w:cs="Times New Roman"/>
          <w:color w:val="auto"/>
          <w:sz w:val="28"/>
          <w:szCs w:val="28"/>
        </w:rPr>
        <w:t>矿体赋存于</w:t>
      </w:r>
      <w:r>
        <w:rPr>
          <w:rFonts w:hint="default" w:ascii="Times New Roman" w:hAnsi="Times New Roman" w:eastAsia="宋体" w:cs="Times New Roman"/>
          <w:color w:val="auto"/>
          <w:spacing w:val="11"/>
          <w:sz w:val="28"/>
          <w:szCs w:val="28"/>
          <w:lang w:val="en-US" w:eastAsia="zh-CN"/>
        </w:rPr>
        <w:t>泥盆系中统东岗岭组（D</w:t>
      </w:r>
      <w:r>
        <w:rPr>
          <w:rFonts w:hint="default" w:ascii="Times New Roman" w:hAnsi="Times New Roman" w:eastAsia="宋体" w:cs="Times New Roman"/>
          <w:color w:val="auto"/>
          <w:spacing w:val="11"/>
          <w:sz w:val="28"/>
          <w:szCs w:val="28"/>
          <w:vertAlign w:val="subscript"/>
          <w:lang w:val="en-US" w:eastAsia="zh-CN"/>
        </w:rPr>
        <w:t>2</w:t>
      </w:r>
      <w:r>
        <w:rPr>
          <w:rFonts w:hint="default" w:ascii="Times New Roman" w:hAnsi="Times New Roman" w:eastAsia="宋体" w:cs="Times New Roman"/>
          <w:color w:val="auto"/>
          <w:spacing w:val="11"/>
          <w:sz w:val="28"/>
          <w:szCs w:val="28"/>
          <w:lang w:val="en-US" w:eastAsia="zh-CN"/>
        </w:rPr>
        <w:t>d）</w:t>
      </w:r>
      <w:r>
        <w:rPr>
          <w:rFonts w:hint="default" w:ascii="Times New Roman" w:hAnsi="Times New Roman" w:eastAsia="宋体" w:cs="Times New Roman"/>
          <w:color w:val="auto"/>
          <w:sz w:val="28"/>
          <w:szCs w:val="28"/>
        </w:rPr>
        <w:t>地层中，呈单斜层状产出，</w:t>
      </w:r>
      <w:r>
        <w:rPr>
          <w:rFonts w:hint="default" w:ascii="Times New Roman" w:hAnsi="Times New Roman" w:eastAsia="宋体" w:cs="Times New Roman"/>
          <w:color w:val="auto"/>
          <w:sz w:val="28"/>
          <w:szCs w:val="28"/>
          <w:lang w:eastAsia="zh-CN"/>
        </w:rPr>
        <w:t>平均</w:t>
      </w:r>
      <w:r>
        <w:rPr>
          <w:rFonts w:hint="default" w:ascii="Times New Roman" w:hAnsi="Times New Roman" w:eastAsia="宋体" w:cs="Times New Roman"/>
          <w:color w:val="auto"/>
          <w:sz w:val="28"/>
          <w:szCs w:val="28"/>
        </w:rPr>
        <w:t>产状</w:t>
      </w:r>
      <w:r>
        <w:rPr>
          <w:rFonts w:hint="default" w:ascii="Times New Roman" w:hAnsi="Times New Roman" w:eastAsia="宋体" w:cs="Times New Roman"/>
          <w:color w:val="auto"/>
          <w:sz w:val="28"/>
          <w:lang w:val="en-US" w:eastAsia="zh-CN"/>
        </w:rPr>
        <w:t>349°∠15°</w:t>
      </w:r>
      <w:r>
        <w:rPr>
          <w:rFonts w:hint="default" w:ascii="Times New Roman" w:hAnsi="Times New Roman" w:eastAsia="宋体" w:cs="Times New Roman"/>
          <w:color w:val="auto"/>
          <w:sz w:val="28"/>
          <w:szCs w:val="28"/>
        </w:rPr>
        <w:t>，地表出露长&gt;</w:t>
      </w:r>
      <w:r>
        <w:rPr>
          <w:rFonts w:hint="default" w:ascii="Times New Roman" w:hAnsi="Times New Roman" w:eastAsia="宋体" w:cs="Times New Roman"/>
          <w:color w:val="auto"/>
          <w:sz w:val="28"/>
          <w:szCs w:val="28"/>
          <w:lang w:val="en-US" w:eastAsia="zh-CN"/>
        </w:rPr>
        <w:t>35</w:t>
      </w:r>
      <w:r>
        <w:rPr>
          <w:rFonts w:hint="default" w:ascii="Times New Roman" w:hAnsi="Times New Roman" w:eastAsia="宋体" w:cs="Times New Roman"/>
          <w:color w:val="auto"/>
          <w:sz w:val="28"/>
          <w:szCs w:val="28"/>
        </w:rPr>
        <w:t>0</w:t>
      </w:r>
      <w:r>
        <w:rPr>
          <w:rFonts w:hint="eastAsia"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rPr>
        <w:t>，宽约2</w:t>
      </w:r>
      <w:r>
        <w:rPr>
          <w:rFonts w:hint="default" w:ascii="Times New Roman" w:hAnsi="Times New Roman" w:eastAsia="宋体" w:cs="Times New Roman"/>
          <w:color w:val="auto"/>
          <w:sz w:val="28"/>
          <w:szCs w:val="28"/>
          <w:lang w:val="en-US" w:eastAsia="zh-CN"/>
        </w:rPr>
        <w:t>0</w:t>
      </w:r>
      <w:r>
        <w:rPr>
          <w:rFonts w:hint="default" w:ascii="Times New Roman" w:hAnsi="Times New Roman" w:eastAsia="宋体" w:cs="Times New Roman"/>
          <w:color w:val="auto"/>
          <w:sz w:val="28"/>
          <w:szCs w:val="28"/>
        </w:rPr>
        <w:t>0</w:t>
      </w:r>
      <w:r>
        <w:rPr>
          <w:rFonts w:hint="eastAsia"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rPr>
        <w:t>，厚度大于</w:t>
      </w:r>
      <w:r>
        <w:rPr>
          <w:rFonts w:hint="default" w:ascii="Times New Roman" w:hAnsi="Times New Roman" w:eastAsia="宋体" w:cs="Times New Roman"/>
          <w:color w:val="auto"/>
          <w:sz w:val="28"/>
          <w:szCs w:val="28"/>
          <w:lang w:val="en-US" w:eastAsia="zh-CN"/>
        </w:rPr>
        <w:t>200</w:t>
      </w:r>
      <w:r>
        <w:rPr>
          <w:rFonts w:hint="eastAsia"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rPr>
        <w:t>，产出较为稳定。矿体直接出露于地表，除地表附近风化较强外，无其他的不良物理地质现象，露头良好，矿床规模属</w:t>
      </w:r>
      <w:r>
        <w:rPr>
          <w:rFonts w:hint="eastAsia"/>
          <w:color w:val="auto"/>
        </w:rPr>
        <w:t>。</w:t>
      </w:r>
    </w:p>
    <w:p w14:paraId="7D5A818F">
      <w:pPr>
        <w:ind w:firstLine="560"/>
        <w:rPr>
          <w:rFonts w:hint="default" w:ascii="宋体" w:hAnsi="宋体" w:eastAsia="宋体" w:cs="宋体"/>
          <w:b/>
          <w:bCs/>
          <w:color w:val="auto"/>
          <w:sz w:val="28"/>
          <w:szCs w:val="28"/>
          <w:highlight w:val="none"/>
          <w:lang w:val="en-US" w:eastAsia="zh-CN"/>
        </w:rPr>
      </w:pPr>
      <w:r>
        <w:rPr>
          <w:rFonts w:hint="eastAsia" w:ascii="宋体" w:hAnsi="宋体" w:cs="宋体"/>
          <w:b/>
          <w:bCs/>
          <w:color w:val="auto"/>
          <w:sz w:val="28"/>
          <w:szCs w:val="28"/>
          <w:highlight w:val="none"/>
          <w:lang w:val="en-US" w:eastAsia="zh-CN"/>
        </w:rPr>
        <w:t>2</w:t>
      </w:r>
      <w:r>
        <w:rPr>
          <w:rFonts w:hint="eastAsia" w:ascii="宋体" w:hAnsi="宋体" w:eastAsia="宋体" w:cs="宋体"/>
          <w:b/>
          <w:bCs/>
          <w:color w:val="auto"/>
          <w:sz w:val="28"/>
          <w:szCs w:val="28"/>
          <w:highlight w:val="none"/>
          <w:lang w:val="en-US" w:eastAsia="zh-CN"/>
        </w:rPr>
        <w:t>、</w:t>
      </w:r>
      <w:r>
        <w:rPr>
          <w:rFonts w:hint="default" w:ascii="宋体" w:hAnsi="宋体" w:eastAsia="宋体" w:cs="宋体"/>
          <w:b/>
          <w:bCs/>
          <w:color w:val="auto"/>
          <w:sz w:val="28"/>
          <w:szCs w:val="28"/>
          <w:highlight w:val="none"/>
          <w:lang w:val="en-US" w:eastAsia="zh-CN"/>
        </w:rPr>
        <w:t>矿石矿物成分及其结构构造</w:t>
      </w:r>
      <w:bookmarkEnd w:id="165"/>
      <w:bookmarkEnd w:id="166"/>
    </w:p>
    <w:bookmarkEnd w:id="167"/>
    <w:bookmarkEnd w:id="168"/>
    <w:bookmarkEnd w:id="169"/>
    <w:p w14:paraId="3A00CF67">
      <w:pPr>
        <w:spacing w:line="360" w:lineRule="auto"/>
        <w:ind w:firstLine="552" w:firstLineChars="200"/>
        <w:rPr>
          <w:rFonts w:hint="default" w:ascii="Times New Roman" w:hAnsi="Times New Roman" w:eastAsia="宋体" w:cs="Times New Roman"/>
          <w:szCs w:val="28"/>
        </w:rPr>
      </w:pP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1</w:t>
      </w:r>
      <w:r>
        <w:rPr>
          <w:rFonts w:hint="eastAsia" w:ascii="Times New Roman" w:hAnsi="Times New Roman" w:eastAsia="宋体" w:cs="Times New Roman"/>
          <w:szCs w:val="28"/>
          <w:lang w:eastAsia="zh-CN"/>
        </w:rPr>
        <w:t>）</w:t>
      </w:r>
      <w:r>
        <w:rPr>
          <w:rFonts w:hint="default" w:ascii="Times New Roman" w:hAnsi="Times New Roman" w:eastAsia="宋体" w:cs="Times New Roman"/>
          <w:bCs/>
          <w:szCs w:val="28"/>
        </w:rPr>
        <w:t>矿石物理力学性质</w:t>
      </w:r>
    </w:p>
    <w:p w14:paraId="64110C94">
      <w:pPr>
        <w:spacing w:line="360" w:lineRule="auto"/>
        <w:ind w:firstLine="552" w:firstLineChars="200"/>
        <w:rPr>
          <w:rFonts w:hint="default" w:ascii="Times New Roman" w:hAnsi="Times New Roman" w:eastAsia="宋体" w:cs="Times New Roman"/>
          <w:szCs w:val="28"/>
        </w:rPr>
      </w:pPr>
      <w:r>
        <w:rPr>
          <w:rFonts w:hint="default" w:ascii="Times New Roman" w:hAnsi="Times New Roman" w:eastAsia="宋体" w:cs="Times New Roman"/>
          <w:color w:val="auto"/>
          <w:sz w:val="28"/>
          <w:szCs w:val="28"/>
        </w:rPr>
        <w:t>矿石为</w:t>
      </w:r>
      <w:r>
        <w:rPr>
          <w:rFonts w:hint="default" w:ascii="Times New Roman" w:hAnsi="Times New Roman" w:eastAsia="宋体" w:cs="Times New Roman"/>
          <w:color w:val="auto"/>
          <w:sz w:val="28"/>
          <w:szCs w:val="28"/>
          <w:lang w:val="en-US" w:eastAsia="zh-CN"/>
        </w:rPr>
        <w:t>浅灰</w:t>
      </w:r>
      <w:r>
        <w:rPr>
          <w:rFonts w:hint="eastAsia" w:ascii="Times New Roman" w:hAnsi="Times New Roman" w:eastAsia="宋体" w:cs="Times New Roman"/>
          <w:color w:val="auto"/>
          <w:sz w:val="28"/>
          <w:szCs w:val="28"/>
          <w:lang w:val="en-US" w:eastAsia="zh-CN"/>
        </w:rPr>
        <w:t>——</w:t>
      </w:r>
      <w:r>
        <w:rPr>
          <w:rFonts w:hint="default" w:ascii="Times New Roman" w:hAnsi="Times New Roman" w:eastAsia="宋体" w:cs="Times New Roman"/>
          <w:color w:val="auto"/>
          <w:sz w:val="28"/>
          <w:szCs w:val="28"/>
          <w:lang w:val="en-US" w:eastAsia="zh-CN"/>
        </w:rPr>
        <w:t>深灰色中至厚层状</w:t>
      </w:r>
      <w:r>
        <w:rPr>
          <w:rFonts w:hint="default" w:ascii="Times New Roman" w:hAnsi="Times New Roman" w:eastAsia="宋体" w:cs="Times New Roman"/>
          <w:color w:val="auto"/>
          <w:sz w:val="28"/>
          <w:szCs w:val="28"/>
        </w:rPr>
        <w:t>灰岩，细</w:t>
      </w:r>
      <w:r>
        <w:rPr>
          <w:rFonts w:hint="eastAsia" w:ascii="Times New Roman" w:hAnsi="Times New Roman" w:eastAsia="宋体" w:cs="Times New Roman"/>
          <w:color w:val="auto"/>
          <w:sz w:val="28"/>
          <w:szCs w:val="28"/>
          <w:lang w:val="en-US" w:eastAsia="zh-CN"/>
        </w:rPr>
        <w:t>——</w:t>
      </w:r>
      <w:r>
        <w:rPr>
          <w:rFonts w:hint="default" w:ascii="Times New Roman" w:hAnsi="Times New Roman" w:eastAsia="宋体" w:cs="Times New Roman"/>
          <w:color w:val="auto"/>
          <w:sz w:val="28"/>
          <w:szCs w:val="28"/>
          <w:lang w:val="en-US" w:eastAsia="zh-CN"/>
        </w:rPr>
        <w:t>微</w:t>
      </w:r>
      <w:r>
        <w:rPr>
          <w:rFonts w:hint="default" w:ascii="Times New Roman" w:hAnsi="Times New Roman" w:eastAsia="宋体" w:cs="Times New Roman"/>
          <w:color w:val="auto"/>
          <w:sz w:val="28"/>
          <w:szCs w:val="28"/>
        </w:rPr>
        <w:t>晶结构，节理和裂隙发育中等，矿石质地细腻、性脆，无杂质。</w:t>
      </w:r>
      <w:r>
        <w:rPr>
          <w:rFonts w:hint="default" w:ascii="Times New Roman" w:hAnsi="Times New Roman" w:eastAsia="宋体" w:cs="Times New Roman"/>
          <w:color w:val="auto"/>
          <w:sz w:val="28"/>
          <w:szCs w:val="28"/>
          <w:lang w:val="en-US" w:eastAsia="zh-CN"/>
        </w:rPr>
        <w:t>经业主自己取样化验</w:t>
      </w:r>
      <w:r>
        <w:rPr>
          <w:rFonts w:hint="default" w:ascii="Times New Roman" w:hAnsi="Times New Roman" w:eastAsia="宋体" w:cs="Times New Roman"/>
          <w:color w:val="auto"/>
          <w:sz w:val="28"/>
          <w:szCs w:val="28"/>
        </w:rPr>
        <w:t>，天然平均体重为：</w:t>
      </w:r>
      <w:r>
        <w:rPr>
          <w:rFonts w:hint="default" w:ascii="Times New Roman" w:hAnsi="Times New Roman" w:eastAsia="宋体" w:cs="Times New Roman"/>
          <w:color w:val="auto"/>
          <w:sz w:val="28"/>
          <w:szCs w:val="28"/>
          <w:lang w:eastAsia="zh-CN"/>
        </w:rPr>
        <w:t>2.52</w:t>
      </w:r>
      <w:r>
        <w:rPr>
          <w:rFonts w:hint="default" w:ascii="Times New Roman" w:hAnsi="Times New Roman" w:eastAsia="宋体" w:cs="Times New Roman"/>
          <w:color w:val="auto"/>
          <w:sz w:val="28"/>
          <w:szCs w:val="28"/>
          <w:lang w:val="en-US" w:eastAsia="zh-CN"/>
        </w:rPr>
        <w:t>t</w:t>
      </w:r>
      <w:r>
        <w:rPr>
          <w:rFonts w:hint="default" w:ascii="Times New Roman" w:hAnsi="Times New Roman" w:eastAsia="宋体" w:cs="Times New Roman"/>
          <w:color w:val="auto"/>
          <w:sz w:val="28"/>
          <w:szCs w:val="28"/>
        </w:rPr>
        <w:t>/</w:t>
      </w:r>
      <w:r>
        <w:rPr>
          <w:rFonts w:hint="default" w:ascii="Times New Roman" w:hAnsi="Times New Roman" w:eastAsia="宋体" w:cs="Times New Roman"/>
          <w:color w:val="auto"/>
          <w:sz w:val="28"/>
          <w:szCs w:val="28"/>
          <w:lang w:val="en-US" w:eastAsia="zh-CN"/>
        </w:rPr>
        <w:t>m</w:t>
      </w:r>
      <w:r>
        <w:rPr>
          <w:rFonts w:hint="default" w:ascii="Times New Roman" w:hAnsi="Times New Roman" w:eastAsia="宋体" w:cs="Times New Roman"/>
          <w:color w:val="auto"/>
          <w:sz w:val="28"/>
          <w:szCs w:val="28"/>
          <w:vertAlign w:val="superscript"/>
          <w:lang w:val="en-US" w:eastAsia="zh-CN"/>
        </w:rPr>
        <w:t>3</w:t>
      </w:r>
      <w:r>
        <w:rPr>
          <w:rFonts w:hint="default" w:ascii="Times New Roman" w:hAnsi="Times New Roman" w:eastAsia="宋体" w:cs="Times New Roman"/>
          <w:color w:val="auto"/>
          <w:sz w:val="28"/>
          <w:szCs w:val="28"/>
        </w:rPr>
        <w:t>，干抗压强度为90MPa</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103MPa，湿抗压强度为65MPa</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75MPa，抗剪强度为12MPa</w:t>
      </w:r>
      <w:r>
        <w:rPr>
          <w:rFonts w:hint="default" w:ascii="Times New Roman" w:hAnsi="Times New Roman" w:eastAsia="宋体" w:cs="Times New Roman"/>
          <w:color w:val="auto"/>
          <w:sz w:val="28"/>
          <w:szCs w:val="28"/>
          <w:lang w:eastAsia="zh-CN"/>
        </w:rPr>
        <w:t>～</w:t>
      </w:r>
      <w:r>
        <w:rPr>
          <w:rFonts w:hint="default" w:ascii="Times New Roman" w:hAnsi="Times New Roman" w:eastAsia="宋体" w:cs="Times New Roman"/>
          <w:color w:val="auto"/>
          <w:sz w:val="28"/>
          <w:szCs w:val="28"/>
        </w:rPr>
        <w:t>16MPa。各项指标均能满足建筑材料的技术要求</w:t>
      </w:r>
      <w:r>
        <w:rPr>
          <w:rFonts w:hint="default" w:ascii="Times New Roman" w:hAnsi="Times New Roman" w:eastAsia="宋体" w:cs="Times New Roman"/>
          <w:szCs w:val="28"/>
        </w:rPr>
        <w:t>。</w:t>
      </w:r>
    </w:p>
    <w:p w14:paraId="5BF642B1">
      <w:pPr>
        <w:spacing w:line="360" w:lineRule="auto"/>
        <w:ind w:firstLine="552" w:firstLineChars="200"/>
        <w:rPr>
          <w:rFonts w:hint="default" w:ascii="Times New Roman" w:hAnsi="Times New Roman" w:eastAsia="宋体" w:cs="Times New Roman"/>
          <w:szCs w:val="28"/>
        </w:rPr>
      </w:pP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2</w:t>
      </w: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矿石化学成分</w:t>
      </w:r>
    </w:p>
    <w:p w14:paraId="7A9008C4">
      <w:pPr>
        <w:spacing w:line="360" w:lineRule="auto"/>
        <w:ind w:firstLine="552" w:firstLineChars="200"/>
        <w:rPr>
          <w:rFonts w:hint="default" w:ascii="Times New Roman" w:hAnsi="Times New Roman" w:eastAsia="宋体" w:cs="Times New Roman"/>
          <w:color w:val="auto"/>
          <w:sz w:val="28"/>
          <w:szCs w:val="28"/>
          <w:lang w:eastAsia="zh-CN"/>
        </w:rPr>
      </w:pPr>
      <w:r>
        <w:rPr>
          <w:rFonts w:hint="default" w:ascii="Times New Roman" w:hAnsi="Times New Roman" w:eastAsia="宋体" w:cs="Times New Roman"/>
          <w:sz w:val="28"/>
          <w:szCs w:val="28"/>
        </w:rPr>
        <w:t>根据以往地质报告，结合区域资料和采矿历史看，矿体厚度和质量较稳定，为灰白色厚层状、块状灰岩</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有害杂质较低</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类比同类型矿山及以往地质资料，矿石主要矿物组分为粒度较细的结晶方解石（含量大于9</w:t>
      </w:r>
      <w:r>
        <w:rPr>
          <w:rFonts w:hint="default" w:ascii="Times New Roman" w:hAnsi="Times New Roman" w:eastAsia="宋体" w:cs="Times New Roman"/>
          <w:sz w:val="28"/>
          <w:szCs w:val="28"/>
          <w:lang w:val="en-US" w:eastAsia="zh-CN"/>
        </w:rPr>
        <w:t>0</w:t>
      </w:r>
      <w:r>
        <w:rPr>
          <w:rFonts w:hint="default" w:ascii="Times New Roman" w:hAnsi="Times New Roman" w:eastAsia="宋体" w:cs="Times New Roman"/>
          <w:sz w:val="28"/>
          <w:szCs w:val="28"/>
        </w:rPr>
        <w:t>%），次为</w:t>
      </w:r>
      <w:r>
        <w:rPr>
          <w:rFonts w:hint="default" w:ascii="Times New Roman" w:hAnsi="Times New Roman" w:eastAsia="宋体" w:cs="Times New Roman"/>
          <w:sz w:val="28"/>
          <w:szCs w:val="28"/>
          <w:lang w:val="en-US" w:eastAsia="zh-CN"/>
        </w:rPr>
        <w:t>文石、生物介壳</w:t>
      </w:r>
      <w:r>
        <w:rPr>
          <w:rFonts w:hint="default" w:ascii="Times New Roman" w:hAnsi="Times New Roman" w:eastAsia="宋体" w:cs="Times New Roman"/>
          <w:sz w:val="28"/>
          <w:szCs w:val="28"/>
        </w:rPr>
        <w:t>及少量</w:t>
      </w:r>
      <w:r>
        <w:rPr>
          <w:rFonts w:hint="default" w:ascii="Times New Roman" w:hAnsi="Times New Roman" w:eastAsia="宋体" w:cs="Times New Roman"/>
          <w:sz w:val="28"/>
          <w:szCs w:val="28"/>
          <w:lang w:val="en-US" w:eastAsia="zh-CN"/>
        </w:rPr>
        <w:t>泥质和</w:t>
      </w:r>
      <w:r>
        <w:rPr>
          <w:rFonts w:hint="default" w:ascii="Times New Roman" w:hAnsi="Times New Roman" w:eastAsia="宋体" w:cs="Times New Roman"/>
          <w:sz w:val="28"/>
          <w:szCs w:val="28"/>
        </w:rPr>
        <w:t>铁</w:t>
      </w:r>
      <w:r>
        <w:rPr>
          <w:rFonts w:hint="default" w:ascii="Times New Roman" w:hAnsi="Times New Roman" w:eastAsia="宋体" w:cs="Times New Roman"/>
          <w:sz w:val="28"/>
          <w:szCs w:val="28"/>
          <w:lang w:val="en-US" w:eastAsia="zh-CN"/>
        </w:rPr>
        <w:t>质</w:t>
      </w:r>
      <w:r>
        <w:rPr>
          <w:rFonts w:hint="default" w:ascii="Times New Roman" w:hAnsi="Times New Roman" w:eastAsia="宋体" w:cs="Times New Roman"/>
          <w:sz w:val="28"/>
          <w:szCs w:val="28"/>
        </w:rPr>
        <w:t>；矿石主要成分为氧化钙（CaO），局部地段含氧化镁（MgO），为硅质胶结。其中CaO含量为</w:t>
      </w:r>
      <w:r>
        <w:rPr>
          <w:rFonts w:hint="default" w:ascii="Times New Roman" w:hAnsi="Times New Roman" w:eastAsia="宋体" w:cs="Times New Roman"/>
          <w:sz w:val="28"/>
          <w:szCs w:val="28"/>
          <w:lang w:val="en-US" w:eastAsia="zh-CN"/>
        </w:rPr>
        <w:t>49.32</w:t>
      </w:r>
      <w:r>
        <w:rPr>
          <w:rFonts w:hint="default" w:ascii="Times New Roman" w:hAnsi="Times New Roman" w:eastAsia="宋体" w:cs="Times New Roman"/>
          <w:sz w:val="28"/>
          <w:szCs w:val="28"/>
        </w:rPr>
        <w:t>%，MgO含量为</w:t>
      </w:r>
      <w:r>
        <w:rPr>
          <w:rFonts w:hint="default" w:ascii="Times New Roman" w:hAnsi="Times New Roman" w:eastAsia="宋体" w:cs="Times New Roman"/>
          <w:sz w:val="28"/>
          <w:szCs w:val="28"/>
          <w:lang w:val="en-US" w:eastAsia="zh-CN"/>
        </w:rPr>
        <w:t>0.49</w:t>
      </w:r>
      <w:r>
        <w:rPr>
          <w:rFonts w:hint="default" w:ascii="Times New Roman" w:hAnsi="Times New Roman" w:eastAsia="宋体" w:cs="Times New Roman"/>
          <w:sz w:val="28"/>
          <w:szCs w:val="28"/>
        </w:rPr>
        <w:t>%，SiO</w:t>
      </w:r>
      <w:r>
        <w:rPr>
          <w:rFonts w:hint="default" w:ascii="Times New Roman" w:hAnsi="Times New Roman" w:eastAsia="宋体" w:cs="Times New Roman"/>
          <w:sz w:val="28"/>
          <w:szCs w:val="28"/>
          <w:vertAlign w:val="subscript"/>
        </w:rPr>
        <w:t>2</w:t>
      </w:r>
      <w:r>
        <w:rPr>
          <w:rFonts w:hint="default" w:ascii="Times New Roman" w:hAnsi="Times New Roman" w:eastAsia="宋体" w:cs="Times New Roman"/>
          <w:sz w:val="28"/>
          <w:szCs w:val="28"/>
        </w:rPr>
        <w:t>含量为</w:t>
      </w:r>
      <w:r>
        <w:rPr>
          <w:rFonts w:hint="default" w:ascii="Times New Roman" w:hAnsi="Times New Roman" w:eastAsia="宋体" w:cs="Times New Roman"/>
          <w:sz w:val="28"/>
          <w:szCs w:val="28"/>
          <w:lang w:val="en-US" w:eastAsia="zh-CN"/>
        </w:rPr>
        <w:t>0.61</w:t>
      </w:r>
      <w:r>
        <w:rPr>
          <w:rFonts w:hint="default" w:ascii="Times New Roman" w:hAnsi="Times New Roman" w:eastAsia="宋体" w:cs="Times New Roman"/>
          <w:sz w:val="28"/>
          <w:szCs w:val="28"/>
        </w:rPr>
        <w:t>%，Fe</w:t>
      </w:r>
      <w:r>
        <w:rPr>
          <w:rFonts w:hint="default" w:ascii="Times New Roman" w:hAnsi="Times New Roman" w:eastAsia="宋体" w:cs="Times New Roman"/>
          <w:sz w:val="28"/>
          <w:szCs w:val="28"/>
          <w:vertAlign w:val="subscript"/>
        </w:rPr>
        <w:t>2</w:t>
      </w:r>
      <w:r>
        <w:rPr>
          <w:rFonts w:hint="default" w:ascii="Times New Roman" w:hAnsi="Times New Roman" w:eastAsia="宋体" w:cs="Times New Roman"/>
          <w:sz w:val="28"/>
          <w:szCs w:val="28"/>
        </w:rPr>
        <w:t>O</w:t>
      </w:r>
      <w:r>
        <w:rPr>
          <w:rFonts w:hint="default" w:ascii="Times New Roman" w:hAnsi="Times New Roman" w:eastAsia="宋体" w:cs="Times New Roman"/>
          <w:sz w:val="28"/>
          <w:szCs w:val="28"/>
          <w:vertAlign w:val="subscript"/>
        </w:rPr>
        <w:t>3</w:t>
      </w:r>
      <w:r>
        <w:rPr>
          <w:rFonts w:hint="default" w:ascii="Times New Roman" w:hAnsi="Times New Roman" w:eastAsia="宋体" w:cs="Times New Roman"/>
          <w:sz w:val="28"/>
          <w:szCs w:val="28"/>
        </w:rPr>
        <w:t>含量为</w:t>
      </w:r>
      <w:r>
        <w:rPr>
          <w:rFonts w:hint="default" w:ascii="Times New Roman" w:hAnsi="Times New Roman" w:eastAsia="宋体" w:cs="Times New Roman"/>
          <w:sz w:val="28"/>
          <w:szCs w:val="28"/>
          <w:lang w:val="en-US" w:eastAsia="zh-CN"/>
        </w:rPr>
        <w:t>0.24</w:t>
      </w:r>
      <w:r>
        <w:rPr>
          <w:rFonts w:hint="default" w:ascii="Times New Roman" w:hAnsi="Times New Roman" w:eastAsia="宋体" w:cs="Times New Roman"/>
          <w:sz w:val="28"/>
          <w:szCs w:val="28"/>
        </w:rPr>
        <w:t>%，AL</w:t>
      </w:r>
      <w:r>
        <w:rPr>
          <w:rFonts w:hint="default" w:ascii="Times New Roman" w:hAnsi="Times New Roman" w:eastAsia="宋体" w:cs="Times New Roman"/>
          <w:sz w:val="28"/>
          <w:szCs w:val="28"/>
          <w:vertAlign w:val="subscript"/>
        </w:rPr>
        <w:t>2</w:t>
      </w:r>
      <w:r>
        <w:rPr>
          <w:rFonts w:hint="default" w:ascii="Times New Roman" w:hAnsi="Times New Roman" w:eastAsia="宋体" w:cs="Times New Roman"/>
          <w:sz w:val="28"/>
          <w:szCs w:val="28"/>
        </w:rPr>
        <w:t>O</w:t>
      </w:r>
      <w:r>
        <w:rPr>
          <w:rFonts w:hint="default" w:ascii="Times New Roman" w:hAnsi="Times New Roman" w:eastAsia="宋体" w:cs="Times New Roman"/>
          <w:sz w:val="28"/>
          <w:szCs w:val="28"/>
          <w:vertAlign w:val="subscript"/>
        </w:rPr>
        <w:t>3</w:t>
      </w:r>
      <w:r>
        <w:rPr>
          <w:rFonts w:hint="default" w:ascii="Times New Roman" w:hAnsi="Times New Roman" w:eastAsia="宋体" w:cs="Times New Roman"/>
          <w:sz w:val="28"/>
          <w:szCs w:val="28"/>
        </w:rPr>
        <w:t>含量为</w:t>
      </w:r>
      <w:r>
        <w:rPr>
          <w:rFonts w:hint="default" w:ascii="Times New Roman" w:hAnsi="Times New Roman" w:eastAsia="宋体" w:cs="Times New Roman"/>
          <w:sz w:val="28"/>
          <w:szCs w:val="28"/>
          <w:lang w:val="en-US" w:eastAsia="zh-CN"/>
        </w:rPr>
        <w:t>0.20</w:t>
      </w:r>
      <w:r>
        <w:rPr>
          <w:rFonts w:hint="default" w:ascii="Times New Roman" w:hAnsi="Times New Roman" w:eastAsia="宋体" w:cs="Times New Roman"/>
          <w:sz w:val="28"/>
          <w:szCs w:val="28"/>
        </w:rPr>
        <w:t>%。总体来看化学成分稳定，CaO均大于48%，MgO含量小于3%，其他有害组分含量较低</w:t>
      </w:r>
      <w:r>
        <w:rPr>
          <w:rFonts w:hint="default" w:ascii="Times New Roman" w:hAnsi="Times New Roman" w:eastAsia="宋体" w:cs="Times New Roman"/>
          <w:sz w:val="28"/>
          <w:szCs w:val="28"/>
          <w:lang w:eastAsia="zh-CN"/>
        </w:rPr>
        <w:t>。</w:t>
      </w:r>
    </w:p>
    <w:p w14:paraId="441DC0B8">
      <w:pPr>
        <w:bidi w:val="0"/>
        <w:rPr>
          <w:rFonts w:hint="default"/>
        </w:rPr>
      </w:pPr>
      <w:r>
        <w:rPr>
          <w:rFonts w:hint="eastAsia"/>
          <w:lang w:eastAsia="zh-CN"/>
        </w:rPr>
        <w:t>（</w:t>
      </w:r>
      <w:r>
        <w:rPr>
          <w:rFonts w:hint="eastAsia"/>
          <w:lang w:val="en-US" w:eastAsia="zh-CN"/>
        </w:rPr>
        <w:t>3</w:t>
      </w:r>
      <w:r>
        <w:rPr>
          <w:rFonts w:hint="eastAsia"/>
          <w:lang w:eastAsia="zh-CN"/>
        </w:rPr>
        <w:t>）</w:t>
      </w:r>
      <w:r>
        <w:rPr>
          <w:rFonts w:hint="default"/>
        </w:rPr>
        <w:t>矿石结构构造</w:t>
      </w:r>
    </w:p>
    <w:p w14:paraId="322BF401">
      <w:pPr>
        <w:bidi w:val="0"/>
        <w:rPr>
          <w:rFonts w:hint="default" w:ascii="Times New Roman" w:hAnsi="Times New Roman" w:eastAsia="宋体" w:cs="Times New Roman"/>
          <w:color w:val="auto"/>
          <w:szCs w:val="28"/>
        </w:rPr>
      </w:pPr>
      <w:r>
        <w:rPr>
          <w:rFonts w:hint="default"/>
        </w:rPr>
        <w:t>本矿床所产矿石类型单一，开采层为浅灰</w:t>
      </w:r>
      <w:r>
        <w:rPr>
          <w:rFonts w:hint="default"/>
          <w:lang w:eastAsia="zh-CN"/>
        </w:rPr>
        <w:t>、</w:t>
      </w:r>
      <w:r>
        <w:rPr>
          <w:rFonts w:hint="default"/>
          <w:lang w:val="en-US" w:eastAsia="zh-CN"/>
        </w:rPr>
        <w:t>深灰</w:t>
      </w:r>
      <w:r>
        <w:rPr>
          <w:rFonts w:hint="default"/>
        </w:rPr>
        <w:t>色中厚层状灰岩。矿石具细～微晶结构，致密块状构造。质地较均匀，力学强度适中，是较好的普通建筑用石料</w:t>
      </w:r>
      <w:r>
        <w:rPr>
          <w:rFonts w:hint="default" w:ascii="Times New Roman" w:hAnsi="Times New Roman" w:eastAsia="宋体" w:cs="Times New Roman"/>
          <w:color w:val="auto"/>
          <w:szCs w:val="28"/>
        </w:rPr>
        <w:t>。</w:t>
      </w:r>
    </w:p>
    <w:p w14:paraId="20F1C4A1">
      <w:pPr>
        <w:rPr>
          <w:color w:val="auto"/>
        </w:rPr>
      </w:pPr>
      <w:r>
        <w:rPr>
          <w:rFonts w:hint="default" w:ascii="Times New Roman" w:hAnsi="Times New Roman" w:eastAsia="宋体" w:cs="Times New Roman"/>
          <w:color w:val="auto"/>
          <w:sz w:val="28"/>
          <w:szCs w:val="28"/>
          <w:lang w:eastAsia="zh-CN"/>
        </w:rPr>
        <w:t>据化学成分、含量分析本区</w:t>
      </w:r>
      <w:r>
        <w:rPr>
          <w:rFonts w:hint="default" w:ascii="Times New Roman" w:hAnsi="Times New Roman" w:eastAsia="宋体" w:cs="Times New Roman"/>
          <w:color w:val="auto"/>
          <w:sz w:val="28"/>
          <w:szCs w:val="28"/>
          <w:lang w:val="en-US" w:eastAsia="zh-CN"/>
        </w:rPr>
        <w:t>石灰岩矿</w:t>
      </w:r>
      <w:r>
        <w:rPr>
          <w:rFonts w:hint="default" w:ascii="Times New Roman" w:hAnsi="Times New Roman" w:eastAsia="宋体" w:cs="Times New Roman"/>
          <w:color w:val="auto"/>
          <w:sz w:val="28"/>
          <w:szCs w:val="28"/>
          <w:lang w:eastAsia="zh-CN"/>
        </w:rPr>
        <w:t>工业类型主要为</w:t>
      </w:r>
      <w:r>
        <w:rPr>
          <w:rFonts w:hint="default" w:ascii="Times New Roman" w:hAnsi="Times New Roman" w:eastAsia="宋体" w:cs="Times New Roman"/>
          <w:color w:val="auto"/>
          <w:sz w:val="28"/>
          <w:szCs w:val="28"/>
          <w:lang w:val="en-US" w:eastAsia="zh-CN"/>
        </w:rPr>
        <w:t>建筑材料用用石灰</w:t>
      </w:r>
      <w:r>
        <w:rPr>
          <w:rFonts w:hint="default" w:ascii="Times New Roman" w:hAnsi="Times New Roman" w:eastAsia="宋体" w:cs="Times New Roman"/>
          <w:color w:val="auto"/>
          <w:sz w:val="28"/>
          <w:szCs w:val="28"/>
          <w:lang w:eastAsia="zh-CN"/>
        </w:rPr>
        <w:t>岩。其成分及物理性能达到建筑材料用要求，可进行工业利用</w:t>
      </w:r>
      <w:r>
        <w:rPr>
          <w:rFonts w:hint="eastAsia"/>
          <w:color w:val="auto"/>
        </w:rPr>
        <w:t>。</w:t>
      </w:r>
    </w:p>
    <w:p w14:paraId="1D189E2E">
      <w:pPr>
        <w:bidi w:val="0"/>
      </w:pPr>
      <w:r>
        <w:rPr>
          <w:rFonts w:hint="eastAsia"/>
          <w:lang w:val="en-US" w:eastAsia="zh-CN"/>
        </w:rPr>
        <w:t>3、矿石加工技术性能</w:t>
      </w:r>
    </w:p>
    <w:p w14:paraId="22BCBAC4">
      <w:pPr>
        <w:spacing w:line="360" w:lineRule="auto"/>
        <w:ind w:firstLine="552" w:firstLineChars="200"/>
        <w:rPr>
          <w:rFonts w:hint="default" w:ascii="Times New Roman" w:hAnsi="Times New Roman" w:eastAsia="宋体" w:cs="Times New Roman"/>
          <w:color w:val="auto"/>
          <w:sz w:val="28"/>
          <w:szCs w:val="28"/>
          <w:lang w:eastAsia="zh-CN"/>
        </w:rPr>
      </w:pPr>
      <w:r>
        <w:rPr>
          <w:rFonts w:hint="default" w:ascii="Times New Roman" w:hAnsi="Times New Roman" w:eastAsia="宋体" w:cs="Times New Roman"/>
          <w:color w:val="auto"/>
          <w:sz w:val="28"/>
          <w:szCs w:val="28"/>
        </w:rPr>
        <w:t>矿山采矿石以灰岩为主，地表岩石节理裂隙发育，矿石较完整。据调查访问厂家及已生产矿山，该矿具有易采、易加工性能，属易加工的矿种。根据顾客的需要，可开采各种规格不同用途的毛料，加工成不同规格砂矿，是较好的建筑材料</w:t>
      </w:r>
      <w:r>
        <w:rPr>
          <w:rFonts w:hint="default" w:ascii="Times New Roman" w:hAnsi="Times New Roman" w:eastAsia="宋体" w:cs="Times New Roman"/>
          <w:color w:val="auto"/>
          <w:sz w:val="28"/>
          <w:szCs w:val="28"/>
          <w:lang w:eastAsia="zh-CN"/>
        </w:rPr>
        <w:t>。</w:t>
      </w:r>
    </w:p>
    <w:p w14:paraId="2B0C0FAA">
      <w:pPr>
        <w:rPr>
          <w:color w:val="auto"/>
        </w:rPr>
      </w:pPr>
      <w:r>
        <w:rPr>
          <w:rFonts w:hint="default" w:ascii="Times New Roman" w:hAnsi="Times New Roman" w:eastAsia="宋体" w:cs="Times New Roman"/>
          <w:sz w:val="28"/>
          <w:szCs w:val="28"/>
        </w:rPr>
        <w:t>矿石加工生产主要工艺流程：矿石→爆破开采→铲运→机械破碎→筛选→成品→销售</w:t>
      </w:r>
      <w:r>
        <w:rPr>
          <w:rFonts w:hint="eastAsia"/>
          <w:color w:val="auto"/>
        </w:rPr>
        <w:t>。</w:t>
      </w:r>
    </w:p>
    <w:p w14:paraId="553E5A11">
      <w:pPr>
        <w:pStyle w:val="4"/>
        <w:bidi w:val="0"/>
      </w:pPr>
      <w:bookmarkStart w:id="170" w:name="_Toc31102"/>
      <w:r>
        <w:t>2.3.</w:t>
      </w:r>
      <w:r>
        <w:rPr>
          <w:rFonts w:hint="eastAsia"/>
          <w:lang w:val="en-US" w:eastAsia="zh-CN"/>
        </w:rPr>
        <w:t>2</w:t>
      </w:r>
      <w:r>
        <w:t>水文地质概况</w:t>
      </w:r>
      <w:bookmarkEnd w:id="164"/>
      <w:bookmarkEnd w:id="170"/>
    </w:p>
    <w:p w14:paraId="38EFAB82">
      <w:pPr>
        <w:keepNext w:val="0"/>
        <w:keepLines w:val="0"/>
        <w:pageBreakBefore w:val="0"/>
        <w:widowControl w:val="0"/>
        <w:kinsoku/>
        <w:wordWrap/>
        <w:overflowPunct/>
        <w:topLinePunct w:val="0"/>
        <w:bidi w:val="0"/>
        <w:adjustRightInd w:val="0"/>
        <w:spacing w:line="360" w:lineRule="auto"/>
        <w:ind w:left="-5" w:leftChars="-2" w:firstLine="552" w:firstLineChars="200"/>
        <w:jc w:val="both"/>
        <w:textAlignment w:val="auto"/>
        <w:rPr>
          <w:rFonts w:hint="default" w:ascii="Times New Roman" w:hAnsi="Times New Roman" w:eastAsia="宋体" w:cs="Times New Roman"/>
          <w:color w:val="000000"/>
          <w:sz w:val="28"/>
          <w:szCs w:val="28"/>
          <w:lang w:eastAsia="zh-CN"/>
        </w:rPr>
      </w:pPr>
      <w:bookmarkStart w:id="171" w:name="bookmark23"/>
      <w:bookmarkEnd w:id="171"/>
      <w:bookmarkStart w:id="172" w:name="_Toc7072"/>
      <w:r>
        <w:rPr>
          <w:rFonts w:hint="default" w:ascii="Times New Roman" w:hAnsi="Times New Roman" w:eastAsia="宋体" w:cs="Times New Roman"/>
          <w:color w:val="000000"/>
          <w:sz w:val="28"/>
          <w:szCs w:val="28"/>
          <w:lang w:eastAsia="zh-CN"/>
        </w:rPr>
        <w:t>矿区地处滇东南喀斯特高原的东北部，</w:t>
      </w:r>
      <w:r>
        <w:rPr>
          <w:rFonts w:hint="default" w:ascii="Times New Roman" w:hAnsi="Times New Roman" w:eastAsia="宋体" w:cs="Times New Roman"/>
          <w:color w:val="000000"/>
          <w:sz w:val="28"/>
          <w:szCs w:val="28"/>
          <w:lang w:val="en-US" w:eastAsia="zh-CN"/>
        </w:rPr>
        <w:t>矿区属珠江水系西洋江流域，主要水系有西洋江、驮娘河和普厅河</w:t>
      </w:r>
      <w:r>
        <w:rPr>
          <w:rFonts w:hint="default" w:ascii="Times New Roman" w:hAnsi="Times New Roman" w:eastAsia="宋体" w:cs="Times New Roman"/>
          <w:color w:val="000000"/>
          <w:sz w:val="28"/>
          <w:szCs w:val="28"/>
          <w:lang w:eastAsia="zh-CN"/>
        </w:rPr>
        <w:t>。属</w:t>
      </w:r>
      <w:r>
        <w:rPr>
          <w:rFonts w:hint="default" w:ascii="Times New Roman" w:hAnsi="Times New Roman" w:eastAsia="宋体" w:cs="Times New Roman"/>
          <w:sz w:val="28"/>
          <w:szCs w:val="28"/>
        </w:rPr>
        <w:t>滇东高原侵蚀溶蚀中山地貌</w:t>
      </w:r>
      <w:r>
        <w:rPr>
          <w:rFonts w:hint="default" w:ascii="Times New Roman" w:hAnsi="Times New Roman" w:eastAsia="宋体" w:cs="Times New Roman"/>
          <w:sz w:val="28"/>
          <w:szCs w:val="28"/>
          <w:lang w:val="en-US" w:eastAsia="zh-CN"/>
        </w:rPr>
        <w:t>类型</w:t>
      </w:r>
      <w:r>
        <w:rPr>
          <w:rFonts w:hint="default" w:ascii="Times New Roman" w:hAnsi="Times New Roman" w:eastAsia="宋体" w:cs="Times New Roman"/>
          <w:color w:val="000000"/>
          <w:sz w:val="28"/>
          <w:szCs w:val="28"/>
          <w:lang w:eastAsia="zh-CN"/>
        </w:rPr>
        <w:t>，地势总体为</w:t>
      </w:r>
      <w:r>
        <w:rPr>
          <w:rFonts w:hint="default" w:ascii="Times New Roman" w:hAnsi="Times New Roman" w:eastAsia="宋体" w:cs="Times New Roman"/>
          <w:color w:val="000000"/>
          <w:sz w:val="28"/>
          <w:szCs w:val="28"/>
          <w:lang w:val="en-US" w:eastAsia="zh-CN"/>
        </w:rPr>
        <w:t>北</w:t>
      </w:r>
      <w:r>
        <w:rPr>
          <w:rFonts w:hint="default" w:ascii="Times New Roman" w:hAnsi="Times New Roman" w:eastAsia="宋体" w:cs="Times New Roman"/>
          <w:color w:val="000000"/>
          <w:sz w:val="28"/>
          <w:szCs w:val="28"/>
          <w:lang w:eastAsia="zh-CN"/>
        </w:rPr>
        <w:t>部高、</w:t>
      </w:r>
      <w:r>
        <w:rPr>
          <w:rFonts w:hint="default" w:ascii="Times New Roman" w:hAnsi="Times New Roman" w:eastAsia="宋体" w:cs="Times New Roman"/>
          <w:color w:val="000000"/>
          <w:sz w:val="28"/>
          <w:szCs w:val="28"/>
          <w:lang w:val="en-US" w:eastAsia="zh-CN"/>
        </w:rPr>
        <w:t>南</w:t>
      </w:r>
      <w:r>
        <w:rPr>
          <w:rFonts w:hint="default" w:ascii="Times New Roman" w:hAnsi="Times New Roman" w:eastAsia="宋体" w:cs="Times New Roman"/>
          <w:color w:val="000000"/>
          <w:sz w:val="28"/>
          <w:szCs w:val="28"/>
          <w:lang w:eastAsia="zh-CN"/>
        </w:rPr>
        <w:t>部低。</w:t>
      </w:r>
      <w:r>
        <w:rPr>
          <w:rFonts w:hint="default" w:ascii="Times New Roman" w:hAnsi="Times New Roman" w:eastAsia="宋体" w:cs="Times New Roman"/>
          <w:color w:val="000000"/>
          <w:sz w:val="28"/>
          <w:szCs w:val="28"/>
          <w:lang w:val="en-US" w:eastAsia="zh-CN"/>
        </w:rPr>
        <w:t>矿山</w:t>
      </w:r>
      <w:r>
        <w:rPr>
          <w:rFonts w:hint="default" w:ascii="Times New Roman" w:hAnsi="Times New Roman" w:eastAsia="宋体" w:cs="Times New Roman"/>
          <w:color w:val="000000"/>
          <w:sz w:val="28"/>
          <w:szCs w:val="28"/>
          <w:lang w:eastAsia="zh-CN"/>
        </w:rPr>
        <w:t>最低</w:t>
      </w:r>
      <w:r>
        <w:rPr>
          <w:rFonts w:hint="default" w:ascii="Times New Roman" w:hAnsi="Times New Roman" w:eastAsia="宋体" w:cs="Times New Roman"/>
          <w:color w:val="000000"/>
          <w:sz w:val="28"/>
          <w:szCs w:val="28"/>
          <w:lang w:val="en-US" w:eastAsia="zh-CN"/>
        </w:rPr>
        <w:t>开采</w:t>
      </w:r>
      <w:r>
        <w:rPr>
          <w:rFonts w:hint="eastAsia" w:ascii="Times New Roman" w:hAnsi="Times New Roman" w:eastAsia="宋体" w:cs="Times New Roman"/>
          <w:color w:val="000000"/>
          <w:sz w:val="28"/>
          <w:szCs w:val="28"/>
          <w:lang w:val="en-US" w:eastAsia="zh-CN"/>
        </w:rPr>
        <w:t>标</w:t>
      </w:r>
      <w:r>
        <w:rPr>
          <w:rFonts w:hint="default" w:ascii="Times New Roman" w:hAnsi="Times New Roman" w:eastAsia="宋体" w:cs="Times New Roman"/>
          <w:color w:val="000000"/>
          <w:sz w:val="28"/>
          <w:szCs w:val="28"/>
          <w:lang w:val="en-US" w:eastAsia="zh-CN"/>
        </w:rPr>
        <w:t>高为16</w:t>
      </w:r>
      <w:r>
        <w:rPr>
          <w:rFonts w:hint="eastAsia" w:ascii="Times New Roman" w:hAnsi="Times New Roman" w:eastAsia="宋体" w:cs="Times New Roman"/>
          <w:color w:val="000000"/>
          <w:sz w:val="28"/>
          <w:szCs w:val="28"/>
          <w:lang w:val="en-US" w:eastAsia="zh-CN"/>
        </w:rPr>
        <w:t>07m</w:t>
      </w:r>
      <w:r>
        <w:rPr>
          <w:rFonts w:hint="default" w:ascii="Times New Roman" w:hAnsi="Times New Roman" w:eastAsia="宋体" w:cs="Times New Roman"/>
          <w:color w:val="000000"/>
          <w:sz w:val="28"/>
          <w:szCs w:val="28"/>
          <w:lang w:eastAsia="zh-CN"/>
        </w:rPr>
        <w:t>，高于当地侵蚀基准面标高（</w:t>
      </w:r>
      <w:r>
        <w:rPr>
          <w:rFonts w:hint="default" w:ascii="Times New Roman" w:hAnsi="Times New Roman" w:eastAsia="宋体" w:cs="Times New Roman"/>
          <w:color w:val="000000"/>
          <w:sz w:val="28"/>
          <w:szCs w:val="28"/>
          <w:lang w:val="en-US" w:eastAsia="zh-CN"/>
        </w:rPr>
        <w:t>1520</w:t>
      </w:r>
      <w:r>
        <w:rPr>
          <w:rFonts w:hint="eastAsia" w:ascii="Times New Roman" w:hAnsi="Times New Roman" w:eastAsia="宋体" w:cs="Times New Roman"/>
          <w:color w:val="000000"/>
          <w:sz w:val="28"/>
          <w:szCs w:val="28"/>
          <w:lang w:val="en-US" w:eastAsia="zh-CN"/>
        </w:rPr>
        <w:t>m</w:t>
      </w:r>
      <w:r>
        <w:rPr>
          <w:rFonts w:hint="default" w:ascii="Times New Roman" w:hAnsi="Times New Roman" w:eastAsia="宋体" w:cs="Times New Roman"/>
          <w:color w:val="000000"/>
          <w:sz w:val="28"/>
          <w:szCs w:val="28"/>
          <w:lang w:eastAsia="zh-CN"/>
        </w:rPr>
        <w:t>）。地表水系不发育，地下水补给来源于大气降水，一部分渗入地下，补给地下水，另一部分沿低洼处自然排泄。</w:t>
      </w:r>
    </w:p>
    <w:p w14:paraId="4A97D641">
      <w:pPr>
        <w:keepNext w:val="0"/>
        <w:keepLines w:val="0"/>
        <w:pageBreakBefore w:val="0"/>
        <w:widowControl w:val="0"/>
        <w:kinsoku/>
        <w:wordWrap/>
        <w:overflowPunct/>
        <w:topLinePunct w:val="0"/>
        <w:autoSpaceDE/>
        <w:autoSpaceDN/>
        <w:bidi w:val="0"/>
        <w:adjustRightInd w:val="0"/>
        <w:snapToGrid w:val="0"/>
        <w:spacing w:line="360" w:lineRule="auto"/>
        <w:ind w:firstLine="552" w:firstLineChars="200"/>
        <w:jc w:val="both"/>
        <w:textAlignment w:val="auto"/>
        <w:rPr>
          <w:rFonts w:hint="default" w:ascii="Times New Roman" w:hAnsi="Times New Roman" w:eastAsia="宋体" w:cs="Times New Roman"/>
          <w:color w:val="auto"/>
          <w:kern w:val="0"/>
          <w:lang w:bidi="en-US"/>
        </w:rPr>
      </w:pPr>
      <w:r>
        <w:rPr>
          <w:rFonts w:hint="default" w:ascii="Times New Roman" w:hAnsi="Times New Roman" w:eastAsia="宋体" w:cs="Times New Roman"/>
          <w:color w:val="auto"/>
          <w:sz w:val="28"/>
          <w:szCs w:val="28"/>
          <w:lang w:eastAsia="zh-CN"/>
        </w:rPr>
        <w:t>矿区</w:t>
      </w:r>
      <w:r>
        <w:rPr>
          <w:rFonts w:hint="default" w:ascii="Times New Roman" w:hAnsi="Times New Roman" w:eastAsia="宋体" w:cs="Times New Roman"/>
          <w:color w:val="auto"/>
          <w:sz w:val="28"/>
          <w:szCs w:val="28"/>
        </w:rPr>
        <w:t>属南亚热带气候类型，</w:t>
      </w:r>
      <w:r>
        <w:rPr>
          <w:rFonts w:hint="default" w:ascii="Times New Roman" w:hAnsi="Times New Roman" w:eastAsia="宋体" w:cs="Times New Roman"/>
          <w:bCs/>
          <w:color w:val="auto"/>
          <w:sz w:val="28"/>
          <w:szCs w:val="28"/>
        </w:rPr>
        <w:t>气候特征是终年气候温和，潮湿多雨，冬无严寒，夏无酷暑，春暖干旱，秋凉湿润干湿季节分明。年平均气温16.7℃，全年无霜期305天。年均相对湿度79%，平均降雨量1056.5</w:t>
      </w:r>
      <w:r>
        <w:rPr>
          <w:rFonts w:hint="eastAsia" w:ascii="Times New Roman" w:hAnsi="Times New Roman" w:eastAsia="宋体" w:cs="Times New Roman"/>
          <w:bCs/>
          <w:color w:val="auto"/>
          <w:sz w:val="28"/>
          <w:szCs w:val="28"/>
          <w:lang w:val="en-US" w:eastAsia="zh-CN"/>
        </w:rPr>
        <w:t>mm</w:t>
      </w:r>
      <w:r>
        <w:rPr>
          <w:rFonts w:hint="default" w:ascii="Times New Roman" w:hAnsi="Times New Roman" w:eastAsia="宋体" w:cs="Times New Roman"/>
          <w:bCs/>
          <w:color w:val="auto"/>
          <w:sz w:val="28"/>
          <w:szCs w:val="28"/>
        </w:rPr>
        <w:t>，受季风气候影响，降水量季节分配极不均匀，最多8月为200.5</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，最少1月为13.5</w:t>
      </w:r>
      <w:r>
        <w:rPr>
          <w:rFonts w:hint="eastAsia" w:ascii="Times New Roman" w:hAnsi="Times New Roman" w:eastAsia="宋体" w:cs="Times New Roman"/>
          <w:bCs/>
          <w:color w:val="auto"/>
          <w:sz w:val="28"/>
          <w:szCs w:val="28"/>
          <w:lang w:val="en-US" w:eastAsia="zh-CN"/>
        </w:rPr>
        <w:t>mm</w:t>
      </w:r>
      <w:r>
        <w:rPr>
          <w:rFonts w:hint="default" w:ascii="Times New Roman" w:hAnsi="Times New Roman" w:eastAsia="宋体" w:cs="Times New Roman"/>
          <w:bCs/>
          <w:color w:val="auto"/>
          <w:sz w:val="28"/>
          <w:szCs w:val="28"/>
        </w:rPr>
        <w:t>，季节明显。降水量最多1978年达1253.6</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，最少年1955为599.5</w:t>
      </w:r>
      <w:r>
        <w:rPr>
          <w:rFonts w:hint="eastAsia" w:ascii="Times New Roman" w:hAnsi="Times New Roman" w:eastAsia="宋体" w:cs="Times New Roman"/>
          <w:bCs/>
          <w:color w:val="auto"/>
          <w:sz w:val="28"/>
          <w:szCs w:val="28"/>
          <w:lang w:eastAsia="zh-CN"/>
        </w:rPr>
        <w:t>mm</w:t>
      </w:r>
      <w:r>
        <w:rPr>
          <w:rFonts w:hint="default" w:ascii="Times New Roman" w:hAnsi="Times New Roman" w:eastAsia="宋体" w:cs="Times New Roman"/>
          <w:bCs/>
          <w:color w:val="auto"/>
          <w:sz w:val="28"/>
          <w:szCs w:val="28"/>
        </w:rPr>
        <w:t>，历年日照时数平均值为1857.7</w:t>
      </w:r>
      <w:r>
        <w:rPr>
          <w:rFonts w:hint="default" w:ascii="Times New Roman" w:hAnsi="Times New Roman" w:eastAsia="宋体" w:cs="Times New Roman"/>
          <w:bCs/>
          <w:color w:val="auto"/>
          <w:sz w:val="28"/>
          <w:szCs w:val="28"/>
          <w:lang w:eastAsia="zh-CN"/>
        </w:rPr>
        <w:t>小时</w:t>
      </w:r>
      <w:r>
        <w:rPr>
          <w:rFonts w:hint="default" w:ascii="Times New Roman" w:hAnsi="Times New Roman" w:eastAsia="宋体" w:cs="Times New Roman"/>
          <w:bCs/>
          <w:color w:val="auto"/>
          <w:sz w:val="28"/>
          <w:szCs w:val="28"/>
        </w:rPr>
        <w:t>，年最多风向为西南风和东南风，其次为自西向东的定向风，年均风速2.0</w:t>
      </w:r>
      <w:r>
        <w:rPr>
          <w:rFonts w:hint="eastAsia" w:ascii="Times New Roman" w:hAnsi="Times New Roman" w:cs="Times New Roman"/>
          <w:bCs/>
          <w:color w:val="auto"/>
          <w:sz w:val="28"/>
          <w:szCs w:val="28"/>
          <w:lang w:val="en-US" w:eastAsia="zh-CN"/>
        </w:rPr>
        <w:t>m</w:t>
      </w:r>
      <w:r>
        <w:rPr>
          <w:rFonts w:hint="default" w:ascii="Times New Roman" w:hAnsi="Times New Roman" w:eastAsia="宋体" w:cs="Times New Roman"/>
          <w:bCs/>
          <w:color w:val="auto"/>
          <w:sz w:val="28"/>
          <w:szCs w:val="28"/>
        </w:rPr>
        <w:t>/</w:t>
      </w:r>
      <w:r>
        <w:rPr>
          <w:rFonts w:hint="eastAsia" w:ascii="Times New Roman" w:hAnsi="Times New Roman" w:cs="Times New Roman"/>
          <w:bCs/>
          <w:color w:val="auto"/>
          <w:sz w:val="28"/>
          <w:szCs w:val="28"/>
          <w:lang w:val="en-US" w:eastAsia="zh-CN"/>
        </w:rPr>
        <w:t>s</w:t>
      </w:r>
      <w:r>
        <w:rPr>
          <w:rFonts w:hint="default" w:ascii="Times New Roman" w:hAnsi="Times New Roman" w:eastAsia="宋体" w:cs="Times New Roman"/>
          <w:bCs/>
          <w:color w:val="auto"/>
          <w:sz w:val="28"/>
          <w:szCs w:val="28"/>
        </w:rPr>
        <w:t>，静风频率约20%</w:t>
      </w:r>
      <w:r>
        <w:rPr>
          <w:rFonts w:hint="default" w:ascii="Times New Roman" w:hAnsi="Times New Roman" w:eastAsia="宋体" w:cs="Times New Roman"/>
          <w:color w:val="auto"/>
          <w:kern w:val="0"/>
          <w:lang w:bidi="en-US"/>
        </w:rPr>
        <w:t>。</w:t>
      </w:r>
    </w:p>
    <w:p w14:paraId="01FFA261">
      <w:pPr>
        <w:keepNext w:val="0"/>
        <w:keepLines w:val="0"/>
        <w:pageBreakBefore w:val="0"/>
        <w:widowControl w:val="0"/>
        <w:kinsoku/>
        <w:wordWrap/>
        <w:overflowPunct/>
        <w:topLinePunct w:val="0"/>
        <w:bidi w:val="0"/>
        <w:adjustRightInd w:val="0"/>
        <w:spacing w:line="360" w:lineRule="auto"/>
        <w:ind w:firstLine="552" w:firstLineChars="200"/>
        <w:jc w:val="both"/>
        <w:textAlignment w:val="auto"/>
        <w:rPr>
          <w:rFonts w:hint="default" w:ascii="Times New Roman" w:hAnsi="Times New Roman" w:eastAsia="宋体" w:cs="Times New Roman"/>
          <w:szCs w:val="28"/>
        </w:rPr>
      </w:pPr>
      <w:r>
        <w:rPr>
          <w:rFonts w:hint="default" w:ascii="Times New Roman" w:hAnsi="Times New Roman" w:eastAsia="宋体" w:cs="Times New Roman"/>
          <w:sz w:val="28"/>
          <w:szCs w:val="28"/>
        </w:rPr>
        <w:t>矿区水文地质条件简单，按地下水的赋存条件和水力特性，将矿区地下水划分为孔隙含水层、岩溶裂隙含水层两种类型</w:t>
      </w:r>
      <w:r>
        <w:rPr>
          <w:rFonts w:hint="default" w:ascii="Times New Roman" w:hAnsi="Times New Roman" w:eastAsia="宋体" w:cs="Times New Roman"/>
          <w:szCs w:val="28"/>
        </w:rPr>
        <w:t>。</w:t>
      </w:r>
    </w:p>
    <w:p w14:paraId="1DD5202E">
      <w:pPr>
        <w:keepNext w:val="0"/>
        <w:keepLines w:val="0"/>
        <w:pageBreakBefore w:val="0"/>
        <w:widowControl w:val="0"/>
        <w:kinsoku/>
        <w:wordWrap/>
        <w:overflowPunct/>
        <w:topLinePunct w:val="0"/>
        <w:bidi w:val="0"/>
        <w:adjustRightInd w:val="0"/>
        <w:spacing w:line="360" w:lineRule="auto"/>
        <w:ind w:firstLine="552" w:firstLineChars="200"/>
        <w:jc w:val="both"/>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1、松散岩类孔隙</w:t>
      </w:r>
      <w:r>
        <w:rPr>
          <w:rFonts w:hint="default" w:ascii="Times New Roman" w:hAnsi="Times New Roman" w:eastAsia="宋体" w:cs="Times New Roman"/>
          <w:sz w:val="28"/>
          <w:szCs w:val="28"/>
          <w:lang w:val="en-US" w:eastAsia="zh-CN"/>
        </w:rPr>
        <w:t>含</w:t>
      </w:r>
      <w:r>
        <w:rPr>
          <w:rFonts w:hint="default" w:ascii="Times New Roman" w:hAnsi="Times New Roman" w:eastAsia="宋体" w:cs="Times New Roman"/>
          <w:sz w:val="28"/>
          <w:szCs w:val="28"/>
        </w:rPr>
        <w:t>水</w:t>
      </w:r>
      <w:r>
        <w:rPr>
          <w:rFonts w:hint="default" w:ascii="Times New Roman" w:hAnsi="Times New Roman" w:eastAsia="宋体" w:cs="Times New Roman"/>
          <w:sz w:val="28"/>
          <w:szCs w:val="28"/>
          <w:lang w:val="en-US" w:eastAsia="zh-CN"/>
        </w:rPr>
        <w:t>层（Q）</w:t>
      </w:r>
      <w:r>
        <w:rPr>
          <w:rFonts w:hint="default" w:ascii="Times New Roman" w:hAnsi="Times New Roman" w:eastAsia="宋体" w:cs="Times New Roman"/>
          <w:sz w:val="28"/>
          <w:szCs w:val="28"/>
        </w:rPr>
        <w:t>：赋存于近地表处，含水层为第四系松散堆积层，由于矿区内的第四系少量松散堆积层为粉质粘土夹角砾，透水性弱，富水性弱，对采矿活动无影响。</w:t>
      </w:r>
    </w:p>
    <w:p w14:paraId="10F0489A">
      <w:pPr>
        <w:keepNext w:val="0"/>
        <w:keepLines w:val="0"/>
        <w:pageBreakBefore w:val="0"/>
        <w:widowControl w:val="0"/>
        <w:kinsoku/>
        <w:wordWrap/>
        <w:overflowPunct/>
        <w:topLinePunct w:val="0"/>
        <w:bidi w:val="0"/>
        <w:adjustRightInd w:val="0"/>
        <w:spacing w:line="360" w:lineRule="auto"/>
        <w:ind w:firstLine="552" w:firstLineChars="200"/>
        <w:jc w:val="both"/>
        <w:textAlignment w:val="auto"/>
        <w:rPr>
          <w:rFonts w:hint="default" w:ascii="Times New Roman" w:hAnsi="Times New Roman" w:eastAsia="宋体" w:cs="Times New Roman"/>
          <w:sz w:val="28"/>
          <w:szCs w:val="28"/>
        </w:rPr>
      </w:pPr>
      <w:r>
        <w:rPr>
          <w:rFonts w:hint="default" w:ascii="Times New Roman" w:hAnsi="Times New Roman" w:eastAsia="宋体" w:cs="Times New Roman"/>
          <w:sz w:val="28"/>
          <w:szCs w:val="28"/>
        </w:rPr>
        <w:t>2、岩溶裂隙含水层</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pacing w:val="11"/>
          <w:sz w:val="28"/>
          <w:szCs w:val="28"/>
          <w:lang w:val="en-US" w:eastAsia="zh-CN"/>
        </w:rPr>
        <w:t>D</w:t>
      </w:r>
      <w:r>
        <w:rPr>
          <w:rFonts w:hint="default" w:ascii="Times New Roman" w:hAnsi="Times New Roman" w:eastAsia="宋体" w:cs="Times New Roman"/>
          <w:spacing w:val="11"/>
          <w:sz w:val="28"/>
          <w:szCs w:val="28"/>
          <w:vertAlign w:val="subscript"/>
          <w:lang w:val="en-US" w:eastAsia="zh-CN"/>
        </w:rPr>
        <w:t>2</w:t>
      </w:r>
      <w:r>
        <w:rPr>
          <w:rFonts w:hint="default" w:ascii="Times New Roman" w:hAnsi="Times New Roman" w:eastAsia="宋体" w:cs="Times New Roman"/>
          <w:spacing w:val="11"/>
          <w:sz w:val="28"/>
          <w:szCs w:val="28"/>
          <w:lang w:val="en-US" w:eastAsia="zh-CN"/>
        </w:rPr>
        <w:t>d</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：赋存于矿区内</w:t>
      </w:r>
      <w:r>
        <w:rPr>
          <w:rFonts w:hint="default" w:ascii="Times New Roman" w:hAnsi="Times New Roman" w:eastAsia="宋体" w:cs="Times New Roman"/>
          <w:spacing w:val="11"/>
          <w:sz w:val="28"/>
          <w:szCs w:val="28"/>
          <w:lang w:val="en-US" w:eastAsia="zh-CN"/>
        </w:rPr>
        <w:t>泥盆系中统东岗岭组（D</w:t>
      </w:r>
      <w:r>
        <w:rPr>
          <w:rFonts w:hint="default" w:ascii="Times New Roman" w:hAnsi="Times New Roman" w:eastAsia="宋体" w:cs="Times New Roman"/>
          <w:spacing w:val="11"/>
          <w:sz w:val="28"/>
          <w:szCs w:val="28"/>
          <w:vertAlign w:val="subscript"/>
          <w:lang w:val="en-US" w:eastAsia="zh-CN"/>
        </w:rPr>
        <w:t>2</w:t>
      </w:r>
      <w:r>
        <w:rPr>
          <w:rFonts w:hint="default" w:ascii="Times New Roman" w:hAnsi="Times New Roman" w:eastAsia="宋体" w:cs="Times New Roman"/>
          <w:spacing w:val="11"/>
          <w:sz w:val="28"/>
          <w:szCs w:val="28"/>
          <w:lang w:val="en-US" w:eastAsia="zh-CN"/>
        </w:rPr>
        <w:t>d）</w:t>
      </w:r>
      <w:r>
        <w:rPr>
          <w:rFonts w:hint="default" w:ascii="Times New Roman" w:hAnsi="Times New Roman" w:eastAsia="宋体" w:cs="Times New Roman"/>
          <w:sz w:val="28"/>
          <w:szCs w:val="28"/>
        </w:rPr>
        <w:t>岩层中，含水层以岩石中的节理裂隙为地下水的赋存场所及运移通道，富水性及透水性取决于节理裂隙分布与连通情况，具各向异性，富水性弱。补给来源于大气降水及孔隙水下渗，沿节理裂隙运移，径流途径较长，水循环较缓慢。</w:t>
      </w:r>
    </w:p>
    <w:p w14:paraId="2E593734">
      <w:pPr>
        <w:pStyle w:val="12"/>
        <w:keepNext w:val="0"/>
        <w:keepLines w:val="0"/>
        <w:pageBreakBefore w:val="0"/>
        <w:widowControl w:val="0"/>
        <w:kinsoku/>
        <w:wordWrap/>
        <w:overflowPunct/>
        <w:topLinePunct w:val="0"/>
        <w:bidi w:val="0"/>
        <w:adjustRightInd w:val="0"/>
        <w:spacing w:line="360" w:lineRule="auto"/>
        <w:ind w:firstLine="560" w:firstLineChars="200"/>
        <w:jc w:val="both"/>
        <w:textAlignment w:val="auto"/>
        <w:rPr>
          <w:rFonts w:hint="default" w:ascii="Times New Roman" w:hAnsi="Times New Roman" w:eastAsia="宋体" w:cs="Times New Roman"/>
          <w:sz w:val="28"/>
          <w:szCs w:val="28"/>
          <w:lang w:eastAsia="zh-CN"/>
        </w:rPr>
      </w:pPr>
      <w:r>
        <w:rPr>
          <w:rFonts w:hint="default" w:ascii="Times New Roman" w:hAnsi="Times New Roman" w:eastAsia="宋体" w:cs="Times New Roman"/>
          <w:sz w:val="28"/>
          <w:szCs w:val="28"/>
        </w:rPr>
        <w:t>由于矿区开采标高范围均在当地最低侵蚀基准面</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lang w:val="en-US" w:eastAsia="zh-CN"/>
        </w:rPr>
        <w:t>1520</w:t>
      </w:r>
      <w:r>
        <w:rPr>
          <w:rFonts w:hint="eastAsia" w:ascii="Times New Roman" w:hAnsi="Times New Roman" w:eastAsia="宋体" w:cs="Times New Roman"/>
          <w:sz w:val="28"/>
          <w:szCs w:val="28"/>
          <w:lang w:val="en-US" w:eastAsia="zh-CN"/>
        </w:rPr>
        <w:t>m</w:t>
      </w:r>
      <w:r>
        <w:rPr>
          <w:rFonts w:hint="default" w:ascii="Times New Roman" w:hAnsi="Times New Roman" w:eastAsia="宋体" w:cs="Times New Roman"/>
          <w:sz w:val="28"/>
          <w:szCs w:val="28"/>
          <w:lang w:eastAsia="zh-CN"/>
        </w:rPr>
        <w:t>）</w:t>
      </w:r>
      <w:r>
        <w:rPr>
          <w:rFonts w:hint="default" w:ascii="Times New Roman" w:hAnsi="Times New Roman" w:eastAsia="宋体" w:cs="Times New Roman"/>
          <w:sz w:val="28"/>
          <w:szCs w:val="28"/>
        </w:rPr>
        <w:t>以上，因此，地下水对采矿活动无影响</w:t>
      </w:r>
      <w:r>
        <w:rPr>
          <w:rFonts w:hint="default" w:ascii="Times New Roman" w:hAnsi="Times New Roman" w:eastAsia="宋体" w:cs="Times New Roman"/>
          <w:sz w:val="28"/>
          <w:szCs w:val="28"/>
          <w:lang w:eastAsia="zh-CN"/>
        </w:rPr>
        <w:t>。</w:t>
      </w:r>
    </w:p>
    <w:p w14:paraId="523CB410">
      <w:pPr>
        <w:keepNext w:val="0"/>
        <w:keepLines w:val="0"/>
        <w:pageBreakBefore w:val="0"/>
        <w:widowControl w:val="0"/>
        <w:kinsoku/>
        <w:wordWrap/>
        <w:overflowPunct/>
        <w:topLinePunct w:val="0"/>
        <w:bidi w:val="0"/>
        <w:adjustRightInd w:val="0"/>
        <w:spacing w:line="360" w:lineRule="auto"/>
        <w:ind w:firstLine="552" w:firstLineChars="200"/>
        <w:jc w:val="both"/>
        <w:textAlignment w:val="auto"/>
        <w:rPr>
          <w:rFonts w:hint="default" w:ascii="Times New Roman" w:hAnsi="Times New Roman" w:eastAsia="宋体" w:cs="Times New Roman"/>
          <w:bCs/>
          <w:sz w:val="28"/>
          <w:szCs w:val="28"/>
        </w:rPr>
      </w:pPr>
      <w:r>
        <w:rPr>
          <w:rFonts w:hint="default" w:ascii="Times New Roman" w:hAnsi="Times New Roman" w:eastAsia="宋体" w:cs="Times New Roman"/>
          <w:bCs/>
          <w:sz w:val="28"/>
          <w:szCs w:val="28"/>
        </w:rPr>
        <w:t>矿区岩溶含水层富水性中等，地下水位埋藏较深</w:t>
      </w:r>
      <w:r>
        <w:rPr>
          <w:rFonts w:hint="eastAsia" w:ascii="Times New Roman" w:hAnsi="Times New Roman" w:eastAsia="宋体" w:cs="Times New Roman"/>
          <w:bCs/>
          <w:sz w:val="28"/>
          <w:szCs w:val="28"/>
          <w:lang w:eastAsia="zh-CN"/>
        </w:rPr>
        <w:t>，</w:t>
      </w:r>
      <w:r>
        <w:rPr>
          <w:rFonts w:hint="default" w:ascii="Times New Roman" w:hAnsi="Times New Roman" w:eastAsia="宋体" w:cs="Times New Roman"/>
          <w:bCs/>
          <w:sz w:val="28"/>
          <w:szCs w:val="28"/>
        </w:rPr>
        <w:t>矿区最低开采标高</w:t>
      </w:r>
      <w:r>
        <w:rPr>
          <w:rFonts w:hint="default" w:ascii="Times New Roman" w:hAnsi="Times New Roman" w:eastAsia="宋体" w:cs="Times New Roman"/>
          <w:sz w:val="28"/>
          <w:szCs w:val="28"/>
        </w:rPr>
        <w:t>位于地下水位之上</w:t>
      </w:r>
      <w:r>
        <w:rPr>
          <w:rFonts w:hint="default" w:ascii="Times New Roman" w:hAnsi="Times New Roman" w:eastAsia="宋体" w:cs="Times New Roman"/>
          <w:bCs/>
          <w:sz w:val="28"/>
          <w:szCs w:val="28"/>
        </w:rPr>
        <w:t>，地形有利于雨季地表水径流，只需注意雨季暴雨防洪排泄，不易出现矿坑涌水现象，地下水对矿床开采影响不大，矿床开发不存在涌、突水问题，开采后没有明显的水文地质变化。</w:t>
      </w:r>
    </w:p>
    <w:p w14:paraId="24340E4B">
      <w:pPr>
        <w:rPr>
          <w:color w:val="auto"/>
        </w:rPr>
      </w:pPr>
      <w:r>
        <w:rPr>
          <w:rFonts w:hint="default" w:ascii="Times New Roman" w:hAnsi="Times New Roman" w:eastAsia="宋体" w:cs="Times New Roman"/>
          <w:bCs/>
          <w:sz w:val="28"/>
          <w:szCs w:val="28"/>
        </w:rPr>
        <w:t>矿区水文地质</w:t>
      </w:r>
      <w:r>
        <w:rPr>
          <w:rFonts w:hint="default" w:ascii="Times New Roman" w:hAnsi="Times New Roman" w:eastAsia="宋体" w:cs="Times New Roman"/>
          <w:bCs/>
          <w:sz w:val="28"/>
          <w:szCs w:val="28"/>
          <w:lang w:val="en-US" w:eastAsia="zh-CN"/>
        </w:rPr>
        <w:t>勘查类型属岩溶裂隙含水层充水为主的简单类型</w:t>
      </w:r>
      <w:r>
        <w:rPr>
          <w:rFonts w:hint="eastAsia"/>
          <w:color w:val="auto"/>
        </w:rPr>
        <w:t>。</w:t>
      </w:r>
    </w:p>
    <w:p w14:paraId="410F2924">
      <w:pPr>
        <w:pStyle w:val="4"/>
        <w:bidi w:val="0"/>
      </w:pPr>
      <w:bookmarkStart w:id="173" w:name="_Toc5693"/>
      <w:r>
        <w:t>2.3.</w:t>
      </w:r>
      <w:r>
        <w:rPr>
          <w:rFonts w:hint="eastAsia"/>
          <w:lang w:val="en-US" w:eastAsia="zh-CN"/>
        </w:rPr>
        <w:t>3</w:t>
      </w:r>
      <w:r>
        <w:t>工程地质概况</w:t>
      </w:r>
      <w:bookmarkEnd w:id="172"/>
      <w:bookmarkEnd w:id="173"/>
    </w:p>
    <w:p w14:paraId="69BAAE95">
      <w:pPr>
        <w:keepNext w:val="0"/>
        <w:keepLines w:val="0"/>
        <w:pageBreakBefore w:val="0"/>
        <w:widowControl w:val="0"/>
        <w:kinsoku/>
        <w:wordWrap/>
        <w:overflowPunct/>
        <w:topLinePunct w:val="0"/>
        <w:autoSpaceDE/>
        <w:autoSpaceDN/>
        <w:bidi w:val="0"/>
        <w:adjustRightInd w:val="0"/>
        <w:snapToGrid w:val="0"/>
        <w:spacing w:line="360" w:lineRule="auto"/>
        <w:ind w:left="-8" w:leftChars="-3" w:firstLine="552" w:firstLineChars="200"/>
        <w:textAlignment w:val="auto"/>
        <w:rPr>
          <w:rFonts w:hint="default" w:ascii="Times New Roman" w:hAnsi="Times New Roman" w:eastAsia="宋体" w:cs="Times New Roman"/>
          <w:color w:val="auto"/>
          <w:sz w:val="28"/>
          <w:szCs w:val="28"/>
        </w:rPr>
      </w:pPr>
      <w:bookmarkStart w:id="174" w:name="bookmark24"/>
      <w:bookmarkEnd w:id="174"/>
      <w:bookmarkStart w:id="175" w:name="_Toc6094"/>
      <w:r>
        <w:rPr>
          <w:rFonts w:hint="default" w:ascii="Times New Roman" w:hAnsi="Times New Roman" w:eastAsia="宋体" w:cs="Times New Roman"/>
          <w:color w:val="auto"/>
          <w:sz w:val="28"/>
          <w:szCs w:val="28"/>
        </w:rPr>
        <w:t>区出露岩层较简单，根据地层岩性、结构构造、裂隙发育情况以及岩石风化程度等，按照《岩土工程勘察规范》（GB50021－2001）的有关规定，将矿区岩、土体划分为散体结构松散岩组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eq \o\ac(</w:instrText>
      </w:r>
      <w:r>
        <w:rPr>
          <w:rFonts w:hint="eastAsia" w:ascii="宋体" w:hAnsi="宋体" w:eastAsia="宋体" w:cs="宋体"/>
          <w:color w:val="auto"/>
          <w:position w:val="-5"/>
          <w:sz w:val="42"/>
          <w:szCs w:val="28"/>
        </w:rPr>
        <w:instrText xml:space="preserve">○</w:instrText>
      </w:r>
      <w:r>
        <w:rPr>
          <w:rFonts w:hint="eastAsia" w:ascii="宋体" w:hAnsi="宋体" w:eastAsia="宋体" w:cs="宋体"/>
          <w:color w:val="auto"/>
          <w:position w:val="0"/>
          <w:sz w:val="28"/>
          <w:szCs w:val="28"/>
        </w:rPr>
        <w:instrText xml:space="preserve">,Ⅰ)</w:instrTex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lang w:eastAsia="zh-CN"/>
        </w:rPr>
        <w:t>）</w:t>
      </w:r>
      <w:r>
        <w:rPr>
          <w:rFonts w:hint="default" w:ascii="Times New Roman" w:hAnsi="Times New Roman" w:eastAsia="宋体" w:cs="Times New Roman"/>
          <w:color w:val="auto"/>
          <w:sz w:val="28"/>
          <w:szCs w:val="28"/>
        </w:rPr>
        <w:t>、坚硬</w:t>
      </w:r>
      <w:r>
        <w:rPr>
          <w:rFonts w:hint="default" w:ascii="Times New Roman" w:hAnsi="Times New Roman" w:eastAsia="宋体" w:cs="Times New Roman"/>
          <w:color w:val="auto"/>
          <w:sz w:val="28"/>
          <w:szCs w:val="28"/>
          <w:lang w:val="en-US" w:eastAsia="zh-CN"/>
        </w:rPr>
        <w:t>中</w:t>
      </w:r>
      <w:r>
        <w:rPr>
          <w:rFonts w:hint="default" w:ascii="Times New Roman" w:hAnsi="Times New Roman" w:eastAsia="宋体" w:cs="Times New Roman"/>
          <w:color w:val="auto"/>
          <w:sz w:val="28"/>
          <w:szCs w:val="28"/>
        </w:rPr>
        <w:t>厚层状结构中等岩溶化灰岩岩组</w:t>
      </w:r>
      <w:r>
        <w:rPr>
          <w:rFonts w:hint="eastAsia" w:ascii="宋体" w:hAnsi="宋体" w:eastAsia="宋体" w:cs="宋体"/>
          <w:color w:val="auto"/>
          <w:sz w:val="28"/>
          <w:szCs w:val="28"/>
          <w:lang w:eastAsia="zh-CN"/>
        </w:rPr>
        <w:t>（</w:t>
      </w: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eq \o\ac(</w:instrText>
      </w:r>
      <w:r>
        <w:rPr>
          <w:rFonts w:hint="eastAsia" w:ascii="宋体" w:hAnsi="宋体" w:eastAsia="宋体" w:cs="宋体"/>
          <w:color w:val="auto"/>
          <w:position w:val="-5"/>
          <w:sz w:val="42"/>
          <w:szCs w:val="28"/>
        </w:rPr>
        <w:instrText xml:space="preserve">○</w:instrText>
      </w:r>
      <w:r>
        <w:rPr>
          <w:rFonts w:hint="eastAsia" w:ascii="宋体" w:hAnsi="宋体" w:eastAsia="宋体" w:cs="宋体"/>
          <w:color w:val="auto"/>
          <w:position w:val="0"/>
          <w:sz w:val="28"/>
          <w:szCs w:val="28"/>
        </w:rPr>
        <w:instrText xml:space="preserve">,Ⅱ)</w:instrText>
      </w:r>
      <w:r>
        <w:rPr>
          <w:rFonts w:hint="eastAsia" w:ascii="宋体" w:hAnsi="宋体" w:eastAsia="宋体" w:cs="宋体"/>
          <w:color w:val="auto"/>
          <w:sz w:val="28"/>
          <w:szCs w:val="28"/>
        </w:rPr>
        <w:fldChar w:fldCharType="end"/>
      </w:r>
      <w:r>
        <w:rPr>
          <w:rFonts w:hint="eastAsia" w:ascii="宋体" w:hAnsi="宋体" w:eastAsia="宋体" w:cs="宋体"/>
          <w:color w:val="auto"/>
          <w:sz w:val="28"/>
          <w:szCs w:val="28"/>
          <w:lang w:eastAsia="zh-CN"/>
        </w:rPr>
        <w:t>）</w:t>
      </w:r>
      <w:r>
        <w:rPr>
          <w:rFonts w:hint="default" w:ascii="Times New Roman" w:hAnsi="Times New Roman" w:eastAsia="宋体" w:cs="Times New Roman"/>
          <w:color w:val="auto"/>
          <w:sz w:val="28"/>
          <w:szCs w:val="28"/>
        </w:rPr>
        <w:t>。详见表</w:t>
      </w:r>
      <w:r>
        <w:rPr>
          <w:rFonts w:hint="default" w:ascii="Times New Roman" w:hAnsi="Times New Roman" w:eastAsia="宋体" w:cs="Times New Roman"/>
          <w:color w:val="auto"/>
          <w:sz w:val="28"/>
          <w:szCs w:val="28"/>
          <w:lang w:val="en-US" w:eastAsia="zh-CN"/>
        </w:rPr>
        <w:t>2.</w:t>
      </w:r>
      <w:r>
        <w:rPr>
          <w:rFonts w:hint="eastAsia" w:ascii="Times New Roman" w:hAnsi="Times New Roman" w:eastAsia="宋体" w:cs="Times New Roman"/>
          <w:color w:val="auto"/>
          <w:sz w:val="28"/>
          <w:szCs w:val="28"/>
          <w:lang w:val="en-US" w:eastAsia="zh-CN"/>
        </w:rPr>
        <w:t>3</w:t>
      </w:r>
      <w:r>
        <w:rPr>
          <w:rFonts w:hint="default" w:ascii="Times New Roman" w:hAnsi="Times New Roman" w:eastAsia="宋体" w:cs="Times New Roman"/>
          <w:color w:val="auto"/>
          <w:sz w:val="28"/>
          <w:szCs w:val="28"/>
        </w:rPr>
        <w:t>-</w:t>
      </w:r>
      <w:r>
        <w:rPr>
          <w:rFonts w:hint="default" w:ascii="Times New Roman" w:hAnsi="Times New Roman" w:eastAsia="宋体" w:cs="Times New Roman"/>
          <w:color w:val="auto"/>
          <w:sz w:val="28"/>
          <w:szCs w:val="28"/>
          <w:lang w:val="en-US" w:eastAsia="zh-CN"/>
        </w:rPr>
        <w:t>1</w:t>
      </w:r>
      <w:r>
        <w:rPr>
          <w:rFonts w:hint="default" w:ascii="Times New Roman" w:hAnsi="Times New Roman" w:eastAsia="宋体" w:cs="Times New Roman"/>
          <w:color w:val="auto"/>
          <w:sz w:val="28"/>
          <w:szCs w:val="28"/>
        </w:rPr>
        <w:t>。</w:t>
      </w:r>
    </w:p>
    <w:p w14:paraId="6AA547DC">
      <w:pPr>
        <w:spacing w:line="240" w:lineRule="auto"/>
        <w:jc w:val="center"/>
        <w:rPr>
          <w:rFonts w:hint="default" w:ascii="Times New Roman" w:hAnsi="Times New Roman" w:eastAsia="宋体" w:cs="Times New Roman"/>
          <w:color w:val="auto"/>
          <w:sz w:val="24"/>
        </w:rPr>
      </w:pPr>
      <w:r>
        <w:rPr>
          <w:rFonts w:hint="default" w:ascii="Times New Roman" w:hAnsi="Times New Roman" w:eastAsia="宋体" w:cs="Times New Roman"/>
          <w:color w:val="auto"/>
          <w:sz w:val="24"/>
        </w:rPr>
        <w:t>表</w:t>
      </w:r>
      <w:r>
        <w:rPr>
          <w:rFonts w:hint="default" w:ascii="Times New Roman" w:hAnsi="Times New Roman" w:eastAsia="宋体" w:cs="Times New Roman"/>
          <w:color w:val="auto"/>
          <w:sz w:val="24"/>
          <w:lang w:val="en-US" w:eastAsia="zh-CN"/>
        </w:rPr>
        <w:t>2.</w:t>
      </w:r>
      <w:r>
        <w:rPr>
          <w:rFonts w:hint="eastAsia" w:ascii="Times New Roman" w:hAnsi="Times New Roman" w:eastAsia="宋体" w:cs="Times New Roman"/>
          <w:color w:val="auto"/>
          <w:sz w:val="24"/>
          <w:lang w:val="en-US" w:eastAsia="zh-CN"/>
        </w:rPr>
        <w:t>3</w:t>
      </w:r>
      <w:r>
        <w:rPr>
          <w:rFonts w:hint="default" w:ascii="Times New Roman" w:hAnsi="Times New Roman" w:eastAsia="宋体" w:cs="Times New Roman"/>
          <w:color w:val="auto"/>
          <w:sz w:val="24"/>
          <w:lang w:val="en-US" w:eastAsia="zh-CN"/>
        </w:rPr>
        <w:t>-1</w:t>
      </w:r>
      <w:r>
        <w:rPr>
          <w:rFonts w:hint="default" w:ascii="Times New Roman" w:hAnsi="Times New Roman" w:eastAsia="宋体" w:cs="Times New Roman"/>
          <w:bCs/>
          <w:color w:val="auto"/>
          <w:sz w:val="24"/>
        </w:rPr>
        <w:t>岩土体工程地质特征表</w:t>
      </w:r>
    </w:p>
    <w:tbl>
      <w:tblPr>
        <w:tblStyle w:val="35"/>
        <w:tblW w:w="950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57" w:type="dxa"/>
          <w:bottom w:w="0" w:type="dxa"/>
          <w:right w:w="57" w:type="dxa"/>
        </w:tblCellMar>
      </w:tblPr>
      <w:tblGrid>
        <w:gridCol w:w="788"/>
        <w:gridCol w:w="1241"/>
        <w:gridCol w:w="900"/>
        <w:gridCol w:w="832"/>
        <w:gridCol w:w="982"/>
        <w:gridCol w:w="4759"/>
      </w:tblGrid>
      <w:tr w14:paraId="21B19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03" w:hRule="atLeast"/>
        </w:trPr>
        <w:tc>
          <w:tcPr>
            <w:tcW w:w="2029" w:type="dxa"/>
            <w:gridSpan w:val="2"/>
            <w:noWrap w:val="0"/>
            <w:vAlign w:val="center"/>
          </w:tcPr>
          <w:p w14:paraId="0E3D75FB">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工程地质岩组</w:t>
            </w:r>
          </w:p>
        </w:tc>
        <w:tc>
          <w:tcPr>
            <w:tcW w:w="900" w:type="dxa"/>
            <w:vMerge w:val="restart"/>
            <w:noWrap w:val="0"/>
            <w:vAlign w:val="center"/>
          </w:tcPr>
          <w:p w14:paraId="0BA9DE0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岩土体</w:t>
            </w:r>
          </w:p>
          <w:p w14:paraId="5DECC1FF">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结构</w:t>
            </w:r>
          </w:p>
        </w:tc>
        <w:tc>
          <w:tcPr>
            <w:tcW w:w="832" w:type="dxa"/>
            <w:vMerge w:val="restart"/>
            <w:noWrap w:val="0"/>
            <w:vAlign w:val="center"/>
          </w:tcPr>
          <w:p w14:paraId="5E5BC295">
            <w:pPr>
              <w:pStyle w:val="22"/>
              <w:keepNext w:val="0"/>
              <w:keepLines w:val="0"/>
              <w:pageBreakBefore w:val="0"/>
              <w:pBdr>
                <w:bottom w:val="none" w:color="auto" w:sz="0" w:space="0"/>
              </w:pBdr>
              <w:tabs>
                <w:tab w:val="left" w:pos="420"/>
              </w:tabs>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地层</w:t>
            </w:r>
          </w:p>
          <w:p w14:paraId="710B676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代号</w:t>
            </w:r>
          </w:p>
        </w:tc>
        <w:tc>
          <w:tcPr>
            <w:tcW w:w="982" w:type="dxa"/>
            <w:vMerge w:val="restart"/>
            <w:noWrap w:val="0"/>
            <w:vAlign w:val="center"/>
          </w:tcPr>
          <w:p w14:paraId="25C9317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主要岩性组合</w:t>
            </w:r>
          </w:p>
        </w:tc>
        <w:tc>
          <w:tcPr>
            <w:tcW w:w="4759" w:type="dxa"/>
            <w:vMerge w:val="restart"/>
            <w:noWrap w:val="0"/>
            <w:vAlign w:val="center"/>
          </w:tcPr>
          <w:p w14:paraId="5E1C773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岩体土工程地质特征</w:t>
            </w:r>
          </w:p>
        </w:tc>
      </w:tr>
      <w:tr w14:paraId="7FD347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cantSplit/>
          <w:trHeight w:val="203" w:hRule="atLeast"/>
        </w:trPr>
        <w:tc>
          <w:tcPr>
            <w:tcW w:w="788" w:type="dxa"/>
            <w:noWrap w:val="0"/>
            <w:vAlign w:val="center"/>
          </w:tcPr>
          <w:p w14:paraId="6E078E5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编号</w:t>
            </w:r>
          </w:p>
        </w:tc>
        <w:tc>
          <w:tcPr>
            <w:tcW w:w="1241" w:type="dxa"/>
            <w:noWrap w:val="0"/>
            <w:vAlign w:val="center"/>
          </w:tcPr>
          <w:p w14:paraId="39E2CC0D">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名称</w:t>
            </w:r>
          </w:p>
        </w:tc>
        <w:tc>
          <w:tcPr>
            <w:tcW w:w="900" w:type="dxa"/>
            <w:vMerge w:val="continue"/>
            <w:noWrap w:val="0"/>
            <w:vAlign w:val="center"/>
          </w:tcPr>
          <w:p w14:paraId="2D5329E7">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832" w:type="dxa"/>
            <w:vMerge w:val="continue"/>
            <w:noWrap w:val="0"/>
            <w:vAlign w:val="center"/>
          </w:tcPr>
          <w:p w14:paraId="28C15905">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982" w:type="dxa"/>
            <w:vMerge w:val="continue"/>
            <w:noWrap w:val="0"/>
            <w:vAlign w:val="center"/>
          </w:tcPr>
          <w:p w14:paraId="3D7B1084">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p>
        </w:tc>
        <w:tc>
          <w:tcPr>
            <w:tcW w:w="4759" w:type="dxa"/>
            <w:vMerge w:val="continue"/>
            <w:noWrap w:val="0"/>
            <w:vAlign w:val="center"/>
          </w:tcPr>
          <w:p w14:paraId="17448F0A">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p>
        </w:tc>
      </w:tr>
      <w:tr w14:paraId="4485BC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659" w:hRule="atLeast"/>
        </w:trPr>
        <w:tc>
          <w:tcPr>
            <w:tcW w:w="788" w:type="dxa"/>
            <w:noWrap w:val="0"/>
            <w:vAlign w:val="center"/>
          </w:tcPr>
          <w:p w14:paraId="3227E4D9">
            <w:pPr>
              <w:keepNext w:val="0"/>
              <w:keepLines w:val="0"/>
              <w:pageBreakBefore w:val="0"/>
              <w:widowControl/>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eq \o\ac(</w:instrText>
            </w:r>
            <w:r>
              <w:rPr>
                <w:rFonts w:hint="eastAsia" w:ascii="宋体" w:hAnsi="宋体" w:eastAsia="宋体" w:cs="宋体"/>
                <w:color w:val="auto"/>
                <w:position w:val="-5"/>
                <w:sz w:val="42"/>
                <w:szCs w:val="28"/>
              </w:rPr>
              <w:instrText xml:space="preserve">○</w:instrText>
            </w:r>
            <w:r>
              <w:rPr>
                <w:rFonts w:hint="eastAsia" w:ascii="宋体" w:hAnsi="宋体" w:eastAsia="宋体" w:cs="宋体"/>
                <w:color w:val="auto"/>
                <w:position w:val="0"/>
                <w:sz w:val="28"/>
                <w:szCs w:val="28"/>
              </w:rPr>
              <w:instrText xml:space="preserve">,Ⅰ)</w:instrText>
            </w:r>
            <w:r>
              <w:rPr>
                <w:rFonts w:hint="eastAsia" w:ascii="宋体" w:hAnsi="宋体" w:eastAsia="宋体" w:cs="宋体"/>
                <w:color w:val="auto"/>
                <w:sz w:val="28"/>
                <w:szCs w:val="28"/>
              </w:rPr>
              <w:fldChar w:fldCharType="end"/>
            </w:r>
          </w:p>
        </w:tc>
        <w:tc>
          <w:tcPr>
            <w:tcW w:w="1241" w:type="dxa"/>
            <w:noWrap w:val="0"/>
            <w:vAlign w:val="center"/>
          </w:tcPr>
          <w:p w14:paraId="3C134ECF">
            <w:pPr>
              <w:pStyle w:val="50"/>
              <w:bidi w:val="0"/>
              <w:rPr>
                <w:rFonts w:hint="default"/>
              </w:rPr>
            </w:pPr>
            <w:r>
              <w:rPr>
                <w:rFonts w:hint="default"/>
              </w:rPr>
              <w:t>松散</w:t>
            </w:r>
          </w:p>
          <w:p w14:paraId="53DC216F">
            <w:pPr>
              <w:pStyle w:val="50"/>
              <w:bidi w:val="0"/>
              <w:rPr>
                <w:rFonts w:hint="default"/>
              </w:rPr>
            </w:pPr>
            <w:r>
              <w:rPr>
                <w:rFonts w:hint="default"/>
              </w:rPr>
              <w:t>岩组</w:t>
            </w:r>
          </w:p>
        </w:tc>
        <w:tc>
          <w:tcPr>
            <w:tcW w:w="900" w:type="dxa"/>
            <w:noWrap w:val="0"/>
            <w:vAlign w:val="center"/>
          </w:tcPr>
          <w:p w14:paraId="01A16E70">
            <w:pPr>
              <w:pStyle w:val="50"/>
              <w:bidi w:val="0"/>
              <w:rPr>
                <w:rFonts w:hint="default"/>
              </w:rPr>
            </w:pPr>
            <w:r>
              <w:rPr>
                <w:rFonts w:hint="default"/>
              </w:rPr>
              <w:t>散体</w:t>
            </w:r>
          </w:p>
          <w:p w14:paraId="0DCC98BC">
            <w:pPr>
              <w:pStyle w:val="50"/>
              <w:bidi w:val="0"/>
              <w:rPr>
                <w:rFonts w:hint="default"/>
              </w:rPr>
            </w:pPr>
            <w:r>
              <w:rPr>
                <w:rFonts w:hint="default"/>
              </w:rPr>
              <w:t>结构</w:t>
            </w:r>
          </w:p>
        </w:tc>
        <w:tc>
          <w:tcPr>
            <w:tcW w:w="832" w:type="dxa"/>
            <w:noWrap w:val="0"/>
            <w:vAlign w:val="center"/>
          </w:tcPr>
          <w:p w14:paraId="76CB7502">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Q</w:t>
            </w:r>
            <w:r>
              <w:rPr>
                <w:rFonts w:hint="default" w:ascii="Times New Roman" w:hAnsi="Times New Roman" w:eastAsia="宋体" w:cs="Times New Roman"/>
                <w:color w:val="auto"/>
                <w:sz w:val="21"/>
                <w:szCs w:val="21"/>
                <w:vertAlign w:val="superscript"/>
              </w:rPr>
              <w:t>el+dl</w:t>
            </w:r>
          </w:p>
        </w:tc>
        <w:tc>
          <w:tcPr>
            <w:tcW w:w="982" w:type="dxa"/>
            <w:noWrap w:val="0"/>
            <w:vAlign w:val="center"/>
          </w:tcPr>
          <w:p w14:paraId="0EFA5EC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rPr>
              <w:t>粘土、岩石碎块</w:t>
            </w:r>
          </w:p>
        </w:tc>
        <w:tc>
          <w:tcPr>
            <w:tcW w:w="4759" w:type="dxa"/>
            <w:noWrap w:val="0"/>
            <w:vAlign w:val="center"/>
          </w:tcPr>
          <w:p w14:paraId="05C737DF">
            <w:pPr>
              <w:pStyle w:val="50"/>
              <w:bidi w:val="0"/>
              <w:rPr>
                <w:rFonts w:hint="default"/>
              </w:rPr>
            </w:pPr>
            <w:r>
              <w:rPr>
                <w:rFonts w:hint="default"/>
              </w:rPr>
              <w:t>为残坡积粘土、粉质粘土，稍湿，软塑，厚度不均匀，易受季节性降雨冲蚀，强度低，因其厚度较小，对未来矿坑边坡稳定性无影响。</w:t>
            </w:r>
          </w:p>
        </w:tc>
      </w:tr>
      <w:tr w14:paraId="6C76FE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57" w:type="dxa"/>
            <w:bottom w:w="0" w:type="dxa"/>
            <w:right w:w="57" w:type="dxa"/>
          </w:tblCellMar>
        </w:tblPrEx>
        <w:trPr>
          <w:trHeight w:val="1292" w:hRule="atLeast"/>
        </w:trPr>
        <w:tc>
          <w:tcPr>
            <w:tcW w:w="788" w:type="dxa"/>
            <w:noWrap w:val="0"/>
            <w:vAlign w:val="center"/>
          </w:tcPr>
          <w:p w14:paraId="5AB513A4">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eastAsia" w:ascii="宋体" w:hAnsi="宋体" w:eastAsia="宋体" w:cs="宋体"/>
                <w:color w:val="auto"/>
                <w:sz w:val="21"/>
                <w:szCs w:val="21"/>
              </w:rPr>
            </w:pPr>
            <w:r>
              <w:rPr>
                <w:rFonts w:hint="eastAsia" w:ascii="宋体" w:hAnsi="宋体" w:eastAsia="宋体" w:cs="宋体"/>
                <w:color w:val="auto"/>
                <w:sz w:val="28"/>
                <w:szCs w:val="28"/>
              </w:rPr>
              <w:fldChar w:fldCharType="begin"/>
            </w:r>
            <w:r>
              <w:rPr>
                <w:rFonts w:hint="eastAsia" w:ascii="宋体" w:hAnsi="宋体" w:eastAsia="宋体" w:cs="宋体"/>
                <w:color w:val="auto"/>
                <w:sz w:val="28"/>
                <w:szCs w:val="28"/>
              </w:rPr>
              <w:instrText xml:space="preserve"> eq \o\ac(</w:instrText>
            </w:r>
            <w:r>
              <w:rPr>
                <w:rFonts w:hint="eastAsia" w:ascii="宋体" w:hAnsi="宋体" w:eastAsia="宋体" w:cs="宋体"/>
                <w:color w:val="auto"/>
                <w:position w:val="-5"/>
                <w:sz w:val="42"/>
                <w:szCs w:val="28"/>
              </w:rPr>
              <w:instrText xml:space="preserve">○</w:instrText>
            </w:r>
            <w:r>
              <w:rPr>
                <w:rFonts w:hint="eastAsia" w:ascii="宋体" w:hAnsi="宋体" w:eastAsia="宋体" w:cs="宋体"/>
                <w:color w:val="auto"/>
                <w:position w:val="0"/>
                <w:sz w:val="28"/>
                <w:szCs w:val="28"/>
              </w:rPr>
              <w:instrText xml:space="preserve">,Ⅱ)</w:instrText>
            </w:r>
            <w:r>
              <w:rPr>
                <w:rFonts w:hint="eastAsia" w:ascii="宋体" w:hAnsi="宋体" w:eastAsia="宋体" w:cs="宋体"/>
                <w:color w:val="auto"/>
                <w:sz w:val="28"/>
                <w:szCs w:val="28"/>
              </w:rPr>
              <w:fldChar w:fldCharType="end"/>
            </w:r>
          </w:p>
        </w:tc>
        <w:tc>
          <w:tcPr>
            <w:tcW w:w="1241" w:type="dxa"/>
            <w:noWrap w:val="0"/>
            <w:vAlign w:val="center"/>
          </w:tcPr>
          <w:p w14:paraId="69394CC6">
            <w:pPr>
              <w:pStyle w:val="50"/>
              <w:bidi w:val="0"/>
              <w:rPr>
                <w:rFonts w:hint="default"/>
              </w:rPr>
            </w:pPr>
            <w:r>
              <w:rPr>
                <w:rFonts w:hint="default"/>
              </w:rPr>
              <w:t>坚硬厚层状结构中等岩溶化灰岩岩组</w:t>
            </w:r>
          </w:p>
        </w:tc>
        <w:tc>
          <w:tcPr>
            <w:tcW w:w="900" w:type="dxa"/>
            <w:noWrap w:val="0"/>
            <w:vAlign w:val="center"/>
          </w:tcPr>
          <w:p w14:paraId="4BCC8921">
            <w:pPr>
              <w:pStyle w:val="50"/>
              <w:bidi w:val="0"/>
              <w:rPr>
                <w:rFonts w:hint="default"/>
              </w:rPr>
            </w:pPr>
            <w:r>
              <w:rPr>
                <w:rFonts w:hint="default"/>
              </w:rPr>
              <w:t>层状</w:t>
            </w:r>
          </w:p>
          <w:p w14:paraId="1EDA8262">
            <w:pPr>
              <w:pStyle w:val="50"/>
              <w:bidi w:val="0"/>
              <w:rPr>
                <w:rFonts w:hint="default"/>
              </w:rPr>
            </w:pPr>
            <w:r>
              <w:rPr>
                <w:rFonts w:hint="default"/>
              </w:rPr>
              <w:t>结构</w:t>
            </w:r>
          </w:p>
        </w:tc>
        <w:tc>
          <w:tcPr>
            <w:tcW w:w="832" w:type="dxa"/>
            <w:noWrap w:val="0"/>
            <w:vAlign w:val="center"/>
          </w:tcPr>
          <w:p w14:paraId="3AEC3877">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D</w:t>
            </w:r>
            <w:r>
              <w:rPr>
                <w:rFonts w:hint="default" w:ascii="Times New Roman" w:hAnsi="Times New Roman" w:eastAsia="宋体" w:cs="Times New Roman"/>
                <w:color w:val="auto"/>
                <w:sz w:val="21"/>
                <w:szCs w:val="21"/>
                <w:vertAlign w:val="subscript"/>
              </w:rPr>
              <w:t>2</w:t>
            </w:r>
            <w:r>
              <w:rPr>
                <w:rFonts w:hint="default" w:ascii="Times New Roman" w:hAnsi="Times New Roman" w:eastAsia="宋体" w:cs="Times New Roman"/>
                <w:color w:val="auto"/>
                <w:sz w:val="21"/>
                <w:szCs w:val="21"/>
                <w:lang w:val="en-US" w:eastAsia="zh-CN"/>
              </w:rPr>
              <w:t>d</w:t>
            </w:r>
          </w:p>
        </w:tc>
        <w:tc>
          <w:tcPr>
            <w:tcW w:w="982" w:type="dxa"/>
            <w:noWrap w:val="0"/>
            <w:vAlign w:val="center"/>
          </w:tcPr>
          <w:p w14:paraId="37E255F0">
            <w:pPr>
              <w:keepNext w:val="0"/>
              <w:keepLines w:val="0"/>
              <w:pageBreakBefore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z w:val="21"/>
                <w:szCs w:val="21"/>
              </w:rPr>
            </w:pPr>
            <w:r>
              <w:rPr>
                <w:rFonts w:hint="default" w:ascii="Times New Roman" w:hAnsi="Times New Roman" w:eastAsia="宋体" w:cs="Times New Roman"/>
                <w:color w:val="auto"/>
                <w:sz w:val="21"/>
                <w:szCs w:val="21"/>
                <w:lang w:val="en-US" w:eastAsia="zh-CN"/>
              </w:rPr>
              <w:t>石</w:t>
            </w:r>
            <w:r>
              <w:rPr>
                <w:rFonts w:hint="default" w:ascii="Times New Roman" w:hAnsi="Times New Roman" w:eastAsia="宋体" w:cs="Times New Roman"/>
                <w:color w:val="auto"/>
                <w:sz w:val="21"/>
                <w:szCs w:val="21"/>
              </w:rPr>
              <w:t>灰岩</w:t>
            </w:r>
          </w:p>
        </w:tc>
        <w:tc>
          <w:tcPr>
            <w:tcW w:w="4759" w:type="dxa"/>
            <w:noWrap w:val="0"/>
            <w:vAlign w:val="center"/>
          </w:tcPr>
          <w:p w14:paraId="729DD7FF">
            <w:pPr>
              <w:pStyle w:val="50"/>
              <w:bidi w:val="0"/>
              <w:rPr>
                <w:rFonts w:hint="default"/>
              </w:rPr>
            </w:pPr>
            <w:r>
              <w:rPr>
                <w:rFonts w:hint="default"/>
              </w:rPr>
              <w:t>主要为浅灰色</w:t>
            </w:r>
            <w:r>
              <w:rPr>
                <w:rFonts w:hint="default"/>
                <w:lang w:val="en-US" w:eastAsia="zh-CN"/>
              </w:rPr>
              <w:t>中</w:t>
            </w:r>
            <w:r>
              <w:rPr>
                <w:rFonts w:hint="default"/>
              </w:rPr>
              <w:t>厚层状灰岩，细</w:t>
            </w:r>
            <w:r>
              <w:rPr>
                <w:rFonts w:hint="default"/>
                <w:lang w:val="en-US" w:eastAsia="zh-CN"/>
              </w:rPr>
              <w:t>-微</w:t>
            </w:r>
            <w:r>
              <w:rPr>
                <w:rFonts w:hint="default"/>
              </w:rPr>
              <w:t>晶结构，表层强～中等风化，风化深度0.5</w:t>
            </w:r>
            <w:r>
              <w:rPr>
                <w:rFonts w:hint="eastAsia"/>
                <w:lang w:val="en-US" w:eastAsia="zh-CN"/>
              </w:rPr>
              <w:t>m</w:t>
            </w:r>
            <w:r>
              <w:rPr>
                <w:rFonts w:hint="default"/>
              </w:rPr>
              <w:t>～1m。未来矿坑边坡主要由该岩体组成，表层风化带力学强度较低，未来开采边坡可能产生小规模垮塌，但一般不会产生较大规模的边坡失稳。</w:t>
            </w:r>
          </w:p>
        </w:tc>
      </w:tr>
    </w:tbl>
    <w:p w14:paraId="72FCFE7C">
      <w:pPr>
        <w:keepNext w:val="0"/>
        <w:keepLines w:val="0"/>
        <w:pageBreakBefore w:val="0"/>
        <w:widowControl w:val="0"/>
        <w:tabs>
          <w:tab w:val="left" w:pos="560"/>
        </w:tabs>
        <w:kinsoku/>
        <w:wordWrap/>
        <w:overflowPunct/>
        <w:topLinePunct w:val="0"/>
        <w:autoSpaceDE/>
        <w:autoSpaceDN/>
        <w:bidi w:val="0"/>
        <w:adjustRightInd w:val="0"/>
        <w:snapToGrid w:val="0"/>
        <w:spacing w:line="360" w:lineRule="auto"/>
        <w:ind w:firstLine="552" w:firstLineChars="200"/>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矿体位于斜坡地带，围岩和岩体均为坚硬中厚层状石灰岩岩组，岩体产状与围岩产状基本一致。地层产状与斜坡坡向</w:t>
      </w:r>
      <w:r>
        <w:rPr>
          <w:rFonts w:hint="default" w:ascii="Times New Roman" w:hAnsi="Times New Roman" w:eastAsia="宋体" w:cs="Times New Roman"/>
          <w:color w:val="auto"/>
          <w:sz w:val="28"/>
          <w:szCs w:val="28"/>
          <w:lang w:val="en-US" w:eastAsia="zh-CN"/>
        </w:rPr>
        <w:t>正向斜交</w:t>
      </w:r>
      <w:r>
        <w:rPr>
          <w:rFonts w:hint="default" w:ascii="Times New Roman" w:hAnsi="Times New Roman" w:eastAsia="宋体" w:cs="Times New Roman"/>
          <w:color w:val="auto"/>
          <w:sz w:val="28"/>
          <w:szCs w:val="28"/>
        </w:rPr>
        <w:t>，属较</w:t>
      </w:r>
      <w:r>
        <w:rPr>
          <w:rFonts w:hint="default" w:ascii="Times New Roman" w:hAnsi="Times New Roman" w:eastAsia="宋体" w:cs="Times New Roman"/>
          <w:color w:val="auto"/>
          <w:sz w:val="28"/>
          <w:szCs w:val="28"/>
          <w:lang w:val="en-US" w:eastAsia="zh-CN"/>
        </w:rPr>
        <w:t>不</w:t>
      </w:r>
      <w:r>
        <w:rPr>
          <w:rFonts w:hint="default" w:ascii="Times New Roman" w:hAnsi="Times New Roman" w:eastAsia="宋体" w:cs="Times New Roman"/>
          <w:color w:val="auto"/>
          <w:sz w:val="28"/>
          <w:szCs w:val="28"/>
        </w:rPr>
        <w:t>稳定边坡类型。地表岩体风化破碎，节理裂隙发育，完整性、稳定性差。但现状下边坡处于稳定状态，未发生崩塌、掉块或滑坡等地质灾害。</w:t>
      </w:r>
    </w:p>
    <w:p w14:paraId="149DFC41">
      <w:pPr>
        <w:keepNext w:val="0"/>
        <w:keepLines w:val="0"/>
        <w:pageBreakBefore w:val="0"/>
        <w:widowControl w:val="0"/>
        <w:kinsoku/>
        <w:wordWrap/>
        <w:overflowPunct/>
        <w:topLinePunct w:val="0"/>
        <w:autoSpaceDE/>
        <w:autoSpaceDN/>
        <w:bidi w:val="0"/>
        <w:adjustRightInd w:val="0"/>
        <w:snapToGrid w:val="0"/>
        <w:spacing w:line="360" w:lineRule="auto"/>
        <w:ind w:firstLine="552" w:firstLineChars="200"/>
        <w:textAlignment w:val="auto"/>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矿区出露的地层主要为</w:t>
      </w:r>
      <w:r>
        <w:rPr>
          <w:rFonts w:hint="default" w:ascii="Times New Roman" w:hAnsi="Times New Roman" w:eastAsia="宋体" w:cs="Times New Roman"/>
          <w:color w:val="auto"/>
          <w:spacing w:val="11"/>
          <w:sz w:val="28"/>
          <w:szCs w:val="28"/>
          <w:lang w:val="en-US" w:eastAsia="zh-CN"/>
        </w:rPr>
        <w:t>泥盆系中统东岗岭组（D</w:t>
      </w:r>
      <w:r>
        <w:rPr>
          <w:rFonts w:hint="default" w:ascii="Times New Roman" w:hAnsi="Times New Roman" w:eastAsia="宋体" w:cs="Times New Roman"/>
          <w:color w:val="auto"/>
          <w:spacing w:val="11"/>
          <w:sz w:val="28"/>
          <w:szCs w:val="28"/>
          <w:vertAlign w:val="subscript"/>
          <w:lang w:val="en-US" w:eastAsia="zh-CN"/>
        </w:rPr>
        <w:t>2</w:t>
      </w:r>
      <w:r>
        <w:rPr>
          <w:rFonts w:hint="default" w:ascii="Times New Roman" w:hAnsi="Times New Roman" w:eastAsia="宋体" w:cs="Times New Roman"/>
          <w:color w:val="auto"/>
          <w:spacing w:val="11"/>
          <w:sz w:val="28"/>
          <w:szCs w:val="28"/>
          <w:lang w:val="en-US" w:eastAsia="zh-CN"/>
        </w:rPr>
        <w:t>d）</w:t>
      </w:r>
      <w:r>
        <w:rPr>
          <w:rFonts w:hint="default" w:ascii="Times New Roman" w:hAnsi="Times New Roman" w:eastAsia="宋体" w:cs="Times New Roman"/>
          <w:color w:val="auto"/>
          <w:sz w:val="28"/>
          <w:szCs w:val="28"/>
        </w:rPr>
        <w:t>灰岩，岩体完整性较好，工程地质性能较好，但在节理裂隙发育密集区及风化影响带的完整性差，稳定性差。导致以后矿山开采边坡不安全因素较多，开采边坡稳定性受降水、震动、边坡参数等多种因素的影响，边坡岩体的完整性除边坡岩体自身岩性外，节理、裂隙结构面、岩层产状等也是影响边坡稳定性的重要因素之一。边坡的变形与破坏形式以地面拉裂、崩塌、局部滑坡为主，在开采过程中应引起高度重视，采取相应的防治措施。</w:t>
      </w:r>
    </w:p>
    <w:p w14:paraId="6D25A350">
      <w:pPr>
        <w:spacing w:line="360" w:lineRule="auto"/>
        <w:ind w:firstLine="552" w:firstLineChars="200"/>
        <w:rPr>
          <w:rFonts w:hint="default" w:ascii="Times New Roman" w:hAnsi="Times New Roman" w:eastAsia="宋体" w:cs="Times New Roman"/>
          <w:color w:val="auto"/>
          <w:sz w:val="28"/>
          <w:szCs w:val="28"/>
        </w:rPr>
      </w:pPr>
      <w:r>
        <w:rPr>
          <w:rFonts w:hint="default" w:ascii="Times New Roman" w:hAnsi="Times New Roman" w:eastAsia="宋体" w:cs="Times New Roman"/>
          <w:color w:val="auto"/>
          <w:sz w:val="28"/>
          <w:szCs w:val="28"/>
        </w:rPr>
        <w:t>矿山开采方式为山坡露天台阶开采，在生产过程中应注意爆破安全。开拓运输方式为公路开拓翻斗汽车运输，排水方式为自流排泄，露采台阶边坡角</w:t>
      </w:r>
      <w:r>
        <w:rPr>
          <w:rFonts w:hint="default" w:ascii="Times New Roman" w:hAnsi="Times New Roman" w:eastAsia="宋体" w:cs="Times New Roman"/>
          <w:color w:val="auto"/>
          <w:sz w:val="28"/>
          <w:szCs w:val="28"/>
          <w:lang w:val="en-US" w:eastAsia="zh-CN"/>
        </w:rPr>
        <w:t>60</w:t>
      </w:r>
      <w:r>
        <w:rPr>
          <w:rFonts w:hint="default" w:ascii="Times New Roman" w:hAnsi="Times New Roman" w:eastAsia="宋体" w:cs="Times New Roman"/>
          <w:color w:val="auto"/>
          <w:sz w:val="28"/>
          <w:szCs w:val="28"/>
        </w:rPr>
        <w:t>°。</w:t>
      </w:r>
    </w:p>
    <w:p w14:paraId="21085642">
      <w:pPr>
        <w:rPr>
          <w:color w:val="auto"/>
        </w:rPr>
      </w:pPr>
      <w:r>
        <w:rPr>
          <w:rFonts w:hint="default" w:ascii="Times New Roman" w:hAnsi="Times New Roman" w:eastAsia="宋体" w:cs="Times New Roman"/>
          <w:b w:val="0"/>
          <w:bCs w:val="0"/>
          <w:color w:val="auto"/>
          <w:sz w:val="28"/>
          <w:szCs w:val="28"/>
        </w:rPr>
        <w:t>矿区为自然斜地，近期内未发</w:t>
      </w:r>
      <w:r>
        <w:rPr>
          <w:rFonts w:hint="eastAsia" w:ascii="Times New Roman" w:hAnsi="Times New Roman" w:cs="Times New Roman"/>
          <w:b w:val="0"/>
          <w:bCs w:val="0"/>
          <w:color w:val="auto"/>
          <w:sz w:val="28"/>
          <w:szCs w:val="28"/>
          <w:lang w:val="en-US" w:eastAsia="zh-CN"/>
        </w:rPr>
        <w:t>生</w:t>
      </w:r>
      <w:r>
        <w:rPr>
          <w:rFonts w:hint="default" w:ascii="Times New Roman" w:hAnsi="Times New Roman" w:eastAsia="宋体" w:cs="Times New Roman"/>
          <w:b w:val="0"/>
          <w:bCs w:val="0"/>
          <w:color w:val="auto"/>
          <w:sz w:val="28"/>
          <w:szCs w:val="28"/>
        </w:rPr>
        <w:t>较大的滑坡、泥石流</w:t>
      </w:r>
      <w:r>
        <w:rPr>
          <w:rFonts w:hint="default" w:ascii="Times New Roman" w:hAnsi="Times New Roman" w:eastAsia="宋体" w:cs="Times New Roman"/>
          <w:b w:val="0"/>
          <w:bCs w:val="0"/>
          <w:color w:val="auto"/>
          <w:sz w:val="28"/>
          <w:szCs w:val="28"/>
          <w:lang w:eastAsia="zh-CN"/>
        </w:rPr>
        <w:t>、</w:t>
      </w:r>
      <w:r>
        <w:rPr>
          <w:rFonts w:hint="default" w:ascii="Times New Roman" w:hAnsi="Times New Roman" w:eastAsia="宋体" w:cs="Times New Roman"/>
          <w:b w:val="0"/>
          <w:bCs w:val="0"/>
          <w:color w:val="auto"/>
          <w:sz w:val="28"/>
          <w:szCs w:val="28"/>
          <w:lang w:val="en-US" w:eastAsia="zh-CN"/>
        </w:rPr>
        <w:t>岩溶塌陷</w:t>
      </w:r>
      <w:r>
        <w:rPr>
          <w:rFonts w:hint="default" w:ascii="Times New Roman" w:hAnsi="Times New Roman" w:eastAsia="宋体" w:cs="Times New Roman"/>
          <w:b w:val="0"/>
          <w:bCs w:val="0"/>
          <w:color w:val="auto"/>
          <w:sz w:val="28"/>
          <w:szCs w:val="28"/>
        </w:rPr>
        <w:t>等不良工程地质现象。受风化作用或构造的影响，</w:t>
      </w:r>
      <w:r>
        <w:rPr>
          <w:rFonts w:hint="default" w:ascii="Times New Roman" w:hAnsi="Times New Roman" w:eastAsia="宋体" w:cs="Times New Roman"/>
          <w:color w:val="auto"/>
          <w:sz w:val="28"/>
          <w:szCs w:val="28"/>
          <w:lang w:val="en-US" w:eastAsia="zh-CN"/>
        </w:rPr>
        <w:t>矿区节理</w:t>
      </w:r>
      <w:r>
        <w:rPr>
          <w:rFonts w:hint="default" w:ascii="Times New Roman" w:hAnsi="Times New Roman" w:eastAsia="宋体" w:cs="Times New Roman"/>
          <w:color w:val="auto"/>
          <w:sz w:val="28"/>
          <w:szCs w:val="28"/>
        </w:rPr>
        <w:t>裂隙较发育，其完整性和稳定性较差，</w:t>
      </w:r>
      <w:r>
        <w:rPr>
          <w:rFonts w:hint="default" w:ascii="Times New Roman" w:hAnsi="Times New Roman" w:eastAsia="宋体" w:cs="Times New Roman"/>
          <w:color w:val="auto"/>
          <w:sz w:val="28"/>
          <w:szCs w:val="28"/>
          <w:lang w:val="en-US" w:eastAsia="zh-CN"/>
        </w:rPr>
        <w:t>但</w:t>
      </w:r>
      <w:r>
        <w:rPr>
          <w:rFonts w:hint="default" w:ascii="Times New Roman" w:hAnsi="Times New Roman" w:eastAsia="宋体" w:cs="Times New Roman"/>
          <w:b w:val="0"/>
          <w:bCs w:val="0"/>
          <w:color w:val="auto"/>
          <w:sz w:val="28"/>
          <w:szCs w:val="28"/>
        </w:rPr>
        <w:t>总体稳固性较好。</w:t>
      </w:r>
      <w:r>
        <w:rPr>
          <w:rFonts w:hint="default" w:ascii="Times New Roman" w:hAnsi="Times New Roman" w:eastAsia="宋体" w:cs="Times New Roman"/>
          <w:color w:val="auto"/>
          <w:sz w:val="28"/>
          <w:szCs w:val="28"/>
        </w:rPr>
        <w:t>露采时需将采场边坡角控制在合理范围之内，并及时清除坡面浮石、危岩，防止其坠落。矿区工程地质条件中等</w:t>
      </w:r>
      <w:r>
        <w:rPr>
          <w:rFonts w:hint="default" w:ascii="Times New Roman" w:hAnsi="Times New Roman" w:eastAsia="宋体" w:cs="Times New Roman"/>
          <w:color w:val="auto"/>
          <w:sz w:val="28"/>
          <w:szCs w:val="28"/>
          <w:lang w:eastAsia="zh-CN"/>
        </w:rPr>
        <w:t>类型</w:t>
      </w:r>
      <w:r>
        <w:rPr>
          <w:rFonts w:hint="eastAsia"/>
          <w:color w:val="auto"/>
        </w:rPr>
        <w:t>。</w:t>
      </w:r>
    </w:p>
    <w:p w14:paraId="66910CCF">
      <w:pPr>
        <w:pStyle w:val="4"/>
        <w:bidi w:val="0"/>
      </w:pPr>
      <w:bookmarkStart w:id="176" w:name="_Toc30635"/>
      <w:r>
        <w:t>2.3.</w:t>
      </w:r>
      <w:r>
        <w:rPr>
          <w:rFonts w:hint="eastAsia"/>
          <w:lang w:val="en-US" w:eastAsia="zh-CN"/>
        </w:rPr>
        <w:t>4</w:t>
      </w:r>
      <w:r>
        <w:t>环境地质概况</w:t>
      </w:r>
      <w:bookmarkEnd w:id="175"/>
      <w:bookmarkEnd w:id="176"/>
    </w:p>
    <w:p w14:paraId="6176E408">
      <w:pPr>
        <w:bidi w:val="0"/>
        <w:rPr>
          <w:rFonts w:hint="default"/>
          <w:lang w:val="en-US" w:eastAsia="zh-CN"/>
        </w:rPr>
      </w:pPr>
      <w:bookmarkStart w:id="177" w:name="_Toc259803255"/>
      <w:bookmarkStart w:id="178" w:name="_Toc72905547"/>
      <w:bookmarkStart w:id="179" w:name="_Toc260752087"/>
      <w:bookmarkStart w:id="180" w:name="_Toc12245"/>
      <w:r>
        <w:rPr>
          <w:rFonts w:hint="eastAsia"/>
          <w:lang w:val="en-US" w:eastAsia="zh-CN"/>
        </w:rPr>
        <w:t>1、</w:t>
      </w:r>
      <w:r>
        <w:rPr>
          <w:rFonts w:hint="default"/>
          <w:lang w:val="en-US" w:eastAsia="zh-CN"/>
        </w:rPr>
        <w:t>环境地质</w:t>
      </w:r>
    </w:p>
    <w:p w14:paraId="657AD180">
      <w:pPr>
        <w:bidi w:val="0"/>
        <w:rPr>
          <w:rFonts w:hint="default"/>
          <w:color w:val="C00000"/>
          <w:lang w:val="en-US" w:eastAsia="zh-CN"/>
        </w:rPr>
      </w:pPr>
      <w:r>
        <w:rPr>
          <w:rFonts w:hint="default"/>
          <w:lang w:val="en-US" w:eastAsia="zh-CN"/>
        </w:rPr>
        <w:t>本区地震活动较频繁，据广南县及附近县历史记载未发生过破坏性地震，但小地震还是不断发生，强度都比较弱，地震烈度3°～4°（表2.</w:t>
      </w:r>
      <w:r>
        <w:rPr>
          <w:rFonts w:hint="eastAsia"/>
          <w:lang w:val="en-US" w:eastAsia="zh-CN"/>
        </w:rPr>
        <w:t>3</w:t>
      </w:r>
      <w:r>
        <w:rPr>
          <w:rFonts w:hint="default"/>
          <w:lang w:val="en-US" w:eastAsia="zh-CN"/>
        </w:rPr>
        <w:t>-2），属于地震活动不甚强的地区，区域稳定性较好。1970年以后，地震活动越来越频繁，</w:t>
      </w:r>
      <w:r>
        <w:rPr>
          <w:rFonts w:hint="default"/>
          <w:color w:val="auto"/>
          <w:lang w:val="en-US" w:eastAsia="zh-CN"/>
        </w:rPr>
        <w:t>未来矿山的开拓应引起足够的重视。</w:t>
      </w:r>
    </w:p>
    <w:p w14:paraId="75ABCCAA">
      <w:pPr>
        <w:pStyle w:val="45"/>
        <w:bidi w:val="0"/>
        <w:rPr>
          <w:rFonts w:hint="default"/>
        </w:rPr>
      </w:pPr>
      <w:r>
        <w:rPr>
          <w:rFonts w:hint="default"/>
        </w:rPr>
        <w:t>表</w:t>
      </w:r>
      <w:r>
        <w:rPr>
          <w:rFonts w:hint="default"/>
          <w:lang w:val="en-US" w:eastAsia="zh-CN"/>
        </w:rPr>
        <w:t>2</w:t>
      </w:r>
      <w:r>
        <w:rPr>
          <w:rFonts w:hint="eastAsia"/>
          <w:lang w:val="en-US" w:eastAsia="zh-CN"/>
        </w:rPr>
        <w:t>.3</w:t>
      </w:r>
      <w:r>
        <w:rPr>
          <w:rFonts w:hint="default"/>
          <w:lang w:val="en-US" w:eastAsia="zh-CN"/>
        </w:rPr>
        <w:t>-2</w:t>
      </w:r>
      <w:r>
        <w:rPr>
          <w:rFonts w:hint="default"/>
        </w:rPr>
        <w:t>地震烈度统计表</w:t>
      </w:r>
    </w:p>
    <w:tbl>
      <w:tblPr>
        <w:tblStyle w:val="35"/>
        <w:tblW w:w="9071"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1854"/>
        <w:gridCol w:w="1472"/>
        <w:gridCol w:w="1552"/>
        <w:gridCol w:w="1607"/>
        <w:gridCol w:w="1187"/>
        <w:gridCol w:w="1399"/>
      </w:tblGrid>
      <w:tr w14:paraId="36860E6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vMerge w:val="restart"/>
            <w:noWrap w:val="0"/>
            <w:vAlign w:val="center"/>
          </w:tcPr>
          <w:p w14:paraId="49BF486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地震日期</w:t>
            </w:r>
          </w:p>
          <w:p w14:paraId="2C367B8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（年、月、日）</w:t>
            </w:r>
          </w:p>
        </w:tc>
        <w:tc>
          <w:tcPr>
            <w:tcW w:w="3134" w:type="dxa"/>
            <w:gridSpan w:val="2"/>
            <w:noWrap w:val="0"/>
            <w:vAlign w:val="center"/>
          </w:tcPr>
          <w:p w14:paraId="231631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震中位置</w:t>
            </w:r>
          </w:p>
        </w:tc>
        <w:tc>
          <w:tcPr>
            <w:tcW w:w="1666" w:type="dxa"/>
            <w:vMerge w:val="restart"/>
            <w:noWrap w:val="0"/>
            <w:vAlign w:val="center"/>
          </w:tcPr>
          <w:p w14:paraId="3530AE2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震中地区</w:t>
            </w:r>
          </w:p>
        </w:tc>
        <w:tc>
          <w:tcPr>
            <w:tcW w:w="2677" w:type="dxa"/>
            <w:gridSpan w:val="2"/>
            <w:noWrap w:val="0"/>
            <w:vAlign w:val="center"/>
          </w:tcPr>
          <w:p w14:paraId="52E1CF9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震级</w:t>
            </w:r>
          </w:p>
        </w:tc>
      </w:tr>
      <w:tr w14:paraId="583D3B0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vMerge w:val="continue"/>
            <w:noWrap w:val="0"/>
            <w:vAlign w:val="center"/>
          </w:tcPr>
          <w:p w14:paraId="4FA310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p>
        </w:tc>
        <w:tc>
          <w:tcPr>
            <w:tcW w:w="1525" w:type="dxa"/>
            <w:noWrap w:val="0"/>
            <w:vAlign w:val="center"/>
          </w:tcPr>
          <w:p w14:paraId="0AF3F21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北纬</w:t>
            </w:r>
          </w:p>
        </w:tc>
        <w:tc>
          <w:tcPr>
            <w:tcW w:w="1609" w:type="dxa"/>
            <w:noWrap w:val="0"/>
            <w:vAlign w:val="center"/>
          </w:tcPr>
          <w:p w14:paraId="1C4DF89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东经</w:t>
            </w:r>
          </w:p>
        </w:tc>
        <w:tc>
          <w:tcPr>
            <w:tcW w:w="1666" w:type="dxa"/>
            <w:vMerge w:val="continue"/>
            <w:noWrap w:val="0"/>
            <w:vAlign w:val="center"/>
          </w:tcPr>
          <w:p w14:paraId="6C56073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p>
        </w:tc>
        <w:tc>
          <w:tcPr>
            <w:tcW w:w="1228" w:type="dxa"/>
            <w:noWrap w:val="0"/>
            <w:vAlign w:val="center"/>
          </w:tcPr>
          <w:p w14:paraId="50FC5AD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ML</w:t>
            </w:r>
          </w:p>
        </w:tc>
        <w:tc>
          <w:tcPr>
            <w:tcW w:w="1449" w:type="dxa"/>
            <w:noWrap w:val="0"/>
            <w:vAlign w:val="center"/>
          </w:tcPr>
          <w:p w14:paraId="77BA755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Ms</w:t>
            </w:r>
          </w:p>
        </w:tc>
      </w:tr>
      <w:tr w14:paraId="18CAD59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noWrap w:val="0"/>
            <w:vAlign w:val="center"/>
          </w:tcPr>
          <w:p w14:paraId="79B9F2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1970、4、3</w:t>
            </w:r>
          </w:p>
        </w:tc>
        <w:tc>
          <w:tcPr>
            <w:tcW w:w="1525" w:type="dxa"/>
            <w:noWrap w:val="0"/>
            <w:vAlign w:val="center"/>
          </w:tcPr>
          <w:p w14:paraId="0DFF576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23°34′</w:t>
            </w:r>
          </w:p>
        </w:tc>
        <w:tc>
          <w:tcPr>
            <w:tcW w:w="1609" w:type="dxa"/>
            <w:noWrap w:val="0"/>
            <w:vAlign w:val="center"/>
          </w:tcPr>
          <w:p w14:paraId="7E66D9E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104°12′</w:t>
            </w:r>
          </w:p>
        </w:tc>
        <w:tc>
          <w:tcPr>
            <w:tcW w:w="1666" w:type="dxa"/>
            <w:noWrap w:val="0"/>
            <w:vAlign w:val="center"/>
          </w:tcPr>
          <w:p w14:paraId="399EAB27">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文山以北</w:t>
            </w:r>
          </w:p>
        </w:tc>
        <w:tc>
          <w:tcPr>
            <w:tcW w:w="1228" w:type="dxa"/>
            <w:noWrap w:val="0"/>
            <w:vAlign w:val="center"/>
          </w:tcPr>
          <w:p w14:paraId="2A78DA6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p>
        </w:tc>
        <w:tc>
          <w:tcPr>
            <w:tcW w:w="1449" w:type="dxa"/>
            <w:noWrap w:val="0"/>
            <w:vAlign w:val="center"/>
          </w:tcPr>
          <w:p w14:paraId="03D6B33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3.3</w:t>
            </w:r>
          </w:p>
        </w:tc>
      </w:tr>
      <w:tr w14:paraId="2623B5A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noWrap w:val="0"/>
            <w:vAlign w:val="center"/>
          </w:tcPr>
          <w:p w14:paraId="347E6006">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1970、10、12</w:t>
            </w:r>
          </w:p>
        </w:tc>
        <w:tc>
          <w:tcPr>
            <w:tcW w:w="1525" w:type="dxa"/>
            <w:noWrap w:val="0"/>
            <w:vAlign w:val="center"/>
          </w:tcPr>
          <w:p w14:paraId="39A04F3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23°26′</w:t>
            </w:r>
          </w:p>
        </w:tc>
        <w:tc>
          <w:tcPr>
            <w:tcW w:w="1609" w:type="dxa"/>
            <w:noWrap w:val="0"/>
            <w:vAlign w:val="center"/>
          </w:tcPr>
          <w:p w14:paraId="374325F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104°03′</w:t>
            </w:r>
          </w:p>
        </w:tc>
        <w:tc>
          <w:tcPr>
            <w:tcW w:w="1666" w:type="dxa"/>
            <w:noWrap w:val="0"/>
            <w:vAlign w:val="center"/>
          </w:tcPr>
          <w:p w14:paraId="4EFAA3F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文山以南</w:t>
            </w:r>
          </w:p>
        </w:tc>
        <w:tc>
          <w:tcPr>
            <w:tcW w:w="1228" w:type="dxa"/>
            <w:noWrap w:val="0"/>
            <w:vAlign w:val="center"/>
          </w:tcPr>
          <w:p w14:paraId="525A57E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3.8</w:t>
            </w:r>
          </w:p>
        </w:tc>
        <w:tc>
          <w:tcPr>
            <w:tcW w:w="1449" w:type="dxa"/>
            <w:noWrap w:val="0"/>
            <w:vAlign w:val="center"/>
          </w:tcPr>
          <w:p w14:paraId="48E9676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4.2</w:t>
            </w:r>
          </w:p>
        </w:tc>
      </w:tr>
      <w:tr w14:paraId="04C80D6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noWrap w:val="0"/>
            <w:vAlign w:val="center"/>
          </w:tcPr>
          <w:p w14:paraId="6053FF7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1980、4、15</w:t>
            </w:r>
          </w:p>
        </w:tc>
        <w:tc>
          <w:tcPr>
            <w:tcW w:w="1525" w:type="dxa"/>
            <w:noWrap w:val="0"/>
            <w:vAlign w:val="center"/>
          </w:tcPr>
          <w:p w14:paraId="5B881E4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23°40′</w:t>
            </w:r>
          </w:p>
        </w:tc>
        <w:tc>
          <w:tcPr>
            <w:tcW w:w="1609" w:type="dxa"/>
            <w:noWrap w:val="0"/>
            <w:vAlign w:val="center"/>
          </w:tcPr>
          <w:p w14:paraId="15A28D0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104°42′</w:t>
            </w:r>
          </w:p>
        </w:tc>
        <w:tc>
          <w:tcPr>
            <w:tcW w:w="1666" w:type="dxa"/>
            <w:noWrap w:val="0"/>
            <w:vAlign w:val="center"/>
          </w:tcPr>
          <w:p w14:paraId="78E8A363">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蒙自东北</w:t>
            </w:r>
          </w:p>
        </w:tc>
        <w:tc>
          <w:tcPr>
            <w:tcW w:w="1228" w:type="dxa"/>
            <w:noWrap w:val="0"/>
            <w:vAlign w:val="center"/>
          </w:tcPr>
          <w:p w14:paraId="08D5986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3.0</w:t>
            </w:r>
          </w:p>
        </w:tc>
        <w:tc>
          <w:tcPr>
            <w:tcW w:w="1449" w:type="dxa"/>
            <w:noWrap w:val="0"/>
            <w:vAlign w:val="center"/>
          </w:tcPr>
          <w:p w14:paraId="19A8F6A5">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p>
        </w:tc>
      </w:tr>
      <w:tr w14:paraId="53647F45">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noWrap w:val="0"/>
            <w:vAlign w:val="center"/>
          </w:tcPr>
          <w:p w14:paraId="6FF764D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1980、4、19</w:t>
            </w:r>
          </w:p>
        </w:tc>
        <w:tc>
          <w:tcPr>
            <w:tcW w:w="1525" w:type="dxa"/>
            <w:noWrap w:val="0"/>
            <w:vAlign w:val="center"/>
          </w:tcPr>
          <w:p w14:paraId="509CDEF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23°50′</w:t>
            </w:r>
          </w:p>
        </w:tc>
        <w:tc>
          <w:tcPr>
            <w:tcW w:w="1609" w:type="dxa"/>
            <w:noWrap w:val="0"/>
            <w:vAlign w:val="center"/>
          </w:tcPr>
          <w:p w14:paraId="1413CDBD">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104°42′</w:t>
            </w:r>
          </w:p>
        </w:tc>
        <w:tc>
          <w:tcPr>
            <w:tcW w:w="1666" w:type="dxa"/>
            <w:noWrap w:val="0"/>
            <w:vAlign w:val="center"/>
          </w:tcPr>
          <w:p w14:paraId="0A846A52">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开远东南</w:t>
            </w:r>
          </w:p>
        </w:tc>
        <w:tc>
          <w:tcPr>
            <w:tcW w:w="1228" w:type="dxa"/>
            <w:noWrap w:val="0"/>
            <w:vAlign w:val="center"/>
          </w:tcPr>
          <w:p w14:paraId="521C318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3.0</w:t>
            </w:r>
          </w:p>
        </w:tc>
        <w:tc>
          <w:tcPr>
            <w:tcW w:w="1449" w:type="dxa"/>
            <w:noWrap w:val="0"/>
            <w:vAlign w:val="center"/>
          </w:tcPr>
          <w:p w14:paraId="526177B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p>
        </w:tc>
      </w:tr>
      <w:tr w14:paraId="33CB57F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noWrap w:val="0"/>
            <w:vAlign w:val="center"/>
          </w:tcPr>
          <w:p w14:paraId="0B52FF69">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1980、6、18</w:t>
            </w:r>
          </w:p>
        </w:tc>
        <w:tc>
          <w:tcPr>
            <w:tcW w:w="1525" w:type="dxa"/>
            <w:noWrap w:val="0"/>
            <w:vAlign w:val="center"/>
          </w:tcPr>
          <w:p w14:paraId="37A80EC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23°37′</w:t>
            </w:r>
          </w:p>
        </w:tc>
        <w:tc>
          <w:tcPr>
            <w:tcW w:w="1609" w:type="dxa"/>
            <w:noWrap w:val="0"/>
            <w:vAlign w:val="center"/>
          </w:tcPr>
          <w:p w14:paraId="29E3C2F1">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104°45′</w:t>
            </w:r>
          </w:p>
        </w:tc>
        <w:tc>
          <w:tcPr>
            <w:tcW w:w="1666" w:type="dxa"/>
            <w:noWrap w:val="0"/>
            <w:vAlign w:val="center"/>
          </w:tcPr>
          <w:p w14:paraId="3E7DDB6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蒙自东北</w:t>
            </w:r>
          </w:p>
        </w:tc>
        <w:tc>
          <w:tcPr>
            <w:tcW w:w="1228" w:type="dxa"/>
            <w:noWrap w:val="0"/>
            <w:vAlign w:val="center"/>
          </w:tcPr>
          <w:p w14:paraId="73950E4F">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4.1</w:t>
            </w:r>
          </w:p>
        </w:tc>
        <w:tc>
          <w:tcPr>
            <w:tcW w:w="1449" w:type="dxa"/>
            <w:noWrap w:val="0"/>
            <w:vAlign w:val="center"/>
          </w:tcPr>
          <w:p w14:paraId="0471E8C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3.9</w:t>
            </w:r>
          </w:p>
        </w:tc>
      </w:tr>
      <w:tr w14:paraId="1AC0459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noWrap w:val="0"/>
            <w:vAlign w:val="center"/>
          </w:tcPr>
          <w:p w14:paraId="63C82CAC">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1980、6、18</w:t>
            </w:r>
          </w:p>
        </w:tc>
        <w:tc>
          <w:tcPr>
            <w:tcW w:w="1525" w:type="dxa"/>
            <w:noWrap w:val="0"/>
            <w:vAlign w:val="center"/>
          </w:tcPr>
          <w:p w14:paraId="1BB0AA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23°25′</w:t>
            </w:r>
          </w:p>
        </w:tc>
        <w:tc>
          <w:tcPr>
            <w:tcW w:w="1609" w:type="dxa"/>
            <w:noWrap w:val="0"/>
            <w:vAlign w:val="center"/>
          </w:tcPr>
          <w:p w14:paraId="374CEC2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104°40′</w:t>
            </w:r>
          </w:p>
        </w:tc>
        <w:tc>
          <w:tcPr>
            <w:tcW w:w="1666" w:type="dxa"/>
            <w:noWrap w:val="0"/>
            <w:vAlign w:val="center"/>
          </w:tcPr>
          <w:p w14:paraId="497E50B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蒙自东北</w:t>
            </w:r>
          </w:p>
        </w:tc>
        <w:tc>
          <w:tcPr>
            <w:tcW w:w="1228" w:type="dxa"/>
            <w:noWrap w:val="0"/>
            <w:vAlign w:val="center"/>
          </w:tcPr>
          <w:p w14:paraId="574EFF2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5.4</w:t>
            </w:r>
          </w:p>
        </w:tc>
        <w:tc>
          <w:tcPr>
            <w:tcW w:w="1449" w:type="dxa"/>
            <w:noWrap w:val="0"/>
            <w:vAlign w:val="center"/>
          </w:tcPr>
          <w:p w14:paraId="0DD80E1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p>
        </w:tc>
      </w:tr>
      <w:tr w14:paraId="57CBA38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459" w:hRule="exact"/>
          <w:jc w:val="center"/>
        </w:trPr>
        <w:tc>
          <w:tcPr>
            <w:tcW w:w="1924" w:type="dxa"/>
            <w:noWrap w:val="0"/>
            <w:vAlign w:val="center"/>
          </w:tcPr>
          <w:p w14:paraId="304107DB">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2005、8、13</w:t>
            </w:r>
          </w:p>
        </w:tc>
        <w:tc>
          <w:tcPr>
            <w:tcW w:w="1525" w:type="dxa"/>
            <w:noWrap w:val="0"/>
            <w:vAlign w:val="center"/>
          </w:tcPr>
          <w:p w14:paraId="182D3578">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23°26′</w:t>
            </w:r>
          </w:p>
        </w:tc>
        <w:tc>
          <w:tcPr>
            <w:tcW w:w="1609" w:type="dxa"/>
            <w:noWrap w:val="0"/>
            <w:vAlign w:val="center"/>
          </w:tcPr>
          <w:p w14:paraId="596F7220">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104°03′</w:t>
            </w:r>
          </w:p>
        </w:tc>
        <w:tc>
          <w:tcPr>
            <w:tcW w:w="1666" w:type="dxa"/>
            <w:noWrap w:val="0"/>
            <w:vAlign w:val="center"/>
          </w:tcPr>
          <w:p w14:paraId="02A8CAAE">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文山以南</w:t>
            </w:r>
          </w:p>
        </w:tc>
        <w:tc>
          <w:tcPr>
            <w:tcW w:w="1228" w:type="dxa"/>
            <w:noWrap w:val="0"/>
            <w:vAlign w:val="center"/>
          </w:tcPr>
          <w:p w14:paraId="527C3DB4">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r>
              <w:rPr>
                <w:rFonts w:hint="default" w:ascii="Times New Roman" w:hAnsi="Times New Roman" w:eastAsia="宋体" w:cs="Times New Roman"/>
                <w:color w:val="auto"/>
                <w:spacing w:val="0"/>
                <w:kern w:val="2"/>
                <w:sz w:val="21"/>
                <w:szCs w:val="21"/>
              </w:rPr>
              <w:t>5.3</w:t>
            </w:r>
          </w:p>
        </w:tc>
        <w:tc>
          <w:tcPr>
            <w:tcW w:w="1449" w:type="dxa"/>
            <w:noWrap w:val="0"/>
            <w:vAlign w:val="center"/>
          </w:tcPr>
          <w:p w14:paraId="02A50FFA">
            <w:pPr>
              <w:keepNext w:val="0"/>
              <w:keepLines w:val="0"/>
              <w:pageBreakBefore w:val="0"/>
              <w:widowControl w:val="0"/>
              <w:kinsoku/>
              <w:wordWrap/>
              <w:overflowPunct/>
              <w:topLinePunct w:val="0"/>
              <w:autoSpaceDE/>
              <w:autoSpaceDN/>
              <w:bidi w:val="0"/>
              <w:adjustRightInd w:val="0"/>
              <w:snapToGrid w:val="0"/>
              <w:spacing w:line="240" w:lineRule="auto"/>
              <w:ind w:firstLine="0" w:firstLineChars="0"/>
              <w:jc w:val="center"/>
              <w:textAlignment w:val="auto"/>
              <w:rPr>
                <w:rFonts w:hint="default" w:ascii="Times New Roman" w:hAnsi="Times New Roman" w:eastAsia="宋体" w:cs="Times New Roman"/>
                <w:color w:val="auto"/>
                <w:spacing w:val="0"/>
                <w:kern w:val="2"/>
                <w:sz w:val="21"/>
                <w:szCs w:val="21"/>
              </w:rPr>
            </w:pPr>
          </w:p>
        </w:tc>
      </w:tr>
    </w:tbl>
    <w:p w14:paraId="6CD9AC51">
      <w:pPr>
        <w:bidi w:val="0"/>
        <w:rPr>
          <w:rFonts w:hint="default"/>
          <w:color w:val="C00000"/>
          <w:lang w:val="en-US" w:eastAsia="zh-CN"/>
        </w:rPr>
      </w:pPr>
    </w:p>
    <w:p w14:paraId="088C5329">
      <w:pPr>
        <w:bidi w:val="0"/>
        <w:rPr>
          <w:rFonts w:hint="default"/>
        </w:rPr>
      </w:pPr>
      <w:r>
        <w:rPr>
          <w:rFonts w:hint="default"/>
        </w:rPr>
        <w:t>矿区内无大的工业厂矿构成的污染源；地下水及地表水体均未受到较大污染。</w:t>
      </w:r>
    </w:p>
    <w:p w14:paraId="4F907279">
      <w:pPr>
        <w:widowControl w:val="0"/>
        <w:adjustRightInd/>
        <w:snapToGrid w:val="0"/>
        <w:spacing w:after="120" w:afterLines="0" w:line="360" w:lineRule="auto"/>
        <w:ind w:firstLine="276" w:firstLineChars="100"/>
        <w:jc w:val="both"/>
        <w:textAlignment w:val="auto"/>
        <w:rPr>
          <w:rFonts w:hint="default" w:ascii="Times New Roman" w:hAnsi="Times New Roman" w:eastAsia="宋体" w:cs="Times New Roman"/>
          <w:color w:val="auto"/>
          <w:kern w:val="2"/>
          <w:sz w:val="28"/>
          <w:szCs w:val="28"/>
          <w:u w:val="none"/>
          <w:lang w:val="en-US" w:eastAsia="zh-CN" w:bidi="ar-SA"/>
        </w:rPr>
      </w:pPr>
      <w:r>
        <w:rPr>
          <w:rFonts w:hint="eastAsia" w:ascii="Times New Roman" w:hAnsi="Times New Roman" w:eastAsia="宋体" w:cs="Times New Roman"/>
          <w:color w:val="auto"/>
          <w:kern w:val="2"/>
          <w:sz w:val="28"/>
          <w:szCs w:val="28"/>
          <w:u w:val="none"/>
          <w:lang w:val="en-US" w:eastAsia="zh-CN" w:bidi="ar-SA"/>
        </w:rPr>
        <w:t>2、</w:t>
      </w:r>
      <w:r>
        <w:rPr>
          <w:rFonts w:hint="default" w:ascii="Times New Roman" w:hAnsi="Times New Roman" w:eastAsia="宋体" w:cs="Times New Roman"/>
          <w:color w:val="auto"/>
          <w:kern w:val="2"/>
          <w:sz w:val="28"/>
          <w:szCs w:val="28"/>
          <w:u w:val="none"/>
          <w:lang w:val="en-US" w:eastAsia="zh-CN" w:bidi="ar-SA"/>
        </w:rPr>
        <w:t>矿区环境现状</w:t>
      </w:r>
    </w:p>
    <w:p w14:paraId="7248C7AA">
      <w:pPr>
        <w:spacing w:line="360" w:lineRule="auto"/>
        <w:ind w:firstLine="561"/>
        <w:rPr>
          <w:rFonts w:hint="default" w:ascii="Times New Roman" w:hAnsi="Times New Roman" w:eastAsia="宋体" w:cs="Times New Roman"/>
          <w:color w:val="auto"/>
          <w:spacing w:val="0"/>
          <w:kern w:val="2"/>
          <w:sz w:val="28"/>
          <w:szCs w:val="28"/>
        </w:rPr>
      </w:pPr>
      <w:r>
        <w:rPr>
          <w:rFonts w:hint="default" w:ascii="Times New Roman" w:hAnsi="Times New Roman" w:eastAsia="宋体" w:cs="Times New Roman"/>
          <w:color w:val="auto"/>
          <w:spacing w:val="0"/>
          <w:kern w:val="2"/>
          <w:sz w:val="28"/>
          <w:szCs w:val="28"/>
        </w:rPr>
        <w:t>矿区自</w:t>
      </w:r>
      <w:r>
        <w:rPr>
          <w:rFonts w:hint="default" w:ascii="Times New Roman" w:hAnsi="Times New Roman" w:eastAsia="宋体" w:cs="Times New Roman"/>
          <w:color w:val="auto"/>
          <w:spacing w:val="0"/>
          <w:kern w:val="2"/>
          <w:sz w:val="28"/>
          <w:szCs w:val="28"/>
          <w:lang w:eastAsia="zh-CN"/>
        </w:rPr>
        <w:t>2009年</w:t>
      </w:r>
      <w:r>
        <w:rPr>
          <w:rFonts w:hint="default" w:ascii="Times New Roman" w:hAnsi="Times New Roman" w:eastAsia="宋体" w:cs="Times New Roman"/>
          <w:color w:val="auto"/>
          <w:spacing w:val="0"/>
          <w:kern w:val="2"/>
          <w:sz w:val="28"/>
          <w:szCs w:val="28"/>
        </w:rPr>
        <w:t>获得采矿权后，对矿区进行了地表露采，矿区开采工程中，影响程度一般。</w:t>
      </w:r>
    </w:p>
    <w:p w14:paraId="3886DFE6">
      <w:pPr>
        <w:bidi w:val="0"/>
        <w:rPr>
          <w:rFonts w:hint="eastAsia" w:eastAsia="宋体"/>
          <w:lang w:eastAsia="zh-CN"/>
        </w:rPr>
      </w:pPr>
      <w:r>
        <w:rPr>
          <w:rFonts w:hint="default"/>
        </w:rPr>
        <w:t>根据《建筑抗震设计规范</w:t>
      </w:r>
      <w:r>
        <w:rPr>
          <w:rFonts w:hint="default"/>
          <w:lang w:eastAsia="zh-CN"/>
        </w:rPr>
        <w:t>（</w:t>
      </w:r>
      <w:r>
        <w:rPr>
          <w:rFonts w:hint="default"/>
        </w:rPr>
        <w:t>2016版</w:t>
      </w:r>
      <w:r>
        <w:rPr>
          <w:rFonts w:hint="default"/>
          <w:lang w:eastAsia="zh-CN"/>
        </w:rPr>
        <w:t>）</w:t>
      </w:r>
      <w:r>
        <w:rPr>
          <w:rFonts w:hint="default"/>
        </w:rPr>
        <w:t>》（GB50011-2010），该地区抗震设防烈度</w:t>
      </w:r>
      <w:r>
        <w:rPr>
          <w:rFonts w:hint="default"/>
        </w:rPr>
        <w:fldChar w:fldCharType="begin"/>
      </w:r>
      <w:r>
        <w:rPr>
          <w:rFonts w:hint="default"/>
        </w:rPr>
        <w:instrText xml:space="preserve"> = 6 \* ROMAN </w:instrText>
      </w:r>
      <w:r>
        <w:rPr>
          <w:rFonts w:hint="default"/>
        </w:rPr>
        <w:fldChar w:fldCharType="separate"/>
      </w:r>
      <w:r>
        <w:rPr>
          <w:rFonts w:hint="default"/>
        </w:rPr>
        <w:t>VI</w:t>
      </w:r>
      <w:r>
        <w:rPr>
          <w:rFonts w:hint="default"/>
        </w:rPr>
        <w:fldChar w:fldCharType="end"/>
      </w:r>
      <w:r>
        <w:rPr>
          <w:rFonts w:hint="default"/>
        </w:rPr>
        <w:t>度，地震分组为第二组，设计基本地震加速度值为0.05g。另据《中国地震动态参数区划图（GB18306—2001）》，矿区地震动峰值加速度为0.05g，反应谱特征周期为0.45s，区域地壳稳定性基本良好</w:t>
      </w:r>
      <w:r>
        <w:rPr>
          <w:rFonts w:hint="eastAsia"/>
          <w:lang w:eastAsia="zh-CN"/>
        </w:rPr>
        <w:t>。</w:t>
      </w:r>
    </w:p>
    <w:p w14:paraId="21A474B1">
      <w:pPr>
        <w:spacing w:line="360" w:lineRule="auto"/>
        <w:ind w:firstLine="561"/>
        <w:rPr>
          <w:rFonts w:hint="default" w:ascii="Times New Roman" w:hAnsi="Times New Roman" w:eastAsia="宋体" w:cs="Times New Roman"/>
          <w:color w:val="auto"/>
          <w:spacing w:val="0"/>
          <w:kern w:val="2"/>
          <w:sz w:val="28"/>
          <w:szCs w:val="28"/>
        </w:rPr>
      </w:pPr>
      <w:r>
        <w:rPr>
          <w:rFonts w:hint="eastAsia" w:ascii="Times New Roman" w:hAnsi="Times New Roman" w:eastAsia="宋体" w:cs="Times New Roman"/>
          <w:color w:val="auto"/>
          <w:spacing w:val="0"/>
          <w:kern w:val="2"/>
          <w:sz w:val="28"/>
          <w:szCs w:val="28"/>
          <w:lang w:val="en-US" w:eastAsia="zh-CN"/>
        </w:rPr>
        <w:t>3、</w:t>
      </w:r>
      <w:r>
        <w:rPr>
          <w:rFonts w:hint="default" w:ascii="Times New Roman" w:hAnsi="Times New Roman" w:eastAsia="宋体" w:cs="Times New Roman"/>
          <w:color w:val="auto"/>
          <w:spacing w:val="0"/>
          <w:kern w:val="2"/>
          <w:sz w:val="28"/>
          <w:szCs w:val="28"/>
        </w:rPr>
        <w:t>矿区开采预测</w:t>
      </w:r>
    </w:p>
    <w:p w14:paraId="4AC2CC6A">
      <w:pPr>
        <w:bidi w:val="0"/>
        <w:rPr>
          <w:rFonts w:hint="default"/>
        </w:rPr>
      </w:pPr>
      <w:r>
        <w:rPr>
          <w:rFonts w:hint="default"/>
        </w:rPr>
        <w:t>矿区及外围附近地区植被发育</w:t>
      </w:r>
      <w:r>
        <w:rPr>
          <w:rFonts w:hint="default"/>
          <w:lang w:eastAsia="zh-CN"/>
        </w:rPr>
        <w:t>，</w:t>
      </w:r>
      <w:r>
        <w:rPr>
          <w:rFonts w:hint="default"/>
        </w:rPr>
        <w:t>植被覆盖率</w:t>
      </w:r>
      <w:r>
        <w:rPr>
          <w:rFonts w:hint="default"/>
          <w:lang w:val="en-US" w:eastAsia="zh-CN"/>
        </w:rPr>
        <w:t>75</w:t>
      </w:r>
      <w:r>
        <w:rPr>
          <w:rFonts w:hint="default"/>
        </w:rPr>
        <w:t>%左右，矿体裸露，第四系为砂、砾、粘土一般厚度0.</w:t>
      </w:r>
      <w:r>
        <w:rPr>
          <w:rFonts w:hint="default"/>
          <w:lang w:val="en-US" w:eastAsia="zh-CN"/>
        </w:rPr>
        <w:t>3</w:t>
      </w:r>
      <w:r>
        <w:rPr>
          <w:rFonts w:hint="eastAsia"/>
          <w:lang w:val="en-US" w:eastAsia="zh-CN"/>
        </w:rPr>
        <w:t>m</w:t>
      </w:r>
      <w:r>
        <w:rPr>
          <w:rFonts w:hint="default"/>
        </w:rPr>
        <w:t>～</w:t>
      </w:r>
      <w:r>
        <w:rPr>
          <w:rFonts w:hint="default"/>
          <w:lang w:val="en-US" w:eastAsia="zh-CN"/>
        </w:rPr>
        <w:t>1.5</w:t>
      </w:r>
      <w:r>
        <w:rPr>
          <w:rFonts w:hint="eastAsia"/>
          <w:lang w:val="en-US" w:eastAsia="zh-CN"/>
        </w:rPr>
        <w:t>m</w:t>
      </w:r>
      <w:r>
        <w:rPr>
          <w:rFonts w:hint="default"/>
        </w:rPr>
        <w:t>，现有生态环境条件较差。矿</w:t>
      </w:r>
      <w:r>
        <w:rPr>
          <w:rFonts w:hint="default"/>
          <w:lang w:val="en-US" w:eastAsia="zh-CN"/>
        </w:rPr>
        <w:t>山</w:t>
      </w:r>
      <w:r>
        <w:rPr>
          <w:rFonts w:hint="default"/>
        </w:rPr>
        <w:t>开采过程中不存在破坏森林现象。矿区及附近地区也没有需要保护的古建筑物、文物、地质遗迹及稀有动植物。</w:t>
      </w:r>
    </w:p>
    <w:p w14:paraId="38965920">
      <w:pPr>
        <w:bidi w:val="0"/>
        <w:rPr>
          <w:rFonts w:hint="default"/>
        </w:rPr>
      </w:pPr>
      <w:r>
        <w:rPr>
          <w:rFonts w:hint="default"/>
        </w:rPr>
        <w:t>矿山为露天开采，采矿过程中易产生粉尘、灰沙，如果处置不当，易对周围环境、耕地、农田造成危害。</w:t>
      </w:r>
    </w:p>
    <w:p w14:paraId="6A86BBEC">
      <w:pPr>
        <w:spacing w:line="360" w:lineRule="auto"/>
        <w:ind w:firstLine="561"/>
        <w:rPr>
          <w:rFonts w:hint="default" w:ascii="Times New Roman" w:hAnsi="Times New Roman" w:eastAsia="宋体" w:cs="Times New Roman"/>
          <w:color w:val="auto"/>
          <w:spacing w:val="0"/>
          <w:kern w:val="2"/>
          <w:sz w:val="28"/>
          <w:szCs w:val="28"/>
        </w:rPr>
      </w:pPr>
      <w:r>
        <w:rPr>
          <w:rFonts w:hint="default" w:ascii="Times New Roman" w:hAnsi="Times New Roman" w:eastAsia="宋体" w:cs="Times New Roman"/>
          <w:color w:val="auto"/>
          <w:spacing w:val="0"/>
          <w:kern w:val="2"/>
          <w:sz w:val="28"/>
          <w:szCs w:val="28"/>
        </w:rPr>
        <w:t>采矿工程和建筑材料加工生产过程中易产生少量灰尘和噪声，生态环境有一定影响，但因远离居民区，且采用合理的采矿方法，对环境影响轻微。</w:t>
      </w:r>
    </w:p>
    <w:p w14:paraId="5D888F40">
      <w:pPr>
        <w:spacing w:line="360" w:lineRule="auto"/>
        <w:ind w:firstLine="561"/>
        <w:rPr>
          <w:rFonts w:hint="default" w:ascii="Times New Roman" w:hAnsi="Times New Roman" w:eastAsia="宋体" w:cs="Times New Roman"/>
          <w:color w:val="auto"/>
          <w:spacing w:val="0"/>
          <w:kern w:val="2"/>
          <w:sz w:val="28"/>
          <w:szCs w:val="28"/>
        </w:rPr>
      </w:pPr>
      <w:r>
        <w:rPr>
          <w:rFonts w:hint="default" w:ascii="Times New Roman" w:hAnsi="Times New Roman" w:eastAsia="宋体" w:cs="Times New Roman"/>
          <w:color w:val="auto"/>
          <w:spacing w:val="0"/>
          <w:kern w:val="2"/>
          <w:sz w:val="28"/>
          <w:szCs w:val="28"/>
        </w:rPr>
        <w:t>矿区矿石坚硬一般，最终产品为建筑用</w:t>
      </w:r>
      <w:r>
        <w:rPr>
          <w:rFonts w:hint="default" w:ascii="Times New Roman" w:hAnsi="Times New Roman" w:eastAsia="宋体" w:cs="Times New Roman"/>
          <w:color w:val="auto"/>
          <w:spacing w:val="0"/>
          <w:kern w:val="2"/>
          <w:sz w:val="28"/>
          <w:szCs w:val="28"/>
          <w:lang w:val="en-US" w:eastAsia="zh-CN"/>
        </w:rPr>
        <w:t>普通建筑材料用石灰岩</w:t>
      </w:r>
      <w:r>
        <w:rPr>
          <w:rFonts w:hint="default" w:ascii="Times New Roman" w:hAnsi="Times New Roman" w:eastAsia="宋体" w:cs="Times New Roman"/>
          <w:color w:val="auto"/>
          <w:spacing w:val="0"/>
          <w:kern w:val="2"/>
          <w:sz w:val="28"/>
          <w:szCs w:val="28"/>
        </w:rPr>
        <w:t>，经机械破碎、筛分即可。由于矿石粘度较大，加工过程大部分为机械化，加工过程中无有毒成分产生，但有噪音及大量粉尘产生，对地质环境和施工人员有一定影响，矿山应认真做好露天矿环境保护工作。该矿床地质环境质量属以工程地质问题为主的中等类型，开采后亦未发生变化。</w:t>
      </w:r>
    </w:p>
    <w:p w14:paraId="7E04FEEC">
      <w:pPr>
        <w:ind w:firstLine="560"/>
        <w:rPr>
          <w:rFonts w:hint="eastAsia" w:ascii="Times New Roman" w:hAnsi="Times New Roman" w:eastAsia="宋体" w:cs="宋体"/>
          <w:color w:val="auto"/>
          <w:spacing w:val="0"/>
          <w:kern w:val="2"/>
          <w:szCs w:val="28"/>
        </w:rPr>
      </w:pPr>
      <w:r>
        <w:rPr>
          <w:rFonts w:hint="default" w:ascii="Times New Roman" w:hAnsi="Times New Roman" w:eastAsia="宋体" w:cs="Times New Roman"/>
          <w:color w:val="auto"/>
          <w:spacing w:val="0"/>
          <w:kern w:val="2"/>
          <w:sz w:val="28"/>
          <w:szCs w:val="28"/>
        </w:rPr>
        <w:t>矿区开采标高均位于当地最低侵蚀基准面以上，地表水、地下水对采矿活动无影响。矿区水文地质条件简单；工程地质类型为中等类型；环境质量属以工程地质问题为主的中等类型</w:t>
      </w:r>
      <w:r>
        <w:rPr>
          <w:rFonts w:hint="eastAsia" w:ascii="Times New Roman" w:hAnsi="Times New Roman" w:eastAsia="宋体" w:cs="宋体"/>
          <w:color w:val="auto"/>
          <w:spacing w:val="0"/>
          <w:kern w:val="2"/>
          <w:szCs w:val="28"/>
        </w:rPr>
        <w:t>。</w:t>
      </w:r>
    </w:p>
    <w:p w14:paraId="1C1B60EC">
      <w:pPr>
        <w:pStyle w:val="4"/>
        <w:bidi w:val="0"/>
        <w:rPr>
          <w:rFonts w:hint="default"/>
          <w:lang w:val="en-US" w:eastAsia="zh-CN"/>
        </w:rPr>
      </w:pPr>
      <w:bookmarkStart w:id="181" w:name="_Toc2196"/>
      <w:r>
        <w:rPr>
          <w:rFonts w:hint="eastAsia"/>
          <w:lang w:val="en-US" w:eastAsia="zh-CN"/>
        </w:rPr>
        <w:t>2.3.5</w:t>
      </w:r>
      <w:r>
        <w:rPr>
          <w:rFonts w:hint="default"/>
          <w:lang w:val="en-US" w:eastAsia="zh-CN"/>
        </w:rPr>
        <w:t>开采技术条件小结</w:t>
      </w:r>
      <w:bookmarkEnd w:id="177"/>
      <w:bookmarkEnd w:id="178"/>
      <w:bookmarkEnd w:id="179"/>
      <w:bookmarkEnd w:id="181"/>
    </w:p>
    <w:p w14:paraId="70BCDFE1">
      <w:pPr>
        <w:keepNext w:val="0"/>
        <w:keepLines w:val="0"/>
        <w:pageBreakBefore w:val="0"/>
        <w:widowControl/>
        <w:kinsoku/>
        <w:wordWrap/>
        <w:overflowPunct/>
        <w:topLinePunct w:val="0"/>
        <w:autoSpaceDE/>
        <w:autoSpaceDN/>
        <w:bidi w:val="0"/>
        <w:adjustRightInd w:val="0"/>
        <w:snapToGrid w:val="0"/>
        <w:spacing w:line="360" w:lineRule="auto"/>
        <w:ind w:firstLine="552" w:firstLineChars="200"/>
        <w:jc w:val="both"/>
        <w:textAlignment w:val="auto"/>
        <w:rPr>
          <w:rFonts w:hint="default" w:ascii="Times New Roman" w:hAnsi="Times New Roman" w:eastAsia="宋体" w:cs="Times New Roman"/>
          <w:color w:val="auto"/>
          <w:kern w:val="0"/>
          <w:lang w:bidi="en-US"/>
        </w:rPr>
      </w:pPr>
      <w:r>
        <w:rPr>
          <w:rFonts w:hint="default" w:ascii="Times New Roman" w:hAnsi="Times New Roman" w:eastAsia="宋体" w:cs="Times New Roman"/>
          <w:color w:val="auto"/>
          <w:sz w:val="28"/>
          <w:szCs w:val="28"/>
        </w:rPr>
        <w:t>该矿床矿坑充水来源仅为大气降雨季节性汇集，大气降雨以直接或间接方式进入矿坑</w:t>
      </w:r>
      <w:r>
        <w:rPr>
          <w:rFonts w:hint="default" w:ascii="Times New Roman" w:hAnsi="Times New Roman" w:eastAsia="宋体" w:cs="Times New Roman"/>
          <w:color w:val="auto"/>
          <w:sz w:val="28"/>
        </w:rPr>
        <w:t>，</w:t>
      </w:r>
      <w:r>
        <w:rPr>
          <w:rFonts w:hint="default" w:ascii="Times New Roman" w:hAnsi="Times New Roman" w:eastAsia="宋体" w:cs="Times New Roman"/>
          <w:color w:val="auto"/>
          <w:sz w:val="28"/>
          <w:szCs w:val="28"/>
        </w:rPr>
        <w:t>矿坑水能自然排泄，一般不会长期滞留于矿坑内，后期局部地段可能存在露天凹陷，建议矿山开采后期设立临时防洪沟，将部分矿坑外地表汇水从采场排出，避免造成局部积水，影响生产。</w:t>
      </w:r>
      <w:r>
        <w:rPr>
          <w:rFonts w:hint="default" w:ascii="Times New Roman" w:hAnsi="Times New Roman" w:eastAsia="宋体" w:cs="Times New Roman"/>
          <w:color w:val="auto"/>
          <w:sz w:val="28"/>
        </w:rPr>
        <w:t>矿区及周围无井、泉分布，生产用水从附近</w:t>
      </w:r>
      <w:r>
        <w:rPr>
          <w:rFonts w:hint="eastAsia" w:ascii="Times New Roman" w:hAnsi="Times New Roman" w:cs="Times New Roman"/>
          <w:color w:val="auto"/>
          <w:sz w:val="28"/>
          <w:lang w:val="en-US" w:eastAsia="zh-CN"/>
        </w:rPr>
        <w:t>村子接入自来水</w:t>
      </w:r>
      <w:r>
        <w:rPr>
          <w:rFonts w:hint="default" w:ascii="Times New Roman" w:hAnsi="Times New Roman" w:eastAsia="宋体" w:cs="Times New Roman"/>
          <w:color w:val="auto"/>
          <w:sz w:val="28"/>
        </w:rPr>
        <w:t>。矿区水文地质条件</w:t>
      </w:r>
      <w:r>
        <w:rPr>
          <w:rFonts w:hint="default" w:ascii="Times New Roman" w:hAnsi="Times New Roman" w:eastAsia="宋体" w:cs="Times New Roman"/>
          <w:color w:val="auto"/>
          <w:sz w:val="28"/>
          <w:szCs w:val="28"/>
        </w:rPr>
        <w:t>属以大气降雨为主的简单类</w:t>
      </w:r>
      <w:r>
        <w:rPr>
          <w:rFonts w:hint="eastAsia" w:ascii="Times New Roman" w:hAnsi="Times New Roman" w:cs="Times New Roman"/>
          <w:color w:val="auto"/>
          <w:sz w:val="28"/>
          <w:szCs w:val="28"/>
          <w:lang w:val="en-US" w:eastAsia="zh-CN"/>
        </w:rPr>
        <w:t>型</w:t>
      </w:r>
      <w:r>
        <w:rPr>
          <w:rFonts w:hint="default" w:ascii="Times New Roman" w:hAnsi="Times New Roman" w:eastAsia="宋体" w:cs="Times New Roman"/>
          <w:color w:val="auto"/>
          <w:kern w:val="0"/>
          <w:lang w:bidi="en-US"/>
        </w:rPr>
        <w:t>。</w:t>
      </w:r>
    </w:p>
    <w:p w14:paraId="58D1BB76">
      <w:pPr>
        <w:bidi w:val="0"/>
        <w:rPr>
          <w:rFonts w:hint="default"/>
        </w:rPr>
      </w:pPr>
      <w:r>
        <w:rPr>
          <w:rFonts w:hint="default"/>
        </w:rPr>
        <w:t>矿区为一自然斜地，近期内未发现有较大的滑坡、泥石流</w:t>
      </w:r>
      <w:r>
        <w:rPr>
          <w:rFonts w:hint="default"/>
          <w:lang w:eastAsia="zh-CN"/>
        </w:rPr>
        <w:t>、</w:t>
      </w:r>
      <w:r>
        <w:rPr>
          <w:rFonts w:hint="default"/>
          <w:lang w:val="en-US" w:eastAsia="zh-CN"/>
        </w:rPr>
        <w:t>岩溶塌陷</w:t>
      </w:r>
      <w:r>
        <w:rPr>
          <w:rFonts w:hint="default"/>
        </w:rPr>
        <w:t>等不良工程地质现象。受风化作用或构造的影响，</w:t>
      </w:r>
      <w:r>
        <w:rPr>
          <w:rFonts w:hint="default"/>
          <w:lang w:val="en-US" w:eastAsia="zh-CN"/>
        </w:rPr>
        <w:t>矿区节理</w:t>
      </w:r>
      <w:r>
        <w:rPr>
          <w:rFonts w:hint="default"/>
        </w:rPr>
        <w:t>裂隙较发育，其完整性和稳定性较差，</w:t>
      </w:r>
      <w:r>
        <w:rPr>
          <w:rFonts w:hint="default"/>
          <w:lang w:val="en-US" w:eastAsia="zh-CN"/>
        </w:rPr>
        <w:t>但</w:t>
      </w:r>
      <w:r>
        <w:rPr>
          <w:rFonts w:hint="default"/>
        </w:rPr>
        <w:t>总体稳固性较好。露采时需将采场边坡角控制在合理范围之内，并及时清除坡面浮石、危岩，防止其坠落。矿区工程地质条件中等</w:t>
      </w:r>
      <w:r>
        <w:rPr>
          <w:rFonts w:hint="default"/>
          <w:lang w:eastAsia="zh-CN"/>
        </w:rPr>
        <w:t>类型</w:t>
      </w:r>
      <w:r>
        <w:rPr>
          <w:rFonts w:hint="default"/>
        </w:rPr>
        <w:t>。</w:t>
      </w:r>
    </w:p>
    <w:p w14:paraId="63084195">
      <w:pPr>
        <w:bidi w:val="0"/>
        <w:rPr>
          <w:rFonts w:hint="default"/>
        </w:rPr>
      </w:pPr>
      <w:r>
        <w:rPr>
          <w:rFonts w:hint="default"/>
        </w:rPr>
        <w:t>矿区矿石坚硬一般，最终产品为建筑用</w:t>
      </w:r>
      <w:r>
        <w:rPr>
          <w:rFonts w:hint="default"/>
          <w:lang w:val="en-US" w:eastAsia="zh-CN"/>
        </w:rPr>
        <w:t>普通建筑材料用石灰岩</w:t>
      </w:r>
      <w:r>
        <w:rPr>
          <w:rFonts w:hint="default"/>
        </w:rPr>
        <w:t>，经机械破碎、筛分即可。由于矿石粘度较大，加工过程大部分为机械化，加工过程中无有毒成分产生，但有噪音及大量粉尘产生，对地质环境和施工人员有一定影响，矿山应认真做好露天矿环境保护工作。该矿床地质环境质量属以工程地质问题为主的中等类型。</w:t>
      </w:r>
    </w:p>
    <w:p w14:paraId="241C2B1E">
      <w:pPr>
        <w:bidi w:val="0"/>
        <w:rPr>
          <w:rFonts w:hint="default"/>
        </w:rPr>
      </w:pPr>
      <w:r>
        <w:rPr>
          <w:rFonts w:hint="default"/>
        </w:rPr>
        <w:t>矿区开采标高均位于当地最低侵蚀基准面以上，地表水、地下水对采矿活动无影响。矿区水文地质条件简单；工程地质类型为中等类型；环境质量属以工程地质问题为主的中等类型。矿区开采技术条件</w:t>
      </w:r>
      <w:r>
        <w:rPr>
          <w:rFonts w:hint="default"/>
          <w:lang w:val="en-US" w:eastAsia="zh-CN"/>
        </w:rPr>
        <w:t>属</w:t>
      </w:r>
      <w:r>
        <w:rPr>
          <w:rFonts w:hint="default"/>
        </w:rPr>
        <w:t>复合问题</w:t>
      </w:r>
      <w:r>
        <w:rPr>
          <w:rFonts w:hint="default"/>
          <w:lang w:eastAsia="zh-CN"/>
        </w:rPr>
        <w:t>（</w:t>
      </w:r>
      <w:r>
        <w:rPr>
          <w:rFonts w:hint="default"/>
          <w:lang w:val="en-US" w:eastAsia="zh-CN"/>
        </w:rPr>
        <w:t>工程地质问题和环境地质问题</w:t>
      </w:r>
      <w:r>
        <w:rPr>
          <w:rFonts w:hint="default"/>
          <w:lang w:eastAsia="zh-CN"/>
        </w:rPr>
        <w:t>）</w:t>
      </w:r>
      <w:r>
        <w:rPr>
          <w:rFonts w:hint="default"/>
        </w:rPr>
        <w:t>为主的中等（Ⅱ</w:t>
      </w:r>
      <w:r>
        <w:rPr>
          <w:rFonts w:hint="default"/>
          <w:lang w:val="en-US" w:eastAsia="zh-CN"/>
        </w:rPr>
        <w:t>-4</w:t>
      </w:r>
      <w:r>
        <w:rPr>
          <w:rFonts w:hint="default"/>
        </w:rPr>
        <w:t>）</w:t>
      </w:r>
      <w:r>
        <w:rPr>
          <w:rFonts w:hint="eastAsia"/>
          <w:lang w:eastAsia="zh-CN"/>
        </w:rPr>
        <w:t>。</w:t>
      </w:r>
    </w:p>
    <w:p w14:paraId="75BFA7C6">
      <w:pPr>
        <w:pStyle w:val="3"/>
        <w:bidi w:val="0"/>
      </w:pPr>
      <w:bookmarkStart w:id="182" w:name="_Toc25003"/>
      <w:r>
        <w:t>2.4建设概况</w:t>
      </w:r>
      <w:bookmarkEnd w:id="150"/>
      <w:bookmarkEnd w:id="151"/>
      <w:bookmarkEnd w:id="152"/>
      <w:bookmarkEnd w:id="180"/>
      <w:bookmarkEnd w:id="182"/>
    </w:p>
    <w:p w14:paraId="5494584B">
      <w:pPr>
        <w:pStyle w:val="4"/>
      </w:pPr>
      <w:bookmarkStart w:id="183" w:name="_Toc19263"/>
      <w:bookmarkStart w:id="184" w:name="_Toc214284007"/>
      <w:bookmarkStart w:id="185" w:name="_Toc28828"/>
      <w:r>
        <w:t>2.4.1矿山</w:t>
      </w:r>
      <w:r>
        <w:rPr>
          <w:rFonts w:hint="eastAsia"/>
          <w:lang w:val="en-US" w:eastAsia="zh-CN"/>
        </w:rPr>
        <w:t>现</w:t>
      </w:r>
      <w:r>
        <w:t>状</w:t>
      </w:r>
      <w:bookmarkEnd w:id="183"/>
      <w:bookmarkEnd w:id="184"/>
      <w:bookmarkEnd w:id="185"/>
    </w:p>
    <w:p w14:paraId="7DC5BE75">
      <w:pPr>
        <w:numPr>
          <w:ilvl w:val="0"/>
          <w:numId w:val="4"/>
        </w:numPr>
        <w:bidi w:val="0"/>
      </w:pPr>
      <w:bookmarkStart w:id="186" w:name="_Toc214284008"/>
      <w:bookmarkStart w:id="187" w:name="_Toc29429"/>
      <w:r>
        <w:t>矿山开采</w:t>
      </w:r>
      <w:r>
        <w:rPr>
          <w:rFonts w:hint="eastAsia"/>
          <w:lang w:val="en-US" w:eastAsia="zh-CN"/>
        </w:rPr>
        <w:t>现</w:t>
      </w:r>
      <w:r>
        <w:t>状</w:t>
      </w:r>
    </w:p>
    <w:p w14:paraId="481C3A20">
      <w:pPr>
        <w:spacing w:line="360" w:lineRule="auto"/>
        <w:ind w:firstLine="552" w:firstLineChars="200"/>
        <w:rPr>
          <w:rFonts w:hint="default" w:ascii="Times New Roman" w:hAnsi="Times New Roman" w:eastAsia="宋体" w:cs="Times New Roman"/>
          <w:lang w:eastAsia="zh-CN"/>
        </w:rPr>
      </w:pPr>
      <w:r>
        <w:rPr>
          <w:rFonts w:hint="default" w:ascii="Times New Roman" w:hAnsi="Times New Roman" w:eastAsia="宋体" w:cs="Times New Roman"/>
          <w:color w:val="auto"/>
          <w:sz w:val="28"/>
          <w:szCs w:val="28"/>
          <w:highlight w:val="none"/>
          <w:lang w:val="en-US" w:eastAsia="zh-CN"/>
        </w:rPr>
        <w:t>该</w:t>
      </w:r>
      <w:r>
        <w:rPr>
          <w:rFonts w:hint="default" w:ascii="Times New Roman" w:hAnsi="Times New Roman" w:eastAsia="宋体" w:cs="Times New Roman"/>
          <w:color w:val="auto"/>
          <w:sz w:val="28"/>
          <w:szCs w:val="28"/>
          <w:highlight w:val="none"/>
          <w:lang w:eastAsia="zh-CN"/>
        </w:rPr>
        <w:t>矿山为已有</w:t>
      </w:r>
      <w:r>
        <w:rPr>
          <w:rFonts w:hint="default" w:ascii="Times New Roman" w:hAnsi="Times New Roman" w:eastAsia="宋体" w:cs="Times New Roman"/>
          <w:color w:val="auto"/>
          <w:sz w:val="28"/>
          <w:szCs w:val="28"/>
          <w:highlight w:val="none"/>
        </w:rPr>
        <w:t>矿山</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矿区</w:t>
      </w:r>
      <w:r>
        <w:rPr>
          <w:rFonts w:hint="eastAsia" w:ascii="Times New Roman" w:hAnsi="Times New Roman" w:eastAsia="宋体" w:cs="Times New Roman"/>
          <w:color w:val="auto"/>
          <w:sz w:val="28"/>
          <w:szCs w:val="28"/>
          <w:highlight w:val="none"/>
          <w:lang w:val="en-US" w:eastAsia="zh-CN"/>
        </w:rPr>
        <w:t>西</w:t>
      </w:r>
      <w:r>
        <w:rPr>
          <w:rFonts w:hint="default" w:ascii="Times New Roman" w:hAnsi="Times New Roman" w:eastAsia="宋体" w:cs="Times New Roman"/>
          <w:color w:val="auto"/>
          <w:sz w:val="28"/>
          <w:szCs w:val="28"/>
          <w:highlight w:val="none"/>
          <w:lang w:val="en-US" w:eastAsia="zh-CN"/>
        </w:rPr>
        <w:t>北部</w:t>
      </w:r>
      <w:r>
        <w:rPr>
          <w:rFonts w:hint="default" w:ascii="Times New Roman" w:hAnsi="Times New Roman" w:eastAsia="宋体" w:cs="Times New Roman"/>
          <w:color w:val="auto"/>
          <w:sz w:val="28"/>
          <w:szCs w:val="28"/>
          <w:highlight w:val="none"/>
        </w:rPr>
        <w:t>形成</w:t>
      </w:r>
      <w:r>
        <w:rPr>
          <w:rFonts w:hint="default" w:ascii="Times New Roman" w:hAnsi="Times New Roman" w:eastAsia="宋体" w:cs="Times New Roman"/>
          <w:color w:val="auto"/>
          <w:sz w:val="28"/>
          <w:szCs w:val="28"/>
          <w:highlight w:val="none"/>
          <w:lang w:eastAsia="zh-CN"/>
        </w:rPr>
        <w:t>三</w:t>
      </w:r>
      <w:r>
        <w:rPr>
          <w:rFonts w:hint="default" w:ascii="Times New Roman" w:hAnsi="Times New Roman" w:eastAsia="宋体" w:cs="Times New Roman"/>
          <w:color w:val="auto"/>
          <w:sz w:val="28"/>
          <w:szCs w:val="28"/>
          <w:highlight w:val="none"/>
        </w:rPr>
        <w:t>个</w:t>
      </w:r>
      <w:r>
        <w:rPr>
          <w:rFonts w:hint="default" w:ascii="Times New Roman" w:hAnsi="Times New Roman" w:eastAsia="宋体" w:cs="Times New Roman"/>
          <w:color w:val="auto"/>
          <w:sz w:val="28"/>
          <w:szCs w:val="28"/>
          <w:highlight w:val="none"/>
          <w:lang w:eastAsia="zh-CN"/>
        </w:rPr>
        <w:t>不规则</w:t>
      </w:r>
      <w:r>
        <w:rPr>
          <w:rFonts w:hint="default" w:ascii="Times New Roman" w:hAnsi="Times New Roman" w:eastAsia="宋体" w:cs="Times New Roman"/>
          <w:color w:val="auto"/>
          <w:sz w:val="28"/>
          <w:szCs w:val="28"/>
          <w:highlight w:val="none"/>
          <w:lang w:val="en-US" w:eastAsia="zh-CN"/>
        </w:rPr>
        <w:t>平台</w:t>
      </w:r>
      <w:r>
        <w:rPr>
          <w:rFonts w:hint="default" w:ascii="Times New Roman" w:hAnsi="Times New Roman" w:eastAsia="宋体" w:cs="Times New Roman"/>
          <w:color w:val="auto"/>
          <w:sz w:val="28"/>
          <w:szCs w:val="28"/>
          <w:highlight w:val="none"/>
        </w:rPr>
        <w:t>，标高自上而下分别为</w:t>
      </w:r>
      <w:r>
        <w:rPr>
          <w:rFonts w:hint="default" w:ascii="Times New Roman" w:hAnsi="Times New Roman" w:eastAsia="宋体" w:cs="Times New Roman"/>
          <w:color w:val="auto"/>
          <w:sz w:val="28"/>
          <w:szCs w:val="28"/>
          <w:highlight w:val="none"/>
          <w:lang w:val="en-US" w:eastAsia="zh-CN"/>
        </w:rPr>
        <w:t>：172</w:t>
      </w:r>
      <w:r>
        <w:rPr>
          <w:rFonts w:hint="eastAsia" w:ascii="Times New Roman" w:hAnsi="Times New Roman" w:eastAsia="宋体" w:cs="Times New Roman"/>
          <w:color w:val="auto"/>
          <w:sz w:val="28"/>
          <w:szCs w:val="28"/>
          <w:highlight w:val="none"/>
          <w:lang w:val="en-US" w:eastAsia="zh-CN"/>
        </w:rPr>
        <w:t>0</w:t>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val="en-US" w:eastAsia="zh-CN"/>
        </w:rPr>
        <w:t>170</w:t>
      </w:r>
      <w:r>
        <w:rPr>
          <w:rFonts w:hint="eastAsia" w:ascii="Times New Roman" w:hAnsi="Times New Roman" w:eastAsia="宋体" w:cs="Times New Roman"/>
          <w:color w:val="auto"/>
          <w:sz w:val="28"/>
          <w:szCs w:val="28"/>
          <w:highlight w:val="none"/>
          <w:lang w:val="en-US" w:eastAsia="zh-CN"/>
        </w:rPr>
        <w:t>5</w:t>
      </w:r>
      <w:r>
        <w:rPr>
          <w:rFonts w:hint="default" w:ascii="Times New Roman" w:hAnsi="Times New Roman" w:eastAsia="宋体" w:cs="Times New Roman"/>
          <w:color w:val="auto"/>
          <w:sz w:val="28"/>
          <w:szCs w:val="28"/>
          <w:highlight w:val="none"/>
        </w:rPr>
        <w:t>m</w:t>
      </w:r>
      <w:r>
        <w:rPr>
          <w:rFonts w:hint="default" w:ascii="Times New Roman" w:hAnsi="Times New Roman" w:eastAsia="宋体" w:cs="Times New Roman"/>
          <w:color w:val="auto"/>
          <w:sz w:val="28"/>
          <w:szCs w:val="28"/>
          <w:highlight w:val="none"/>
          <w:lang w:val="en-US" w:eastAsia="zh-CN"/>
        </w:rPr>
        <w:t>台阶，台阶高</w:t>
      </w:r>
      <w:r>
        <w:rPr>
          <w:rFonts w:hint="eastAsia" w:ascii="Times New Roman" w:hAnsi="Times New Roman" w:eastAsia="宋体" w:cs="Times New Roman"/>
          <w:color w:val="auto"/>
          <w:sz w:val="28"/>
          <w:szCs w:val="28"/>
          <w:highlight w:val="none"/>
          <w:lang w:val="en-US" w:eastAsia="zh-CN"/>
        </w:rPr>
        <w:t>15</w:t>
      </w:r>
      <w:r>
        <w:rPr>
          <w:rFonts w:hint="default" w:ascii="Times New Roman" w:hAnsi="Times New Roman" w:eastAsia="宋体" w:cs="Times New Roman"/>
          <w:color w:val="auto"/>
          <w:sz w:val="28"/>
          <w:szCs w:val="28"/>
          <w:highlight w:val="none"/>
          <w:lang w:val="en-US" w:eastAsia="zh-CN"/>
        </w:rPr>
        <w:t>m</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安全平台宽5</w:t>
      </w:r>
      <w:r>
        <w:rPr>
          <w:rFonts w:hint="eastAsia" w:ascii="Times New Roman" w:hAnsi="Times New Roman" w:cs="Times New Roman"/>
          <w:color w:val="auto"/>
          <w:sz w:val="28"/>
          <w:szCs w:val="28"/>
          <w:highlight w:val="none"/>
          <w:lang w:val="en-US" w:eastAsia="zh-CN"/>
        </w:rPr>
        <w:t>m</w:t>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val="en-US" w:eastAsia="zh-CN"/>
        </w:rPr>
        <w:t>6m</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170</w:t>
      </w:r>
      <w:r>
        <w:rPr>
          <w:rFonts w:hint="eastAsia" w:ascii="Times New Roman" w:hAnsi="Times New Roman" w:eastAsia="宋体" w:cs="Times New Roman"/>
          <w:color w:val="auto"/>
          <w:sz w:val="28"/>
          <w:szCs w:val="28"/>
          <w:highlight w:val="none"/>
          <w:lang w:val="en-US" w:eastAsia="zh-CN"/>
        </w:rPr>
        <w:t>5</w:t>
      </w:r>
      <w:r>
        <w:rPr>
          <w:rFonts w:hint="eastAsia" w:ascii="Times New Roman" w:hAnsi="Times New Roman" w:cs="Times New Roman"/>
          <w:color w:val="auto"/>
          <w:sz w:val="28"/>
          <w:szCs w:val="28"/>
          <w:highlight w:val="none"/>
          <w:lang w:val="en-US" w:eastAsia="zh-CN"/>
        </w:rPr>
        <w:t>m</w:t>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eastAsia="宋体" w:cs="Times New Roman"/>
          <w:color w:val="auto"/>
          <w:sz w:val="28"/>
          <w:szCs w:val="28"/>
          <w:highlight w:val="none"/>
          <w:lang w:val="en-US" w:eastAsia="zh-CN"/>
        </w:rPr>
        <w:t>89</w:t>
      </w:r>
      <w:r>
        <w:rPr>
          <w:rFonts w:hint="default" w:ascii="Times New Roman" w:hAnsi="Times New Roman" w:eastAsia="宋体" w:cs="Times New Roman"/>
          <w:color w:val="auto"/>
          <w:sz w:val="28"/>
          <w:szCs w:val="28"/>
          <w:highlight w:val="none"/>
        </w:rPr>
        <w:t>m</w:t>
      </w:r>
      <w:r>
        <w:rPr>
          <w:rFonts w:hint="default" w:ascii="Times New Roman" w:hAnsi="Times New Roman" w:eastAsia="宋体" w:cs="Times New Roman"/>
          <w:color w:val="auto"/>
          <w:sz w:val="28"/>
          <w:szCs w:val="28"/>
          <w:highlight w:val="none"/>
          <w:lang w:val="en-US" w:eastAsia="zh-CN"/>
        </w:rPr>
        <w:t>台阶</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台阶高</w:t>
      </w:r>
      <w:r>
        <w:rPr>
          <w:rFonts w:hint="eastAsia" w:ascii="Times New Roman" w:hAnsi="Times New Roman" w:eastAsia="宋体" w:cs="Times New Roman"/>
          <w:color w:val="auto"/>
          <w:sz w:val="28"/>
          <w:szCs w:val="28"/>
          <w:highlight w:val="none"/>
          <w:lang w:val="en-US" w:eastAsia="zh-CN"/>
        </w:rPr>
        <w:t>16</w:t>
      </w:r>
      <w:r>
        <w:rPr>
          <w:rFonts w:hint="default" w:ascii="Times New Roman" w:hAnsi="Times New Roman" w:eastAsia="宋体" w:cs="Times New Roman"/>
          <w:color w:val="auto"/>
          <w:sz w:val="28"/>
          <w:szCs w:val="28"/>
          <w:highlight w:val="none"/>
          <w:lang w:val="en-US" w:eastAsia="zh-CN"/>
        </w:rPr>
        <w:t>m</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安全平台宽2.5</w:t>
      </w:r>
      <w:r>
        <w:rPr>
          <w:rFonts w:hint="eastAsia" w:ascii="Times New Roman" w:hAnsi="Times New Roman" w:cs="Times New Roman"/>
          <w:color w:val="auto"/>
          <w:sz w:val="28"/>
          <w:szCs w:val="28"/>
          <w:highlight w:val="none"/>
          <w:lang w:val="en-US" w:eastAsia="zh-CN"/>
        </w:rPr>
        <w:t>m</w:t>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val="en-US" w:eastAsia="zh-CN"/>
        </w:rPr>
        <w:t>4m</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lang w:val="en-US" w:eastAsia="zh-CN"/>
        </w:rPr>
        <w:t>底部平台</w:t>
      </w:r>
      <w:r>
        <w:rPr>
          <w:rFonts w:hint="default" w:ascii="Times New Roman" w:hAnsi="Times New Roman" w:eastAsia="宋体" w:cs="Times New Roman"/>
          <w:color w:val="auto"/>
          <w:sz w:val="28"/>
          <w:szCs w:val="28"/>
          <w:highlight w:val="none"/>
        </w:rPr>
        <w:t>1</w:t>
      </w:r>
      <w:r>
        <w:rPr>
          <w:rFonts w:hint="default" w:ascii="Times New Roman" w:hAnsi="Times New Roman" w:eastAsia="宋体" w:cs="Times New Roman"/>
          <w:color w:val="auto"/>
          <w:sz w:val="28"/>
          <w:szCs w:val="28"/>
          <w:highlight w:val="none"/>
          <w:lang w:val="en-US" w:eastAsia="zh-CN"/>
        </w:rPr>
        <w:t>6</w:t>
      </w:r>
      <w:r>
        <w:rPr>
          <w:rFonts w:hint="eastAsia" w:ascii="Times New Roman" w:hAnsi="Times New Roman" w:eastAsia="宋体" w:cs="Times New Roman"/>
          <w:color w:val="auto"/>
          <w:sz w:val="28"/>
          <w:szCs w:val="28"/>
          <w:highlight w:val="none"/>
          <w:lang w:val="en-US" w:eastAsia="zh-CN"/>
        </w:rPr>
        <w:t>89</w:t>
      </w:r>
      <w:r>
        <w:rPr>
          <w:rFonts w:hint="default" w:ascii="Times New Roman" w:hAnsi="Times New Roman" w:eastAsia="宋体" w:cs="Times New Roman"/>
          <w:color w:val="auto"/>
          <w:sz w:val="28"/>
          <w:szCs w:val="28"/>
          <w:highlight w:val="none"/>
        </w:rPr>
        <w:t>～</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eastAsia="宋体" w:cs="Times New Roman"/>
          <w:color w:val="auto"/>
          <w:sz w:val="28"/>
          <w:szCs w:val="28"/>
          <w:highlight w:val="none"/>
          <w:lang w:val="en-US" w:eastAsia="zh-CN"/>
        </w:rPr>
        <w:t>4</w:t>
      </w:r>
      <w:r>
        <w:rPr>
          <w:rFonts w:hint="eastAsia" w:ascii="Times New Roman" w:hAnsi="Times New Roman" w:cs="Times New Roman"/>
          <w:color w:val="auto"/>
          <w:sz w:val="28"/>
          <w:szCs w:val="28"/>
          <w:highlight w:val="none"/>
          <w:lang w:val="en-US" w:eastAsia="zh-CN"/>
        </w:rPr>
        <w:t>5</w:t>
      </w:r>
      <w:r>
        <w:rPr>
          <w:rFonts w:hint="default" w:ascii="Times New Roman" w:hAnsi="Times New Roman" w:eastAsia="宋体" w:cs="Times New Roman"/>
          <w:color w:val="auto"/>
          <w:sz w:val="28"/>
          <w:szCs w:val="28"/>
          <w:highlight w:val="none"/>
        </w:rPr>
        <w:t>m</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部分区域为</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eastAsia="宋体" w:cs="Times New Roman"/>
          <w:color w:val="auto"/>
          <w:sz w:val="28"/>
          <w:szCs w:val="28"/>
          <w:highlight w:val="none"/>
          <w:lang w:val="en-US" w:eastAsia="zh-CN"/>
        </w:rPr>
        <w:t>4</w:t>
      </w:r>
      <w:r>
        <w:rPr>
          <w:rFonts w:hint="eastAsia" w:ascii="Times New Roman" w:hAnsi="Times New Roman" w:cs="Times New Roman"/>
          <w:color w:val="auto"/>
          <w:sz w:val="28"/>
          <w:szCs w:val="28"/>
          <w:highlight w:val="none"/>
          <w:lang w:val="en-US" w:eastAsia="zh-CN"/>
        </w:rPr>
        <w:t>1</w:t>
      </w:r>
      <w:r>
        <w:rPr>
          <w:rFonts w:hint="default" w:ascii="Times New Roman" w:hAnsi="Times New Roman" w:eastAsia="宋体" w:cs="Times New Roman"/>
          <w:color w:val="auto"/>
          <w:sz w:val="28"/>
          <w:szCs w:val="28"/>
          <w:highlight w:val="none"/>
        </w:rPr>
        <w:t>m</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台阶高4</w:t>
      </w:r>
      <w:r>
        <w:rPr>
          <w:rFonts w:hint="eastAsia" w:ascii="Times New Roman" w:hAnsi="Times New Roman" w:cs="Times New Roman"/>
          <w:color w:val="auto"/>
          <w:sz w:val="28"/>
          <w:szCs w:val="28"/>
          <w:highlight w:val="none"/>
          <w:lang w:val="en-US" w:eastAsia="zh-CN"/>
        </w:rPr>
        <w:t>4</w:t>
      </w:r>
      <w:r>
        <w:rPr>
          <w:rFonts w:hint="default" w:ascii="Times New Roman" w:hAnsi="Times New Roman" w:eastAsia="宋体" w:cs="Times New Roman"/>
          <w:color w:val="auto"/>
          <w:sz w:val="28"/>
          <w:szCs w:val="28"/>
          <w:highlight w:val="none"/>
          <w:lang w:val="en-US" w:eastAsia="zh-CN"/>
        </w:rPr>
        <w:t>m；</w:t>
      </w:r>
      <w:r>
        <w:rPr>
          <w:rFonts w:hint="default" w:ascii="Times New Roman" w:hAnsi="Times New Roman" w:eastAsia="宋体" w:cs="Times New Roman"/>
        </w:rPr>
        <w:t>经现场勘查，形成的台阶较稳定，矿区范围内目前未发生崩塌、滑坡、泥石流等地质灾</w:t>
      </w:r>
      <w:r>
        <w:rPr>
          <w:rFonts w:hint="default" w:ascii="Times New Roman" w:hAnsi="Times New Roman" w:eastAsia="宋体" w:cs="Times New Roman"/>
          <w:lang w:eastAsia="zh-CN"/>
        </w:rPr>
        <w:t>。</w:t>
      </w:r>
    </w:p>
    <w:p w14:paraId="36D16D6C">
      <w:pPr>
        <w:numPr>
          <w:ilvl w:val="0"/>
          <w:numId w:val="0"/>
        </w:numPr>
        <w:bidi w:val="0"/>
        <w:ind w:firstLine="552" w:firstLineChars="200"/>
        <w:rPr>
          <w:rFonts w:hint="eastAsia"/>
          <w:color w:val="auto"/>
          <w:szCs w:val="28"/>
          <w:lang w:eastAsia="zh-CN"/>
        </w:rPr>
      </w:pPr>
      <w:r>
        <w:rPr>
          <w:rFonts w:hint="default" w:ascii="Times New Roman" w:hAnsi="Times New Roman" w:eastAsia="宋体" w:cs="Times New Roman"/>
          <w:color w:val="auto"/>
          <w:sz w:val="28"/>
          <w:szCs w:val="28"/>
          <w:highlight w:val="none"/>
          <w:lang w:val="en-US" w:eastAsia="zh-CN"/>
        </w:rPr>
        <w:t>在矿区西部</w:t>
      </w:r>
      <w:r>
        <w:rPr>
          <w:rFonts w:hint="eastAsia" w:ascii="Times New Roman" w:hAnsi="Times New Roman" w:eastAsia="宋体" w:cs="Times New Roman"/>
          <w:color w:val="auto"/>
          <w:sz w:val="28"/>
          <w:szCs w:val="28"/>
          <w:highlight w:val="none"/>
          <w:lang w:val="en-US" w:eastAsia="zh-CN"/>
        </w:rPr>
        <w:t>及南部</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eastAsia="宋体" w:cs="Times New Roman"/>
          <w:color w:val="auto"/>
          <w:sz w:val="28"/>
          <w:szCs w:val="28"/>
          <w:highlight w:val="none"/>
          <w:lang w:val="en-US" w:eastAsia="zh-CN"/>
        </w:rPr>
        <w:t>45</w:t>
      </w:r>
      <w:r>
        <w:rPr>
          <w:rFonts w:hint="default" w:ascii="Times New Roman" w:hAnsi="Times New Roman" w:eastAsia="宋体" w:cs="Times New Roman"/>
          <w:color w:val="auto"/>
          <w:sz w:val="28"/>
          <w:szCs w:val="28"/>
          <w:highlight w:val="none"/>
          <w:lang w:val="en-US" w:eastAsia="zh-CN"/>
        </w:rPr>
        <w:t>m</w:t>
      </w:r>
      <w:r>
        <w:rPr>
          <w:rFonts w:hint="eastAsia" w:ascii="Times New Roman" w:hAnsi="Times New Roman" w:cs="Times New Roman"/>
          <w:color w:val="auto"/>
          <w:sz w:val="28"/>
          <w:szCs w:val="28"/>
          <w:highlight w:val="none"/>
          <w:lang w:eastAsia="zh-CN"/>
        </w:rPr>
        <w:t>（</w:t>
      </w:r>
      <w:r>
        <w:rPr>
          <w:rFonts w:hint="eastAsia" w:ascii="Times New Roman" w:hAnsi="Times New Roman" w:cs="Times New Roman"/>
          <w:color w:val="auto"/>
          <w:sz w:val="28"/>
          <w:szCs w:val="28"/>
          <w:highlight w:val="none"/>
          <w:lang w:val="en-US" w:eastAsia="zh-CN"/>
        </w:rPr>
        <w:t>部分区域为</w:t>
      </w:r>
      <w:r>
        <w:rPr>
          <w:rFonts w:hint="default" w:ascii="Times New Roman" w:hAnsi="Times New Roman" w:eastAsia="宋体" w:cs="Times New Roman"/>
          <w:color w:val="auto"/>
          <w:sz w:val="28"/>
          <w:szCs w:val="28"/>
          <w:highlight w:val="none"/>
          <w:lang w:val="en-US" w:eastAsia="zh-CN"/>
        </w:rPr>
        <w:t>16</w:t>
      </w:r>
      <w:r>
        <w:rPr>
          <w:rFonts w:hint="eastAsia" w:ascii="Times New Roman" w:hAnsi="Times New Roman" w:eastAsia="宋体" w:cs="Times New Roman"/>
          <w:color w:val="auto"/>
          <w:sz w:val="28"/>
          <w:szCs w:val="28"/>
          <w:highlight w:val="none"/>
          <w:lang w:val="en-US" w:eastAsia="zh-CN"/>
        </w:rPr>
        <w:t>4</w:t>
      </w:r>
      <w:r>
        <w:rPr>
          <w:rFonts w:hint="eastAsia" w:ascii="Times New Roman" w:hAnsi="Times New Roman" w:cs="Times New Roman"/>
          <w:color w:val="auto"/>
          <w:sz w:val="28"/>
          <w:szCs w:val="28"/>
          <w:highlight w:val="none"/>
          <w:lang w:val="en-US" w:eastAsia="zh-CN"/>
        </w:rPr>
        <w:t>1</w:t>
      </w:r>
      <w:r>
        <w:rPr>
          <w:rFonts w:hint="default" w:ascii="Times New Roman" w:hAnsi="Times New Roman" w:eastAsia="宋体" w:cs="Times New Roman"/>
          <w:color w:val="auto"/>
          <w:sz w:val="28"/>
          <w:szCs w:val="28"/>
          <w:highlight w:val="none"/>
        </w:rPr>
        <w:t>m</w:t>
      </w:r>
      <w:r>
        <w:rPr>
          <w:rFonts w:hint="eastAsia" w:ascii="Times New Roman" w:hAnsi="Times New Roman" w:cs="Times New Roman"/>
          <w:color w:val="auto"/>
          <w:sz w:val="28"/>
          <w:szCs w:val="28"/>
          <w:highlight w:val="none"/>
          <w:lang w:eastAsia="zh-CN"/>
        </w:rPr>
        <w:t>）</w:t>
      </w:r>
      <w:r>
        <w:rPr>
          <w:rFonts w:hint="default" w:ascii="Times New Roman" w:hAnsi="Times New Roman" w:eastAsia="宋体" w:cs="Times New Roman"/>
          <w:color w:val="auto"/>
          <w:sz w:val="28"/>
          <w:szCs w:val="28"/>
          <w:highlight w:val="none"/>
          <w:lang w:val="en-US" w:eastAsia="zh-CN"/>
        </w:rPr>
        <w:t>标高形成了面积：0.0</w:t>
      </w:r>
      <w:r>
        <w:rPr>
          <w:rFonts w:hint="eastAsia" w:ascii="Times New Roman" w:hAnsi="Times New Roman" w:eastAsia="宋体" w:cs="Times New Roman"/>
          <w:color w:val="auto"/>
          <w:sz w:val="28"/>
          <w:szCs w:val="28"/>
          <w:highlight w:val="none"/>
          <w:lang w:val="en-US" w:eastAsia="zh-CN"/>
        </w:rPr>
        <w:t>077</w:t>
      </w:r>
      <w:r>
        <w:rPr>
          <w:rFonts w:hint="default" w:ascii="Times New Roman" w:hAnsi="Times New Roman" w:eastAsia="宋体" w:cs="Times New Roman"/>
          <w:color w:val="auto"/>
          <w:sz w:val="28"/>
          <w:szCs w:val="28"/>
          <w:highlight w:val="none"/>
          <w:lang w:val="en-US" w:eastAsia="zh-CN"/>
        </w:rPr>
        <w:t>km</w:t>
      </w:r>
      <w:r>
        <w:rPr>
          <w:rFonts w:hint="default" w:ascii="Times New Roman" w:hAnsi="Times New Roman" w:eastAsia="宋体" w:cs="Times New Roman"/>
          <w:color w:val="auto"/>
          <w:sz w:val="28"/>
          <w:szCs w:val="28"/>
          <w:highlight w:val="none"/>
          <w:vertAlign w:val="superscript"/>
          <w:lang w:val="en-US" w:eastAsia="zh-CN"/>
        </w:rPr>
        <w:t>2</w:t>
      </w:r>
      <w:r>
        <w:rPr>
          <w:rFonts w:hint="default" w:ascii="Times New Roman" w:hAnsi="Times New Roman" w:eastAsia="宋体" w:cs="Times New Roman"/>
          <w:color w:val="auto"/>
          <w:sz w:val="28"/>
          <w:szCs w:val="28"/>
          <w:highlight w:val="none"/>
          <w:lang w:val="en-US" w:eastAsia="zh-CN"/>
        </w:rPr>
        <w:t>的采坑</w:t>
      </w:r>
      <w:r>
        <w:rPr>
          <w:rFonts w:hint="eastAsia"/>
          <w:color w:val="auto"/>
          <w:szCs w:val="28"/>
          <w:lang w:eastAsia="zh-CN"/>
        </w:rPr>
        <w:t>（现状图</w:t>
      </w:r>
      <w:r>
        <w:rPr>
          <w:rFonts w:hint="eastAsia"/>
          <w:color w:val="auto"/>
          <w:szCs w:val="28"/>
          <w:lang w:val="en-US" w:eastAsia="zh-CN"/>
        </w:rPr>
        <w:t>2.4-1</w:t>
      </w:r>
      <w:r>
        <w:rPr>
          <w:rFonts w:hint="eastAsia"/>
          <w:color w:val="auto"/>
          <w:szCs w:val="28"/>
          <w:lang w:eastAsia="zh-CN"/>
        </w:rPr>
        <w:t>）。</w:t>
      </w:r>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1"/>
      </w:tblGrid>
      <w:tr w14:paraId="7ED27D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c>
          <w:tcPr>
            <w:tcW w:w="9571" w:type="dxa"/>
            <w:tcBorders>
              <w:tl2br w:val="nil"/>
              <w:tr2bl w:val="nil"/>
            </w:tcBorders>
            <w:vAlign w:val="top"/>
          </w:tcPr>
          <w:p w14:paraId="55E1B68A">
            <w:pPr>
              <w:numPr>
                <w:ilvl w:val="0"/>
                <w:numId w:val="0"/>
              </w:numPr>
              <w:bidi w:val="0"/>
              <w:rPr>
                <w:rFonts w:hint="eastAsia"/>
                <w:color w:val="auto"/>
                <w:szCs w:val="28"/>
                <w:vertAlign w:val="baseline"/>
                <w:lang w:val="en-US" w:eastAsia="zh-CN"/>
              </w:rPr>
            </w:pPr>
            <w:r>
              <w:rPr>
                <w:rFonts w:hint="eastAsia"/>
                <w:color w:val="auto"/>
                <w:szCs w:val="28"/>
                <w:vertAlign w:val="baseline"/>
                <w:lang w:val="en-US" w:eastAsia="zh-CN"/>
              </w:rPr>
              <w:drawing>
                <wp:inline distT="0" distB="0" distL="114300" distR="114300">
                  <wp:extent cx="5937250" cy="6576695"/>
                  <wp:effectExtent l="0" t="0" r="6350" b="14605"/>
                  <wp:docPr id="28" name="图片 28" descr="f3c665af2522b2475fa71acab99484c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 28" descr="f3c665af2522b2475fa71acab99484c3"/>
                          <pic:cNvPicPr>
                            <a:picLocks noChangeAspect="1"/>
                          </pic:cNvPicPr>
                        </pic:nvPicPr>
                        <pic:blipFill>
                          <a:blip r:embed="rId20"/>
                          <a:stretch>
                            <a:fillRect/>
                          </a:stretch>
                        </pic:blipFill>
                        <pic:spPr>
                          <a:xfrm>
                            <a:off x="0" y="0"/>
                            <a:ext cx="5937250" cy="6576695"/>
                          </a:xfrm>
                          <a:prstGeom prst="rect">
                            <a:avLst/>
                          </a:prstGeom>
                        </pic:spPr>
                      </pic:pic>
                    </a:graphicData>
                  </a:graphic>
                </wp:inline>
              </w:drawing>
            </w:r>
          </w:p>
          <w:p w14:paraId="4143C720">
            <w:pPr>
              <w:widowControl w:val="0"/>
              <w:wordWrap/>
              <w:adjustRightInd w:val="0"/>
              <w:snapToGrid w:val="0"/>
              <w:spacing w:before="0" w:beforeLines="0" w:after="0" w:afterLines="0" w:line="360" w:lineRule="auto"/>
              <w:ind w:left="0" w:leftChars="0" w:right="0" w:firstLine="0" w:firstLineChars="0"/>
              <w:jc w:val="center"/>
              <w:textAlignment w:val="auto"/>
              <w:outlineLvl w:val="9"/>
              <w:rPr>
                <w:rFonts w:hint="eastAsia"/>
                <w:color w:val="auto"/>
                <w:szCs w:val="28"/>
                <w:vertAlign w:val="baseline"/>
                <w:lang w:val="en-US" w:eastAsia="zh-CN"/>
              </w:rPr>
            </w:pPr>
            <w:r>
              <w:rPr>
                <w:rFonts w:hint="default" w:ascii="Times New Roman" w:hAnsi="Times New Roman" w:cs="Times New Roman"/>
                <w:b/>
                <w:bCs/>
                <w:color w:val="auto"/>
                <w:sz w:val="24"/>
                <w:szCs w:val="24"/>
                <w:highlight w:val="none"/>
                <w:lang w:eastAsia="zh-CN"/>
              </w:rPr>
              <w:t>图</w:t>
            </w:r>
            <w:r>
              <w:rPr>
                <w:rFonts w:hint="eastAsia" w:cs="Times New Roman"/>
                <w:b/>
                <w:bCs/>
                <w:color w:val="auto"/>
                <w:sz w:val="24"/>
                <w:szCs w:val="24"/>
                <w:highlight w:val="none"/>
                <w:lang w:val="en-US" w:eastAsia="zh-CN"/>
              </w:rPr>
              <w:t>2.4-1</w:t>
            </w:r>
            <w:r>
              <w:rPr>
                <w:rFonts w:hint="default" w:ascii="Times New Roman" w:hAnsi="Times New Roman" w:eastAsia="宋体" w:cs="Times New Roman"/>
                <w:b/>
                <w:bCs/>
                <w:color w:val="auto"/>
                <w:sz w:val="24"/>
                <w:szCs w:val="24"/>
                <w:highlight w:val="none"/>
              </w:rPr>
              <w:t xml:space="preserve">  </w:t>
            </w:r>
            <w:r>
              <w:rPr>
                <w:rFonts w:hint="eastAsia" w:cs="Times New Roman"/>
                <w:b/>
                <w:bCs/>
                <w:color w:val="auto"/>
                <w:sz w:val="24"/>
                <w:szCs w:val="24"/>
                <w:highlight w:val="none"/>
                <w:lang w:eastAsia="zh-CN"/>
              </w:rPr>
              <w:t>矿山</w:t>
            </w:r>
            <w:r>
              <w:rPr>
                <w:rFonts w:hint="eastAsia" w:cs="Times New Roman"/>
                <w:b/>
                <w:bCs/>
                <w:color w:val="auto"/>
                <w:sz w:val="24"/>
                <w:szCs w:val="24"/>
                <w:highlight w:val="none"/>
                <w:lang w:val="en-US" w:eastAsia="zh-CN"/>
              </w:rPr>
              <w:t>开采</w:t>
            </w:r>
            <w:r>
              <w:rPr>
                <w:rFonts w:hint="eastAsia" w:cs="Times New Roman"/>
                <w:b/>
                <w:bCs/>
                <w:color w:val="auto"/>
                <w:sz w:val="24"/>
                <w:szCs w:val="24"/>
                <w:highlight w:val="none"/>
                <w:lang w:eastAsia="zh-CN"/>
              </w:rPr>
              <w:t>现状图</w:t>
            </w:r>
          </w:p>
        </w:tc>
      </w:tr>
    </w:tbl>
    <w:p w14:paraId="3AC4929D">
      <w:pPr>
        <w:bidi w:val="0"/>
        <w:rPr>
          <w:rFonts w:hint="eastAsia"/>
          <w:lang w:val="en-US" w:eastAsia="zh-CN"/>
        </w:rPr>
      </w:pPr>
      <w:r>
        <w:rPr>
          <w:rFonts w:hint="eastAsia"/>
          <w:lang w:val="en-US" w:eastAsia="zh-CN"/>
        </w:rPr>
        <w:t>2、安全管理现状</w:t>
      </w:r>
    </w:p>
    <w:p w14:paraId="7C880724">
      <w:pPr>
        <w:rPr>
          <w:rFonts w:hint="eastAsia"/>
          <w:lang w:eastAsia="zh-CN"/>
        </w:rPr>
      </w:pPr>
      <w:r>
        <w:rPr>
          <w:rFonts w:hint="eastAsia"/>
          <w:color w:val="auto"/>
        </w:rPr>
        <w:t>本矿山</w:t>
      </w:r>
      <w:r>
        <w:rPr>
          <w:color w:val="auto"/>
        </w:rPr>
        <w:t>为</w:t>
      </w:r>
      <w:r>
        <w:rPr>
          <w:rFonts w:hint="eastAsia"/>
          <w:color w:val="auto"/>
          <w:lang w:eastAsia="zh-CN"/>
        </w:rPr>
        <w:t>改、扩</w:t>
      </w:r>
      <w:r>
        <w:rPr>
          <w:color w:val="auto"/>
        </w:rPr>
        <w:t>建</w:t>
      </w:r>
      <w:r>
        <w:rPr>
          <w:rFonts w:hint="eastAsia"/>
          <w:color w:val="auto"/>
        </w:rPr>
        <w:t>矿山</w:t>
      </w:r>
      <w:r>
        <w:rPr>
          <w:rFonts w:hint="eastAsia"/>
          <w:color w:val="auto"/>
          <w:lang w:eastAsia="zh-CN"/>
        </w:rPr>
        <w:t>。</w:t>
      </w:r>
      <w:r>
        <w:rPr>
          <w:rFonts w:hint="eastAsia"/>
          <w:lang w:val="en-US" w:eastAsia="zh-CN"/>
        </w:rPr>
        <w:t>安全管理</w:t>
      </w:r>
      <w:r>
        <w:rPr>
          <w:rFonts w:hint="eastAsia"/>
          <w:color w:val="auto"/>
          <w:lang w:val="en-US" w:eastAsia="zh-CN"/>
        </w:rPr>
        <w:t>在原</w:t>
      </w:r>
      <w:r>
        <w:rPr>
          <w:rFonts w:hint="eastAsia"/>
        </w:rPr>
        <w:t>广南县珠街</w:t>
      </w:r>
      <w:r>
        <w:rPr>
          <w:rFonts w:hint="eastAsia"/>
          <w:lang w:val="en-US" w:eastAsia="zh-CN"/>
        </w:rPr>
        <w:t>镇</w:t>
      </w:r>
      <w:r>
        <w:rPr>
          <w:rFonts w:hint="eastAsia"/>
        </w:rPr>
        <w:t>麦地大山石厂</w:t>
      </w:r>
      <w:r>
        <w:rPr>
          <w:rFonts w:hint="eastAsia"/>
          <w:lang w:val="en-US" w:eastAsia="zh-CN"/>
        </w:rPr>
        <w:t>基础上</w:t>
      </w:r>
      <w:r>
        <w:rPr>
          <w:rFonts w:hint="eastAsia"/>
          <w:color w:val="auto"/>
          <w:lang w:val="en-US" w:eastAsia="zh-CN"/>
        </w:rPr>
        <w:t>组</w:t>
      </w:r>
      <w:r>
        <w:rPr>
          <w:color w:val="auto"/>
        </w:rPr>
        <w:t>建</w:t>
      </w:r>
      <w:r>
        <w:rPr>
          <w:rFonts w:hint="eastAsia"/>
          <w:color w:val="auto"/>
          <w:lang w:eastAsia="zh-CN"/>
        </w:rPr>
        <w:t>，</w:t>
      </w:r>
      <w:r>
        <w:rPr>
          <w:rFonts w:hint="eastAsia"/>
          <w:lang w:val="zh-CN"/>
        </w:rPr>
        <w:t>生产规模由1</w:t>
      </w:r>
      <w:r>
        <w:rPr>
          <w:rFonts w:hint="eastAsia"/>
        </w:rPr>
        <w:t>0</w:t>
      </w:r>
      <w:r>
        <w:rPr>
          <w:rFonts w:hint="eastAsia"/>
          <w:lang w:val="zh-CN"/>
        </w:rPr>
        <w:t>万</w:t>
      </w:r>
      <w:r>
        <w:rPr>
          <w:rFonts w:hint="eastAsia"/>
        </w:rPr>
        <w:t>t</w:t>
      </w:r>
      <w:r>
        <w:rPr>
          <w:rFonts w:hint="eastAsia"/>
          <w:lang w:val="zh-CN"/>
        </w:rPr>
        <w:t>/</w:t>
      </w:r>
      <w:r>
        <w:rPr>
          <w:rFonts w:hint="eastAsia"/>
        </w:rPr>
        <w:t>a</w:t>
      </w:r>
      <w:r>
        <w:rPr>
          <w:rFonts w:hint="eastAsia"/>
          <w:lang w:val="zh-CN"/>
        </w:rPr>
        <w:t>变更为</w:t>
      </w:r>
      <w:r>
        <w:rPr>
          <w:rFonts w:hint="eastAsia"/>
        </w:rPr>
        <w:t>30</w:t>
      </w:r>
      <w:r>
        <w:rPr>
          <w:rFonts w:hint="eastAsia"/>
          <w:lang w:val="zh-CN"/>
        </w:rPr>
        <w:t>万</w:t>
      </w:r>
      <w:r>
        <w:rPr>
          <w:rFonts w:hint="eastAsia"/>
        </w:rPr>
        <w:t>t</w:t>
      </w:r>
      <w:r>
        <w:rPr>
          <w:rFonts w:hint="eastAsia"/>
          <w:lang w:val="zh-CN"/>
        </w:rPr>
        <w:t>/</w:t>
      </w:r>
      <w:r>
        <w:rPr>
          <w:rFonts w:hint="eastAsia"/>
        </w:rPr>
        <w:t>a</w:t>
      </w:r>
      <w:r>
        <w:rPr>
          <w:rFonts w:hint="eastAsia"/>
          <w:lang w:eastAsia="zh-CN"/>
        </w:rPr>
        <w:t>，</w:t>
      </w:r>
      <w:r>
        <w:rPr>
          <w:rFonts w:hint="eastAsia"/>
          <w:lang w:val="en-US" w:eastAsia="zh-CN"/>
        </w:rPr>
        <w:t>再扩建至5</w:t>
      </w:r>
      <w:r>
        <w:rPr>
          <w:rFonts w:hint="eastAsia"/>
        </w:rPr>
        <w:t>0</w:t>
      </w:r>
      <w:r>
        <w:rPr>
          <w:rFonts w:hint="eastAsia"/>
          <w:lang w:val="zh-CN"/>
        </w:rPr>
        <w:t>万</w:t>
      </w:r>
      <w:r>
        <w:rPr>
          <w:rFonts w:hint="eastAsia"/>
        </w:rPr>
        <w:t>t</w:t>
      </w:r>
      <w:r>
        <w:rPr>
          <w:rFonts w:hint="eastAsia"/>
          <w:lang w:val="zh-CN"/>
        </w:rPr>
        <w:t>/</w:t>
      </w:r>
      <w:r>
        <w:rPr>
          <w:rFonts w:hint="eastAsia"/>
        </w:rPr>
        <w:t>a</w:t>
      </w:r>
      <w:r>
        <w:rPr>
          <w:rFonts w:hint="eastAsia"/>
          <w:lang w:eastAsia="zh-CN"/>
        </w:rPr>
        <w:t>。</w:t>
      </w:r>
    </w:p>
    <w:p w14:paraId="4B83D273">
      <w:pPr>
        <w:rPr>
          <w:color w:val="auto"/>
        </w:rPr>
      </w:pPr>
      <w:r>
        <w:rPr>
          <w:rFonts w:hint="eastAsia"/>
          <w:color w:val="auto"/>
        </w:rPr>
        <w:t>矿山在项目实施过程中</w:t>
      </w:r>
      <w:r>
        <w:rPr>
          <w:rFonts w:hint="eastAsia"/>
          <w:color w:val="auto"/>
          <w:lang w:val="en-US" w:eastAsia="zh-CN"/>
        </w:rPr>
        <w:t>需要进一步完善</w:t>
      </w:r>
      <w:r>
        <w:rPr>
          <w:rFonts w:hint="eastAsia"/>
          <w:color w:val="auto"/>
        </w:rPr>
        <w:t>安全</w:t>
      </w:r>
      <w:r>
        <w:rPr>
          <w:rFonts w:hint="eastAsia"/>
          <w:color w:val="auto"/>
          <w:lang w:val="en-US" w:eastAsia="zh-CN"/>
        </w:rPr>
        <w:t>管理</w:t>
      </w:r>
      <w:r>
        <w:rPr>
          <w:rFonts w:hint="eastAsia"/>
          <w:color w:val="auto"/>
        </w:rPr>
        <w:t>机构</w:t>
      </w:r>
      <w:r>
        <w:rPr>
          <w:rFonts w:hint="eastAsia"/>
          <w:color w:val="auto"/>
          <w:lang w:eastAsia="zh-CN"/>
        </w:rPr>
        <w:t>、</w:t>
      </w:r>
      <w:r>
        <w:rPr>
          <w:rFonts w:hint="eastAsia"/>
          <w:color w:val="auto"/>
          <w:lang w:val="en-US" w:eastAsia="zh-CN"/>
        </w:rPr>
        <w:t>配置安全生产管理人员并持证上岗，组建应急救援</w:t>
      </w:r>
      <w:r>
        <w:rPr>
          <w:rFonts w:hint="eastAsia"/>
          <w:color w:val="auto"/>
        </w:rPr>
        <w:t>组织，</w:t>
      </w:r>
      <w:r>
        <w:rPr>
          <w:rFonts w:hint="eastAsia"/>
          <w:color w:val="auto"/>
          <w:lang w:val="en-US" w:eastAsia="zh-CN"/>
        </w:rPr>
        <w:t>以适应</w:t>
      </w:r>
      <w:r>
        <w:rPr>
          <w:rFonts w:hint="eastAsia"/>
          <w:lang w:val="en-US" w:eastAsia="zh-CN"/>
        </w:rPr>
        <w:t>5</w:t>
      </w:r>
      <w:r>
        <w:rPr>
          <w:rFonts w:hint="eastAsia"/>
        </w:rPr>
        <w:t>0</w:t>
      </w:r>
      <w:r>
        <w:rPr>
          <w:rFonts w:hint="eastAsia"/>
          <w:lang w:val="zh-CN"/>
        </w:rPr>
        <w:t>万</w:t>
      </w:r>
      <w:r>
        <w:rPr>
          <w:rFonts w:hint="eastAsia"/>
        </w:rPr>
        <w:t>t</w:t>
      </w:r>
      <w:r>
        <w:rPr>
          <w:rFonts w:hint="eastAsia"/>
          <w:lang w:val="zh-CN"/>
        </w:rPr>
        <w:t>/</w:t>
      </w:r>
      <w:r>
        <w:rPr>
          <w:rFonts w:hint="eastAsia"/>
        </w:rPr>
        <w:t>a</w:t>
      </w:r>
      <w:r>
        <w:rPr>
          <w:rFonts w:hint="eastAsia"/>
          <w:lang w:val="en-US" w:eastAsia="zh-CN"/>
        </w:rPr>
        <w:t>采矿生产规模</w:t>
      </w:r>
      <w:r>
        <w:rPr>
          <w:rFonts w:hint="eastAsia"/>
          <w:color w:val="auto"/>
          <w:lang w:val="en-US" w:eastAsia="zh-CN"/>
        </w:rPr>
        <w:t>的需要</w:t>
      </w:r>
      <w:r>
        <w:rPr>
          <w:rFonts w:hint="eastAsia"/>
          <w:color w:val="auto"/>
        </w:rPr>
        <w:t>。</w:t>
      </w:r>
    </w:p>
    <w:p w14:paraId="1C16E9C8">
      <w:pPr>
        <w:rPr>
          <w:color w:val="auto"/>
        </w:rPr>
      </w:pPr>
      <w:r>
        <w:rPr>
          <w:rFonts w:hint="eastAsia"/>
          <w:color w:val="auto"/>
          <w:lang w:val="en-US" w:eastAsia="zh-CN"/>
        </w:rPr>
        <w:t>按要求建立和完善全员安全生产责任制、各项安全管理制度和各岗位</w:t>
      </w:r>
      <w:r>
        <w:rPr>
          <w:rFonts w:hint="eastAsia"/>
          <w:color w:val="auto"/>
        </w:rPr>
        <w:t>安全操作规程。</w:t>
      </w:r>
    </w:p>
    <w:p w14:paraId="491DA514">
      <w:pPr>
        <w:bidi w:val="0"/>
        <w:rPr>
          <w:rFonts w:hint="default"/>
          <w:lang w:val="en-US" w:eastAsia="zh-CN"/>
        </w:rPr>
      </w:pPr>
      <w:r>
        <w:rPr>
          <w:rFonts w:hint="eastAsia"/>
          <w:lang w:val="en-US" w:eastAsia="zh-CN"/>
        </w:rPr>
        <w:t>编制应急预案并到县应急管理局备案。</w:t>
      </w:r>
    </w:p>
    <w:p w14:paraId="12CBED37">
      <w:pPr>
        <w:bidi w:val="0"/>
        <w:rPr>
          <w:rFonts w:hint="default"/>
          <w:lang w:val="en-US" w:eastAsia="zh-CN"/>
        </w:rPr>
      </w:pPr>
      <w:r>
        <w:rPr>
          <w:rFonts w:hint="eastAsia"/>
          <w:lang w:val="en-US" w:eastAsia="zh-CN"/>
        </w:rPr>
        <w:t>3、利旧工程与设备设施</w:t>
      </w:r>
    </w:p>
    <w:p w14:paraId="2CCA3C43">
      <w:pPr>
        <w:bidi w:val="0"/>
        <w:rPr>
          <w:rFonts w:hint="eastAsia"/>
          <w:lang w:val="en-US" w:eastAsia="zh-CN"/>
        </w:rPr>
      </w:pPr>
      <w:r>
        <w:rPr>
          <w:rFonts w:hint="eastAsia"/>
          <w:lang w:val="en-US" w:eastAsia="zh-CN"/>
        </w:rPr>
        <w:t>该矿山为改、扩建矿山，外部道路、办公生活设施、变配电设施、工业场地已经形成，铲装、运输、破碎设备设施齐全，生产系统完善，利旧。</w:t>
      </w:r>
    </w:p>
    <w:p w14:paraId="3B8DB82A">
      <w:pPr>
        <w:bidi w:val="0"/>
        <w:rPr>
          <w:rFonts w:hint="eastAsia"/>
          <w:lang w:val="en-US" w:eastAsia="zh-CN"/>
        </w:rPr>
      </w:pPr>
      <w:r>
        <w:rPr>
          <w:rFonts w:hint="eastAsia"/>
          <w:lang w:val="en-US" w:eastAsia="zh-CN"/>
        </w:rPr>
        <w:t>利用原有系统生产设备，经《安全设施设计》计算，矿山生产铲装、运输、破碎等设备设施与生产能力相匹配，原有设备生产能力能够满足矿山所需。</w:t>
      </w:r>
    </w:p>
    <w:p w14:paraId="32203152">
      <w:pPr>
        <w:pStyle w:val="4"/>
        <w:bidi w:val="0"/>
      </w:pPr>
      <w:bookmarkStart w:id="188" w:name="_Toc31770"/>
      <w:r>
        <w:t>2.4.2总平面布置</w:t>
      </w:r>
      <w:bookmarkEnd w:id="186"/>
      <w:bookmarkEnd w:id="187"/>
      <w:bookmarkEnd w:id="188"/>
    </w:p>
    <w:p w14:paraId="7C54EF8A">
      <w:pPr>
        <w:pStyle w:val="5"/>
        <w:bidi w:val="0"/>
        <w:rPr>
          <w:rFonts w:hint="default"/>
          <w:lang w:val="en-US" w:eastAsia="zh-CN"/>
        </w:rPr>
      </w:pPr>
      <w:bookmarkStart w:id="189" w:name="_Toc32374"/>
      <w:bookmarkStart w:id="190" w:name="_Toc214284009"/>
      <w:r>
        <w:rPr>
          <w:rFonts w:hint="eastAsia"/>
          <w:lang w:val="en-US" w:eastAsia="zh-CN"/>
        </w:rPr>
        <w:t>2.4.2.1矿山总平面布置</w:t>
      </w:r>
    </w:p>
    <w:p w14:paraId="74D6A01E">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color w:val="auto"/>
          <w:szCs w:val="28"/>
        </w:rPr>
      </w:pPr>
      <w:r>
        <w:rPr>
          <w:rFonts w:hint="eastAsia"/>
          <w:color w:val="auto"/>
          <w:szCs w:val="28"/>
        </w:rPr>
        <w:t>结合地形、地势、地物及运输等条件，本项目总体规划</w:t>
      </w:r>
      <w:r>
        <w:rPr>
          <w:rFonts w:hint="eastAsia"/>
          <w:color w:val="auto"/>
          <w:szCs w:val="28"/>
          <w:lang w:val="en-US" w:eastAsia="zh-CN"/>
        </w:rPr>
        <w:t>为</w:t>
      </w:r>
      <w:r>
        <w:rPr>
          <w:rFonts w:hint="eastAsia"/>
          <w:color w:val="auto"/>
          <w:szCs w:val="28"/>
        </w:rPr>
        <w:t>：</w:t>
      </w:r>
    </w:p>
    <w:p w14:paraId="4124F8D9">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color w:val="auto"/>
          <w:szCs w:val="28"/>
          <w:lang w:val="zh-TW"/>
        </w:rPr>
      </w:pPr>
      <w:r>
        <w:rPr>
          <w:rFonts w:hint="eastAsia"/>
          <w:color w:val="auto"/>
          <w:szCs w:val="28"/>
          <w:lang w:val="en-US" w:eastAsia="zh-CN"/>
        </w:rPr>
        <w:t>1、</w:t>
      </w:r>
      <w:r>
        <w:rPr>
          <w:rFonts w:hint="eastAsia"/>
          <w:color w:val="auto"/>
          <w:szCs w:val="28"/>
        </w:rPr>
        <w:t>露天采场</w:t>
      </w:r>
    </w:p>
    <w:p w14:paraId="74AE21B7">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color w:val="auto"/>
          <w:szCs w:val="28"/>
        </w:rPr>
      </w:pPr>
      <w:r>
        <w:rPr>
          <w:rFonts w:hint="eastAsia"/>
          <w:color w:val="auto"/>
          <w:szCs w:val="28"/>
          <w:lang w:eastAsia="zh-CN"/>
        </w:rPr>
        <w:t>（</w:t>
      </w:r>
      <w:r>
        <w:rPr>
          <w:rFonts w:hint="eastAsia"/>
          <w:color w:val="auto"/>
          <w:szCs w:val="28"/>
          <w:lang w:val="en-US" w:eastAsia="zh-CN"/>
        </w:rPr>
        <w:t>1）设计情况：</w:t>
      </w:r>
      <w:r>
        <w:rPr>
          <w:rFonts w:hint="eastAsia"/>
          <w:color w:val="auto"/>
          <w:highlight w:val="none"/>
          <w:lang w:val="en-US" w:eastAsia="zh-CN"/>
        </w:rPr>
        <w:t>按照</w:t>
      </w:r>
      <w:r>
        <w:rPr>
          <w:rFonts w:hint="eastAsia"/>
          <w:color w:val="auto"/>
          <w:highlight w:val="none"/>
          <w:lang w:eastAsia="zh-CN"/>
        </w:rPr>
        <w:t>采矿许可证最高标高</w:t>
      </w:r>
      <w:r>
        <w:rPr>
          <w:rFonts w:hint="eastAsia"/>
          <w:color w:val="auto"/>
          <w:highlight w:val="none"/>
          <w:lang w:val="en-US" w:eastAsia="zh-CN"/>
        </w:rPr>
        <w:t>1724m，现状实测地形最高标高1720m采矿范围，</w:t>
      </w:r>
      <w:r>
        <w:rPr>
          <w:rFonts w:hint="eastAsia"/>
          <w:color w:val="auto"/>
          <w:highlight w:val="none"/>
          <w:lang w:eastAsia="zh-CN"/>
        </w:rPr>
        <w:t>设计开采标高</w:t>
      </w:r>
      <w:r>
        <w:rPr>
          <w:rFonts w:hint="eastAsia"/>
          <w:color w:val="auto"/>
          <w:highlight w:val="none"/>
          <w:lang w:val="en-US" w:eastAsia="zh-CN"/>
        </w:rPr>
        <w:t>1720</w:t>
      </w:r>
      <w:r>
        <w:rPr>
          <w:rFonts w:hint="eastAsia"/>
          <w:color w:val="auto"/>
          <w:highlight w:val="none"/>
          <w:lang w:eastAsia="zh-CN"/>
        </w:rPr>
        <w:t>m～</w:t>
      </w:r>
      <w:r>
        <w:rPr>
          <w:rFonts w:hint="eastAsia"/>
          <w:color w:val="auto"/>
          <w:highlight w:val="none"/>
          <w:lang w:val="en-US" w:eastAsia="zh-CN"/>
        </w:rPr>
        <w:t>1607</w:t>
      </w:r>
      <w:r>
        <w:rPr>
          <w:rFonts w:hint="eastAsia"/>
          <w:color w:val="auto"/>
          <w:highlight w:val="none"/>
          <w:lang w:eastAsia="zh-CN"/>
        </w:rPr>
        <w:t>m</w:t>
      </w:r>
      <w:r>
        <w:rPr>
          <w:rFonts w:hint="eastAsia"/>
          <w:color w:val="auto"/>
          <w:highlight w:val="none"/>
          <w:lang w:val="en-US" w:eastAsia="zh-CN"/>
        </w:rPr>
        <w:t>，设计采深113m（最终靠帮边坡高113m），开采面积0.0266km</w:t>
      </w:r>
      <w:r>
        <w:rPr>
          <w:rFonts w:hint="eastAsia"/>
          <w:color w:val="auto"/>
          <w:highlight w:val="none"/>
          <w:vertAlign w:val="superscript"/>
          <w:lang w:val="en-US" w:eastAsia="zh-CN"/>
        </w:rPr>
        <w:t>2</w:t>
      </w:r>
      <w:r>
        <w:rPr>
          <w:rFonts w:hint="eastAsia"/>
          <w:color w:val="auto"/>
          <w:highlight w:val="none"/>
          <w:lang w:val="en-US" w:eastAsia="zh-CN"/>
        </w:rPr>
        <w:t>，</w:t>
      </w:r>
      <w:r>
        <w:rPr>
          <w:rFonts w:hint="eastAsia"/>
          <w:color w:val="auto"/>
          <w:szCs w:val="28"/>
        </w:rPr>
        <w:t>设置</w:t>
      </w:r>
      <w:r>
        <w:rPr>
          <w:rFonts w:hint="eastAsia"/>
          <w:color w:val="auto"/>
          <w:szCs w:val="28"/>
          <w:lang w:val="en-US" w:eastAsia="zh-CN"/>
        </w:rPr>
        <w:t>1</w:t>
      </w:r>
      <w:r>
        <w:rPr>
          <w:rFonts w:hint="eastAsia"/>
          <w:color w:val="auto"/>
          <w:szCs w:val="28"/>
        </w:rPr>
        <w:t>个采区</w:t>
      </w:r>
      <w:r>
        <w:rPr>
          <w:rFonts w:hint="eastAsia"/>
          <w:color w:val="auto"/>
          <w:szCs w:val="28"/>
          <w:lang w:val="en-US" w:eastAsia="zh-CN"/>
        </w:rPr>
        <w:t>10个台阶开采</w:t>
      </w:r>
      <w:r>
        <w:rPr>
          <w:rFonts w:hint="eastAsia"/>
          <w:color w:val="auto"/>
          <w:szCs w:val="28"/>
        </w:rPr>
        <w:t>。</w:t>
      </w:r>
    </w:p>
    <w:p w14:paraId="6A22D408">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default" w:eastAsia="宋体"/>
          <w:color w:val="auto"/>
          <w:szCs w:val="28"/>
          <w:lang w:val="en-US" w:eastAsia="zh-CN"/>
        </w:rPr>
      </w:pPr>
      <w:r>
        <w:rPr>
          <w:rFonts w:hint="eastAsia"/>
          <w:color w:val="auto"/>
          <w:szCs w:val="28"/>
          <w:lang w:eastAsia="zh-CN"/>
        </w:rPr>
        <w:t>（</w:t>
      </w:r>
      <w:r>
        <w:rPr>
          <w:rFonts w:hint="eastAsia"/>
          <w:color w:val="auto"/>
          <w:szCs w:val="28"/>
          <w:lang w:val="en-US" w:eastAsia="zh-CN"/>
        </w:rPr>
        <w:t>2）建设情况：按照设计开采，基建期间完成</w:t>
      </w:r>
      <w:r>
        <w:rPr>
          <w:rFonts w:hint="eastAsia"/>
          <w:color w:val="auto"/>
          <w:highlight w:val="none"/>
          <w:lang w:eastAsia="zh-CN"/>
        </w:rPr>
        <w:t>标高</w:t>
      </w:r>
      <w:r>
        <w:rPr>
          <w:rFonts w:hint="eastAsia"/>
          <w:color w:val="auto"/>
          <w:highlight w:val="none"/>
          <w:lang w:val="en-US" w:eastAsia="zh-CN"/>
        </w:rPr>
        <w:t>1720</w:t>
      </w:r>
      <w:r>
        <w:rPr>
          <w:rFonts w:hint="eastAsia"/>
          <w:color w:val="auto"/>
          <w:highlight w:val="none"/>
          <w:lang w:eastAsia="zh-CN"/>
        </w:rPr>
        <w:t>m～</w:t>
      </w:r>
      <w:r>
        <w:rPr>
          <w:rFonts w:hint="eastAsia"/>
          <w:color w:val="auto"/>
          <w:highlight w:val="none"/>
          <w:lang w:val="en-US" w:eastAsia="zh-CN"/>
        </w:rPr>
        <w:t>1645</w:t>
      </w:r>
      <w:r>
        <w:rPr>
          <w:rFonts w:hint="eastAsia"/>
          <w:color w:val="auto"/>
          <w:highlight w:val="none"/>
          <w:lang w:eastAsia="zh-CN"/>
        </w:rPr>
        <w:t>m</w:t>
      </w:r>
      <w:r>
        <w:rPr>
          <w:rFonts w:hint="eastAsia"/>
          <w:color w:val="auto"/>
          <w:highlight w:val="none"/>
          <w:lang w:val="en-US" w:eastAsia="zh-CN"/>
        </w:rPr>
        <w:t>共五个台阶建设。</w:t>
      </w:r>
    </w:p>
    <w:p w14:paraId="5147FFAB">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eastAsia="宋体"/>
          <w:color w:val="auto"/>
          <w:szCs w:val="28"/>
          <w:lang w:val="zh-TW" w:eastAsia="zh-CN"/>
        </w:rPr>
      </w:pPr>
      <w:r>
        <w:rPr>
          <w:rFonts w:hint="eastAsia"/>
          <w:color w:val="auto"/>
          <w:szCs w:val="28"/>
          <w:lang w:val="en-US" w:eastAsia="zh-CN"/>
        </w:rPr>
        <w:t>2、</w:t>
      </w:r>
      <w:r>
        <w:rPr>
          <w:rFonts w:hint="eastAsia"/>
          <w:color w:val="auto"/>
          <w:szCs w:val="28"/>
          <w:lang w:val="zh-TW"/>
        </w:rPr>
        <w:t>运输</w:t>
      </w:r>
      <w:r>
        <w:rPr>
          <w:rFonts w:hint="eastAsia"/>
          <w:color w:val="auto"/>
          <w:szCs w:val="28"/>
          <w:lang w:val="en-US" w:eastAsia="zh-CN"/>
        </w:rPr>
        <w:t>道路</w:t>
      </w:r>
    </w:p>
    <w:p w14:paraId="70DF17E6">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default" w:ascii="Times New Roman" w:hAnsi="Times New Roman" w:eastAsia="宋体" w:cs="Times New Roman"/>
          <w:color w:val="auto"/>
          <w:highlight w:val="none"/>
          <w:lang w:eastAsia="zh-CN"/>
        </w:rPr>
      </w:pPr>
      <w:r>
        <w:rPr>
          <w:rFonts w:hint="eastAsia"/>
          <w:color w:val="auto"/>
          <w:lang w:val="zh-TW" w:eastAsia="zh-CN"/>
        </w:rPr>
        <w:t>（</w:t>
      </w:r>
      <w:r>
        <w:rPr>
          <w:rFonts w:hint="eastAsia"/>
          <w:color w:val="auto"/>
          <w:lang w:val="en-US" w:eastAsia="zh-CN"/>
        </w:rPr>
        <w:t>1）</w:t>
      </w:r>
      <w:r>
        <w:rPr>
          <w:rFonts w:hint="eastAsia" w:ascii="Times New Roman" w:hAnsi="Times New Roman" w:cs="Times New Roman"/>
          <w:color w:val="auto"/>
          <w:sz w:val="28"/>
          <w:szCs w:val="28"/>
          <w:highlight w:val="none"/>
          <w:lang w:val="en-US" w:eastAsia="zh-CN"/>
        </w:rPr>
        <w:t>利旧</w:t>
      </w:r>
      <w:r>
        <w:rPr>
          <w:rFonts w:hint="default" w:ascii="Times New Roman" w:hAnsi="Times New Roman" w:eastAsia="宋体" w:cs="Times New Roman"/>
          <w:color w:val="auto"/>
          <w:highlight w:val="none"/>
          <w:lang w:eastAsia="zh-CN"/>
        </w:rPr>
        <w:t>道路</w:t>
      </w:r>
    </w:p>
    <w:p w14:paraId="51A48B9F">
      <w:pPr>
        <w:bidi w:val="0"/>
        <w:rPr>
          <w:rFonts w:hint="default"/>
          <w:lang w:eastAsia="zh-CN"/>
        </w:rPr>
      </w:pPr>
      <w:r>
        <w:rPr>
          <w:rFonts w:hint="eastAsia"/>
          <w:lang w:eastAsia="zh-CN"/>
        </w:rPr>
        <w:t>①</w:t>
      </w:r>
      <w:r>
        <w:rPr>
          <w:rFonts w:hint="eastAsia"/>
          <w:lang w:val="en-US" w:eastAsia="zh-CN"/>
        </w:rPr>
        <w:t>原有</w:t>
      </w:r>
      <w:r>
        <w:rPr>
          <w:rFonts w:hint="eastAsia"/>
          <w:lang w:eastAsia="zh-CN"/>
        </w:rPr>
        <w:t>开拓运输道路。</w:t>
      </w:r>
      <w:r>
        <w:rPr>
          <w:rFonts w:hint="default"/>
          <w:lang w:val="en-US" w:eastAsia="zh-CN"/>
        </w:rPr>
        <w:t>从破碎站</w:t>
      </w:r>
      <w:r>
        <w:rPr>
          <w:rFonts w:hint="eastAsia"/>
          <w:lang w:val="en-US" w:eastAsia="zh-CN"/>
        </w:rPr>
        <w:t>（1649m）进料口</w:t>
      </w:r>
      <w:r>
        <w:rPr>
          <w:rFonts w:hint="default"/>
          <w:lang w:val="en-US" w:eastAsia="zh-CN"/>
        </w:rPr>
        <w:t>沿破碎站</w:t>
      </w:r>
      <w:r>
        <w:rPr>
          <w:rFonts w:hint="eastAsia"/>
          <w:lang w:val="en-US" w:eastAsia="zh-CN"/>
        </w:rPr>
        <w:t>西侧至</w:t>
      </w:r>
      <w:r>
        <w:rPr>
          <w:rFonts w:hint="default"/>
          <w:lang w:val="en-US" w:eastAsia="zh-CN"/>
        </w:rPr>
        <w:t>破碎站</w:t>
      </w:r>
      <w:r>
        <w:rPr>
          <w:rFonts w:hint="eastAsia"/>
          <w:lang w:val="en-US" w:eastAsia="zh-CN"/>
        </w:rPr>
        <w:t>西南角，道路长约66m。</w:t>
      </w:r>
    </w:p>
    <w:p w14:paraId="394868E7">
      <w:pPr>
        <w:bidi w:val="0"/>
        <w:rPr>
          <w:rFonts w:hint="eastAsia"/>
          <w:lang w:val="en-US" w:eastAsia="zh-CN"/>
        </w:rPr>
      </w:pPr>
      <w:r>
        <w:rPr>
          <w:rFonts w:hint="eastAsia"/>
          <w:lang w:eastAsia="zh-CN"/>
        </w:rPr>
        <w:t>②</w:t>
      </w:r>
      <w:r>
        <w:rPr>
          <w:rFonts w:hint="eastAsia"/>
          <w:lang w:val="en-US" w:eastAsia="zh-CN"/>
        </w:rPr>
        <w:t>原有内部</w:t>
      </w:r>
      <w:r>
        <w:rPr>
          <w:rFonts w:hint="eastAsia"/>
          <w:lang w:eastAsia="zh-CN"/>
        </w:rPr>
        <w:t>运输道路。</w:t>
      </w:r>
      <w:r>
        <w:rPr>
          <w:rFonts w:hint="default"/>
          <w:lang w:val="en-US" w:eastAsia="zh-CN"/>
        </w:rPr>
        <w:t>从破碎站</w:t>
      </w:r>
      <w:r>
        <w:rPr>
          <w:rFonts w:hint="eastAsia"/>
          <w:lang w:val="en-US" w:eastAsia="zh-CN"/>
        </w:rPr>
        <w:t>（1649m）西南角至办公生活区道路。</w:t>
      </w:r>
    </w:p>
    <w:p w14:paraId="2DA2234F">
      <w:pPr>
        <w:bidi w:val="0"/>
        <w:rPr>
          <w:rFonts w:hint="default"/>
          <w:lang w:eastAsia="zh-CN"/>
        </w:rPr>
      </w:pPr>
      <w:r>
        <w:rPr>
          <w:rFonts w:hint="eastAsia"/>
          <w:lang w:eastAsia="zh-CN"/>
        </w:rPr>
        <w:t>③</w:t>
      </w:r>
      <w:r>
        <w:rPr>
          <w:rFonts w:hint="eastAsia"/>
          <w:lang w:val="en-US" w:eastAsia="zh-CN"/>
        </w:rPr>
        <w:t>原有外部</w:t>
      </w:r>
      <w:r>
        <w:rPr>
          <w:rFonts w:hint="eastAsia"/>
          <w:lang w:eastAsia="zh-CN"/>
        </w:rPr>
        <w:t>运输道路。</w:t>
      </w:r>
      <w:r>
        <w:rPr>
          <w:rFonts w:hint="default"/>
          <w:lang w:val="en-US" w:eastAsia="zh-CN"/>
        </w:rPr>
        <w:t>从破碎站</w:t>
      </w:r>
      <w:r>
        <w:rPr>
          <w:rFonts w:hint="eastAsia"/>
          <w:lang w:val="en-US" w:eastAsia="zh-CN"/>
        </w:rPr>
        <w:t>地磅房至遂麻线矿区外部运输道路。</w:t>
      </w:r>
    </w:p>
    <w:p w14:paraId="758BD7DA">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default" w:ascii="Times New Roman" w:hAnsi="Times New Roman" w:eastAsia="宋体" w:cs="Times New Roman"/>
          <w:color w:val="auto"/>
          <w:highlight w:val="none"/>
          <w:lang w:eastAsia="zh-CN"/>
        </w:rPr>
      </w:pPr>
      <w:r>
        <w:rPr>
          <w:rFonts w:hint="eastAsia" w:ascii="Times New Roman" w:hAnsi="Times New Roman" w:eastAsia="宋体" w:cs="Times New Roman"/>
          <w:color w:val="auto"/>
          <w:sz w:val="28"/>
          <w:szCs w:val="28"/>
          <w:highlight w:val="none"/>
          <w:lang w:val="en-US" w:eastAsia="zh-CN"/>
        </w:rPr>
        <w:t>（</w:t>
      </w:r>
      <w:r>
        <w:rPr>
          <w:rFonts w:hint="eastAsia" w:ascii="Times New Roman" w:hAnsi="Times New Roman" w:cs="Times New Roman"/>
          <w:color w:val="auto"/>
          <w:sz w:val="28"/>
          <w:szCs w:val="28"/>
          <w:highlight w:val="none"/>
          <w:lang w:val="en-US" w:eastAsia="zh-CN"/>
        </w:rPr>
        <w:t>2</w:t>
      </w:r>
      <w:r>
        <w:rPr>
          <w:rFonts w:hint="eastAsia" w:ascii="Times New Roman" w:hAnsi="Times New Roman" w:eastAsia="宋体" w:cs="Times New Roman"/>
          <w:color w:val="auto"/>
          <w:sz w:val="28"/>
          <w:szCs w:val="28"/>
          <w:highlight w:val="none"/>
          <w:lang w:val="en-US" w:eastAsia="zh-CN"/>
        </w:rPr>
        <w:t>）新建</w:t>
      </w:r>
      <w:r>
        <w:rPr>
          <w:rFonts w:hint="eastAsia" w:ascii="Times New Roman" w:hAnsi="Times New Roman" w:cs="Times New Roman"/>
          <w:color w:val="auto"/>
          <w:sz w:val="28"/>
          <w:szCs w:val="28"/>
          <w:highlight w:val="none"/>
          <w:lang w:val="en-US" w:eastAsia="zh-CN"/>
        </w:rPr>
        <w:t>内部</w:t>
      </w:r>
      <w:r>
        <w:rPr>
          <w:rFonts w:hint="default" w:ascii="Times New Roman" w:hAnsi="Times New Roman" w:eastAsia="宋体" w:cs="Times New Roman"/>
          <w:color w:val="auto"/>
          <w:highlight w:val="none"/>
          <w:lang w:eastAsia="zh-CN"/>
        </w:rPr>
        <w:t>运输道路</w:t>
      </w:r>
    </w:p>
    <w:p w14:paraId="72CCED0E">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ascii="Times New Roman" w:hAnsi="Times New Roman" w:eastAsia="宋体" w:cs="Times New Roman"/>
          <w:color w:val="auto"/>
          <w:sz w:val="28"/>
          <w:szCs w:val="28"/>
          <w:highlight w:val="none"/>
          <w:shd w:val="clear" w:color="auto" w:fill="auto"/>
          <w:lang w:val="en-US" w:eastAsia="zh-CN"/>
        </w:rPr>
      </w:pPr>
      <w:r>
        <w:rPr>
          <w:rFonts w:hint="eastAsia" w:ascii="宋体" w:hAnsi="宋体" w:eastAsia="宋体" w:cs="宋体"/>
          <w:color w:val="auto"/>
          <w:highlight w:val="none"/>
          <w:lang w:eastAsia="zh-CN"/>
        </w:rPr>
        <w:t>①</w:t>
      </w:r>
      <w:r>
        <w:rPr>
          <w:rFonts w:hint="default" w:ascii="Times New Roman" w:hAnsi="Times New Roman" w:eastAsia="宋体" w:cs="Times New Roman"/>
          <w:color w:val="auto"/>
          <w:sz w:val="28"/>
          <w:szCs w:val="28"/>
          <w:highlight w:val="none"/>
          <w:lang w:val="en-US" w:eastAsia="zh-CN"/>
        </w:rPr>
        <w:t>从破碎站</w:t>
      </w:r>
      <w:r>
        <w:rPr>
          <w:rFonts w:hint="eastAsia" w:ascii="Times New Roman" w:hAnsi="Times New Roman" w:eastAsia="宋体" w:cs="Times New Roman"/>
          <w:color w:val="auto"/>
          <w:sz w:val="28"/>
          <w:szCs w:val="28"/>
          <w:highlight w:val="none"/>
          <w:lang w:val="en-US" w:eastAsia="zh-CN"/>
        </w:rPr>
        <w:t>（1649m）</w:t>
      </w:r>
      <w:r>
        <w:rPr>
          <w:rFonts w:hint="default" w:ascii="Times New Roman" w:hAnsi="Times New Roman" w:eastAsia="宋体" w:cs="Times New Roman"/>
          <w:color w:val="auto"/>
          <w:sz w:val="28"/>
          <w:szCs w:val="28"/>
          <w:highlight w:val="none"/>
          <w:lang w:val="en-US" w:eastAsia="zh-CN"/>
        </w:rPr>
        <w:t>沿矿区南部进场道路</w:t>
      </w:r>
      <w:r>
        <w:rPr>
          <w:rFonts w:hint="eastAsia" w:ascii="Times New Roman" w:hAnsi="Times New Roman" w:cs="Times New Roman"/>
          <w:color w:val="auto"/>
          <w:sz w:val="28"/>
          <w:szCs w:val="28"/>
          <w:highlight w:val="none"/>
          <w:lang w:val="en-US" w:eastAsia="zh-CN"/>
        </w:rPr>
        <w:t>经1645m平台位置</w:t>
      </w:r>
      <w:r>
        <w:rPr>
          <w:rFonts w:hint="eastAsia" w:ascii="Times New Roman" w:hAnsi="Times New Roman" w:eastAsia="宋体" w:cs="Times New Roman"/>
          <w:color w:val="auto"/>
          <w:sz w:val="28"/>
          <w:szCs w:val="28"/>
          <w:highlight w:val="none"/>
          <w:lang w:val="en-US" w:eastAsia="zh-CN"/>
        </w:rPr>
        <w:t>进入矿区中部修建至1660m平台，道路长</w:t>
      </w:r>
      <w:r>
        <w:rPr>
          <w:rFonts w:hint="eastAsia" w:ascii="Times New Roman" w:hAnsi="Times New Roman" w:cs="Times New Roman"/>
          <w:color w:val="auto"/>
          <w:sz w:val="28"/>
          <w:szCs w:val="28"/>
          <w:highlight w:val="none"/>
          <w:lang w:val="en-US" w:eastAsia="zh-CN"/>
        </w:rPr>
        <w:t>193</w:t>
      </w:r>
      <w:r>
        <w:rPr>
          <w:rFonts w:hint="eastAsia" w:ascii="Times New Roman" w:hAnsi="Times New Roman" w:eastAsia="宋体" w:cs="Times New Roman"/>
          <w:color w:val="auto"/>
          <w:sz w:val="28"/>
          <w:szCs w:val="28"/>
          <w:highlight w:val="none"/>
          <w:lang w:val="en-US" w:eastAsia="zh-CN"/>
        </w:rPr>
        <w:t>m</w:t>
      </w:r>
      <w:r>
        <w:rPr>
          <w:rFonts w:hint="eastAsia" w:ascii="Times New Roman" w:hAnsi="Times New Roman" w:eastAsia="宋体" w:cs="Times New Roman"/>
          <w:color w:val="auto"/>
          <w:sz w:val="28"/>
          <w:szCs w:val="28"/>
          <w:highlight w:val="none"/>
          <w:shd w:val="clear" w:color="auto" w:fill="auto"/>
          <w:lang w:val="en-US" w:eastAsia="zh-CN"/>
        </w:rPr>
        <w:t>；</w:t>
      </w:r>
    </w:p>
    <w:p w14:paraId="15B127FD">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ascii="Times New Roman" w:hAnsi="Times New Roman" w:eastAsia="宋体" w:cs="Times New Roman"/>
          <w:color w:val="auto"/>
          <w:sz w:val="28"/>
          <w:szCs w:val="28"/>
          <w:highlight w:val="none"/>
          <w:shd w:val="clear" w:color="auto" w:fill="auto"/>
          <w:lang w:val="en-US" w:eastAsia="zh-CN"/>
        </w:rPr>
      </w:pPr>
      <w:r>
        <w:rPr>
          <w:rFonts w:hint="eastAsia" w:ascii="宋体" w:hAnsi="宋体" w:eastAsia="宋体" w:cs="宋体"/>
          <w:color w:val="auto"/>
          <w:highlight w:val="none"/>
          <w:lang w:eastAsia="zh-CN"/>
        </w:rPr>
        <w:t>②</w:t>
      </w:r>
      <w:r>
        <w:rPr>
          <w:rFonts w:hint="eastAsia" w:ascii="Times New Roman" w:hAnsi="Times New Roman" w:eastAsia="宋体" w:cs="Times New Roman"/>
          <w:color w:val="auto"/>
          <w:sz w:val="28"/>
          <w:szCs w:val="28"/>
          <w:highlight w:val="none"/>
          <w:lang w:val="en-US" w:eastAsia="zh-CN"/>
        </w:rPr>
        <w:t>1660m标高以上采用挖机道路。挖机道路从1660m标高修建至1705m平台，道路长180m</w:t>
      </w:r>
      <w:r>
        <w:rPr>
          <w:rFonts w:hint="eastAsia" w:ascii="Times New Roman" w:hAnsi="Times New Roman" w:eastAsia="宋体" w:cs="Times New Roman"/>
          <w:color w:val="auto"/>
          <w:sz w:val="28"/>
          <w:szCs w:val="28"/>
          <w:highlight w:val="none"/>
          <w:shd w:val="clear" w:color="auto" w:fill="auto"/>
          <w:lang w:val="en-US" w:eastAsia="zh-CN"/>
        </w:rPr>
        <w:t>；</w:t>
      </w:r>
    </w:p>
    <w:p w14:paraId="60BB62C5">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ascii="Times New Roman" w:hAnsi="Times New Roman" w:cs="Times New Roman"/>
          <w:color w:val="auto"/>
          <w:sz w:val="28"/>
          <w:szCs w:val="28"/>
          <w:highlight w:val="none"/>
          <w:lang w:val="en-US" w:eastAsia="zh-CN"/>
        </w:rPr>
      </w:pPr>
      <w:r>
        <w:rPr>
          <w:rFonts w:hint="eastAsia" w:ascii="宋体" w:hAnsi="宋体" w:eastAsia="宋体" w:cs="宋体"/>
          <w:color w:val="auto"/>
          <w:highlight w:val="none"/>
          <w:lang w:eastAsia="zh-CN"/>
        </w:rPr>
        <w:t>③</w:t>
      </w:r>
      <w:r>
        <w:rPr>
          <w:rFonts w:hint="eastAsia" w:ascii="Times New Roman" w:hAnsi="Times New Roman" w:eastAsia="宋体" w:cs="Times New Roman"/>
          <w:color w:val="auto"/>
          <w:sz w:val="28"/>
          <w:szCs w:val="28"/>
          <w:highlight w:val="none"/>
          <w:lang w:val="en-US" w:eastAsia="zh-CN"/>
        </w:rPr>
        <w:t>1660m平台</w:t>
      </w:r>
      <w:r>
        <w:rPr>
          <w:rFonts w:hint="eastAsia" w:ascii="Times New Roman" w:hAnsi="Times New Roman" w:cs="Times New Roman"/>
          <w:color w:val="auto"/>
          <w:sz w:val="28"/>
          <w:szCs w:val="28"/>
          <w:highlight w:val="none"/>
          <w:lang w:val="en-US" w:eastAsia="zh-CN"/>
        </w:rPr>
        <w:t>建设完成后，建设1645m平台，</w:t>
      </w:r>
      <w:r>
        <w:rPr>
          <w:rFonts w:hint="default" w:ascii="Times New Roman" w:hAnsi="Times New Roman" w:eastAsia="宋体" w:cs="Times New Roman"/>
          <w:color w:val="auto"/>
          <w:sz w:val="28"/>
          <w:szCs w:val="28"/>
          <w:highlight w:val="none"/>
          <w:lang w:val="en-US" w:eastAsia="zh-CN"/>
        </w:rPr>
        <w:t>从破碎站</w:t>
      </w:r>
      <w:r>
        <w:rPr>
          <w:rFonts w:hint="eastAsia" w:ascii="Times New Roman" w:hAnsi="Times New Roman" w:eastAsia="宋体" w:cs="Times New Roman"/>
          <w:color w:val="auto"/>
          <w:sz w:val="28"/>
          <w:szCs w:val="28"/>
          <w:highlight w:val="none"/>
          <w:lang w:val="en-US" w:eastAsia="zh-CN"/>
        </w:rPr>
        <w:t>（1649m）</w:t>
      </w:r>
      <w:r>
        <w:rPr>
          <w:rFonts w:hint="eastAsia" w:ascii="Times New Roman" w:hAnsi="Times New Roman" w:cs="Times New Roman"/>
          <w:color w:val="auto"/>
          <w:sz w:val="28"/>
          <w:szCs w:val="28"/>
          <w:highlight w:val="none"/>
          <w:lang w:val="en-US" w:eastAsia="zh-CN"/>
        </w:rPr>
        <w:t>西南角</w:t>
      </w:r>
      <w:r>
        <w:rPr>
          <w:rFonts w:hint="default" w:ascii="Times New Roman" w:hAnsi="Times New Roman" w:eastAsia="宋体" w:cs="Times New Roman"/>
          <w:color w:val="auto"/>
          <w:sz w:val="28"/>
          <w:szCs w:val="28"/>
          <w:highlight w:val="none"/>
          <w:lang w:val="en-US" w:eastAsia="zh-CN"/>
        </w:rPr>
        <w:t>沿矿区</w:t>
      </w:r>
      <w:r>
        <w:rPr>
          <w:rFonts w:hint="eastAsia" w:ascii="Times New Roman" w:hAnsi="Times New Roman" w:eastAsia="宋体" w:cs="Times New Roman"/>
          <w:color w:val="auto"/>
          <w:sz w:val="28"/>
          <w:szCs w:val="28"/>
          <w:highlight w:val="none"/>
          <w:lang w:val="en-US" w:eastAsia="zh-CN"/>
        </w:rPr>
        <w:t>中部修建至</w:t>
      </w:r>
      <w:r>
        <w:rPr>
          <w:rFonts w:hint="eastAsia" w:ascii="Times New Roman" w:hAnsi="Times New Roman" w:eastAsia="宋体" w:cs="Times New Roman"/>
          <w:color w:val="auto"/>
          <w:sz w:val="28"/>
          <w:szCs w:val="28"/>
          <w:highlight w:val="none"/>
          <w:shd w:val="clear" w:color="auto" w:fill="auto"/>
          <w:lang w:val="en-US" w:eastAsia="zh-CN"/>
        </w:rPr>
        <w:t>1645m平台</w:t>
      </w:r>
      <w:r>
        <w:rPr>
          <w:rFonts w:hint="eastAsia" w:ascii="Times New Roman" w:hAnsi="Times New Roman"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lang w:val="en-US" w:eastAsia="zh-CN"/>
        </w:rPr>
        <w:t>道路长</w:t>
      </w:r>
      <w:r>
        <w:rPr>
          <w:rFonts w:hint="eastAsia" w:ascii="Times New Roman" w:hAnsi="Times New Roman" w:cs="Times New Roman"/>
          <w:color w:val="auto"/>
          <w:sz w:val="28"/>
          <w:szCs w:val="28"/>
          <w:highlight w:val="none"/>
          <w:lang w:val="en-US" w:eastAsia="zh-CN"/>
        </w:rPr>
        <w:t>146</w:t>
      </w:r>
      <w:r>
        <w:rPr>
          <w:rFonts w:hint="eastAsia" w:ascii="Times New Roman" w:hAnsi="Times New Roman" w:eastAsia="宋体" w:cs="Times New Roman"/>
          <w:color w:val="auto"/>
          <w:sz w:val="28"/>
          <w:szCs w:val="28"/>
          <w:highlight w:val="none"/>
          <w:lang w:val="en-US" w:eastAsia="zh-CN"/>
        </w:rPr>
        <w:t>m</w:t>
      </w:r>
      <w:r>
        <w:rPr>
          <w:rFonts w:hint="eastAsia" w:ascii="Times New Roman" w:hAnsi="Times New Roman" w:cs="Times New Roman"/>
          <w:color w:val="auto"/>
          <w:sz w:val="28"/>
          <w:szCs w:val="28"/>
          <w:highlight w:val="none"/>
          <w:lang w:val="en-US" w:eastAsia="zh-CN"/>
        </w:rPr>
        <w:t>；</w:t>
      </w:r>
    </w:p>
    <w:p w14:paraId="487B3EE3">
      <w:pPr>
        <w:bidi w:val="0"/>
        <w:rPr>
          <w:rFonts w:hint="default"/>
          <w:lang w:val="en-US" w:eastAsia="zh-CN"/>
        </w:rPr>
      </w:pPr>
      <w:r>
        <w:rPr>
          <w:rFonts w:hint="eastAsia"/>
          <w:lang w:val="en-US" w:eastAsia="zh-CN"/>
        </w:rPr>
        <w:t>④</w:t>
      </w:r>
      <w:r>
        <w:rPr>
          <w:rFonts w:hint="default"/>
          <w:lang w:val="en-US" w:eastAsia="zh-CN"/>
        </w:rPr>
        <w:t>从破碎站</w:t>
      </w:r>
      <w:r>
        <w:rPr>
          <w:rFonts w:hint="eastAsia"/>
          <w:lang w:val="en-US" w:eastAsia="zh-CN"/>
        </w:rPr>
        <w:t>（1649m）</w:t>
      </w:r>
      <w:r>
        <w:rPr>
          <w:rFonts w:hint="default"/>
          <w:lang w:val="en-US" w:eastAsia="zh-CN"/>
        </w:rPr>
        <w:t>沿矿区</w:t>
      </w:r>
      <w:r>
        <w:rPr>
          <w:rFonts w:hint="eastAsia"/>
          <w:lang w:val="en-US" w:eastAsia="zh-CN"/>
        </w:rPr>
        <w:t>东南部修建至东北部1615m平台，为汽车运输道路</w:t>
      </w:r>
      <w:r>
        <w:rPr>
          <w:rFonts w:hint="eastAsia"/>
          <w:lang w:eastAsia="zh-CN"/>
        </w:rPr>
        <w:t>；</w:t>
      </w:r>
      <w:r>
        <w:rPr>
          <w:rFonts w:hint="eastAsia"/>
          <w:lang w:val="en-US" w:eastAsia="zh-CN"/>
        </w:rPr>
        <w:t>道路长404m；此道路不在基建期，不属于此次验收范围；</w:t>
      </w:r>
    </w:p>
    <w:p w14:paraId="0090CA2C">
      <w:pPr>
        <w:bidi w:val="0"/>
        <w:rPr>
          <w:rFonts w:hint="eastAsia"/>
          <w:lang w:val="en-US" w:eastAsia="zh-CN"/>
        </w:rPr>
      </w:pPr>
      <w:r>
        <w:rPr>
          <w:rFonts w:hint="eastAsia"/>
          <w:lang w:val="en-US" w:eastAsia="zh-CN"/>
        </w:rPr>
        <w:t>⑤</w:t>
      </w:r>
      <w:r>
        <w:rPr>
          <w:rFonts w:hint="default"/>
          <w:lang w:val="en-US" w:eastAsia="zh-CN"/>
        </w:rPr>
        <w:t>从破碎站</w:t>
      </w:r>
      <w:r>
        <w:rPr>
          <w:rFonts w:hint="eastAsia"/>
          <w:lang w:val="en-US" w:eastAsia="zh-CN"/>
        </w:rPr>
        <w:t>（1649m）修建至东北部1615m平台道路。修建至中部1615m平台，为汽车运输道路</w:t>
      </w:r>
      <w:r>
        <w:rPr>
          <w:rFonts w:hint="eastAsia"/>
          <w:lang w:eastAsia="zh-CN"/>
        </w:rPr>
        <w:t>，</w:t>
      </w:r>
      <w:r>
        <w:rPr>
          <w:rFonts w:hint="eastAsia"/>
          <w:lang w:val="en-US" w:eastAsia="zh-CN"/>
        </w:rPr>
        <w:t>道路长104m</w:t>
      </w:r>
      <w:r>
        <w:rPr>
          <w:rFonts w:hint="default"/>
        </w:rPr>
        <w:t>。</w:t>
      </w:r>
      <w:r>
        <w:rPr>
          <w:rFonts w:hint="eastAsia"/>
          <w:lang w:val="en-US" w:eastAsia="zh-CN"/>
        </w:rPr>
        <w:t>此道路不在基建期，不属于此次验收范围。</w:t>
      </w:r>
    </w:p>
    <w:p w14:paraId="472172C7">
      <w:pPr>
        <w:bidi w:val="0"/>
        <w:rPr>
          <w:rFonts w:hint="default"/>
          <w:color w:val="auto"/>
          <w:lang w:val="en-US"/>
        </w:rPr>
      </w:pPr>
      <w:r>
        <w:rPr>
          <w:rFonts w:hint="eastAsia"/>
          <w:color w:val="auto"/>
          <w:lang w:val="en-US" w:eastAsia="zh-CN"/>
        </w:rPr>
        <w:t>（3）基建期间完成</w:t>
      </w:r>
      <w:r>
        <w:rPr>
          <w:rFonts w:hint="eastAsia" w:ascii="微软雅黑" w:hAnsi="微软雅黑" w:eastAsia="微软雅黑" w:cs="微软雅黑"/>
          <w:color w:val="auto"/>
          <w:lang w:val="en-US" w:eastAsia="zh-CN"/>
        </w:rPr>
        <w:t>①②③</w:t>
      </w:r>
      <w:r>
        <w:rPr>
          <w:rFonts w:hint="eastAsia"/>
          <w:color w:val="auto"/>
          <w:lang w:val="en-US" w:eastAsia="zh-CN"/>
        </w:rPr>
        <w:t>项道路建设。</w:t>
      </w:r>
    </w:p>
    <w:p w14:paraId="175E3BE7">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b w:val="0"/>
          <w:bCs w:val="0"/>
          <w:color w:val="auto"/>
          <w:lang w:val="en-US" w:eastAsia="zh-CN"/>
        </w:rPr>
      </w:pPr>
      <w:r>
        <w:rPr>
          <w:rFonts w:hint="eastAsia"/>
          <w:b w:val="0"/>
          <w:bCs w:val="0"/>
          <w:color w:val="auto"/>
          <w:lang w:val="en-US" w:eastAsia="zh-CN"/>
        </w:rPr>
        <w:t>3、办公生活区</w:t>
      </w:r>
    </w:p>
    <w:p w14:paraId="468B1C59">
      <w:pPr>
        <w:keepNext w:val="0"/>
        <w:keepLines w:val="0"/>
        <w:pageBreakBefore w:val="0"/>
        <w:widowControl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b w:val="0"/>
          <w:bCs w:val="0"/>
          <w:color w:val="auto"/>
          <w:lang w:val="en-US" w:eastAsia="zh-CN"/>
        </w:rPr>
      </w:pPr>
      <w:r>
        <w:rPr>
          <w:rFonts w:hint="eastAsia"/>
          <w:b w:val="0"/>
          <w:bCs w:val="0"/>
          <w:color w:val="auto"/>
          <w:lang w:val="en-US" w:eastAsia="zh-CN"/>
        </w:rPr>
        <w:t>矿山办公生活区，利旧。位于矿区东南侧186m</w:t>
      </w:r>
      <w:r>
        <w:rPr>
          <w:rFonts w:hint="eastAsia"/>
          <w:color w:val="auto"/>
          <w:highlight w:val="none"/>
          <w:lang w:eastAsia="zh-CN"/>
        </w:rPr>
        <w:t>～</w:t>
      </w:r>
      <w:r>
        <w:rPr>
          <w:rFonts w:hint="eastAsia"/>
          <w:b w:val="0"/>
          <w:bCs w:val="0"/>
          <w:color w:val="auto"/>
          <w:lang w:val="en-US" w:eastAsia="zh-CN"/>
        </w:rPr>
        <w:t>303m位置的1652m标高位置。具备</w:t>
      </w:r>
      <w:r>
        <w:rPr>
          <w:rFonts w:hint="eastAsia"/>
          <w:color w:val="auto"/>
        </w:rPr>
        <w:t>办公</w:t>
      </w:r>
      <w:r>
        <w:rPr>
          <w:rFonts w:hint="eastAsia"/>
          <w:color w:val="auto"/>
          <w:lang w:eastAsia="zh-CN"/>
        </w:rPr>
        <w:t>区、生活区及</w:t>
      </w:r>
      <w:r>
        <w:rPr>
          <w:rFonts w:hint="eastAsia"/>
          <w:color w:val="auto"/>
        </w:rPr>
        <w:t>停车场地等设施</w:t>
      </w:r>
      <w:r>
        <w:rPr>
          <w:rFonts w:hint="eastAsia"/>
          <w:b w:val="0"/>
          <w:bCs w:val="0"/>
          <w:color w:val="auto"/>
          <w:lang w:val="en-US" w:eastAsia="zh-CN"/>
        </w:rPr>
        <w:t>。</w:t>
      </w:r>
    </w:p>
    <w:p w14:paraId="15B158A8">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b w:val="0"/>
          <w:bCs w:val="0"/>
          <w:color w:val="auto"/>
        </w:rPr>
      </w:pPr>
      <w:r>
        <w:rPr>
          <w:rFonts w:hint="eastAsia"/>
          <w:b w:val="0"/>
          <w:bCs w:val="0"/>
          <w:color w:val="auto"/>
          <w:lang w:val="en-US" w:eastAsia="zh-CN"/>
        </w:rPr>
        <w:t>4、破碎加工系统</w:t>
      </w:r>
    </w:p>
    <w:p w14:paraId="1EDE1C45">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b w:val="0"/>
          <w:bCs w:val="0"/>
          <w:color w:val="auto"/>
        </w:rPr>
      </w:pPr>
      <w:r>
        <w:rPr>
          <w:rFonts w:hint="eastAsia"/>
          <w:b w:val="0"/>
          <w:bCs w:val="0"/>
          <w:color w:val="auto"/>
          <w:lang w:val="en-US" w:eastAsia="zh-CN"/>
        </w:rPr>
        <w:t>破碎加工系统，利旧。位于矿区西侧52m位置的1649m标高，具备原矿堆场、破碎加工车间、供配电系统及设施和堆料场。</w:t>
      </w:r>
    </w:p>
    <w:p w14:paraId="58F69F2F">
      <w:pPr>
        <w:pStyle w:val="89"/>
        <w:rPr>
          <w:b w:val="0"/>
          <w:bCs/>
          <w:color w:val="auto"/>
        </w:rPr>
      </w:pPr>
      <w:r>
        <w:rPr>
          <w:rFonts w:hint="eastAsia"/>
          <w:b w:val="0"/>
          <w:bCs/>
          <w:color w:val="auto"/>
          <w:lang w:val="en-US" w:eastAsia="zh-CN"/>
        </w:rPr>
        <w:t>5、</w:t>
      </w:r>
      <w:r>
        <w:rPr>
          <w:rFonts w:hint="eastAsia"/>
          <w:b w:val="0"/>
          <w:bCs/>
          <w:color w:val="auto"/>
        </w:rPr>
        <w:t>矿区截排洪系统</w:t>
      </w:r>
    </w:p>
    <w:p w14:paraId="22EB8C45">
      <w:pPr>
        <w:spacing w:line="360" w:lineRule="auto"/>
        <w:ind w:firstLine="552" w:firstLineChars="200"/>
        <w:rPr>
          <w:rFonts w:hint="default" w:ascii="Times New Roman" w:hAnsi="Times New Roman" w:eastAsia="宋体" w:cs="Times New Roman"/>
          <w:szCs w:val="28"/>
        </w:rPr>
      </w:pP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1</w:t>
      </w: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境外截洪沟：矿区属于山坡露天矿山，上部汇水区域不大，</w:t>
      </w:r>
      <w:r>
        <w:rPr>
          <w:rFonts w:hint="eastAsia" w:ascii="Times New Roman" w:hAnsi="Times New Roman" w:cs="Times New Roman"/>
          <w:szCs w:val="28"/>
          <w:lang w:val="en-US" w:eastAsia="zh-CN"/>
        </w:rPr>
        <w:t>安全设施</w:t>
      </w:r>
      <w:r>
        <w:rPr>
          <w:rFonts w:hint="default" w:ascii="Times New Roman" w:hAnsi="Times New Roman" w:eastAsia="宋体" w:cs="Times New Roman"/>
          <w:szCs w:val="28"/>
        </w:rPr>
        <w:t>设计</w:t>
      </w:r>
      <w:r>
        <w:rPr>
          <w:rFonts w:hint="eastAsia" w:ascii="Times New Roman" w:hAnsi="Times New Roman" w:cs="Times New Roman"/>
          <w:szCs w:val="28"/>
          <w:lang w:val="en-US" w:eastAsia="zh-CN"/>
        </w:rPr>
        <w:t>报告</w:t>
      </w:r>
      <w:r>
        <w:rPr>
          <w:rFonts w:hint="default" w:ascii="Times New Roman" w:hAnsi="Times New Roman" w:eastAsia="宋体" w:cs="Times New Roman"/>
          <w:szCs w:val="28"/>
        </w:rPr>
        <w:t>不设置境外截洪沟。</w:t>
      </w:r>
    </w:p>
    <w:p w14:paraId="0BEC10E0">
      <w:pPr>
        <w:spacing w:line="360" w:lineRule="auto"/>
        <w:ind w:firstLine="552" w:firstLineChars="200"/>
        <w:rPr>
          <w:rFonts w:hint="default" w:ascii="Times New Roman" w:hAnsi="Times New Roman" w:eastAsia="宋体" w:cs="Times New Roman"/>
          <w:szCs w:val="28"/>
          <w:lang w:val="zh-TW"/>
        </w:rPr>
      </w:pP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2</w:t>
      </w: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台阶排水沟：在平台内侧设置排水沟，排水沟断面尺寸0.3m×0.3m，平台工作面自边坡外侧向坡脚设置1～3%的方向坡度，将汇水集中至坡脚排水沟排出，防止汇水冲刷台阶边坡。</w:t>
      </w:r>
    </w:p>
    <w:p w14:paraId="1C829D53">
      <w:pPr>
        <w:spacing w:line="360" w:lineRule="auto"/>
        <w:ind w:firstLine="552" w:firstLineChars="200"/>
        <w:rPr>
          <w:rFonts w:hint="default" w:ascii="Times New Roman" w:hAnsi="Times New Roman" w:eastAsia="宋体" w:cs="Times New Roman"/>
          <w:szCs w:val="28"/>
        </w:rPr>
      </w:pP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3</w:t>
      </w: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公路内侧排水沟：在矿区公路内侧设置排水沟，公路内侧排水沟断面尺寸</w:t>
      </w:r>
      <w:r>
        <w:rPr>
          <w:rFonts w:hint="eastAsia" w:ascii="Times New Roman" w:hAnsi="Times New Roman" w:eastAsia="宋体" w:cs="Times New Roman"/>
          <w:szCs w:val="28"/>
          <w:lang w:eastAsia="zh-CN"/>
        </w:rPr>
        <w:t>（0.5m</w:t>
      </w:r>
      <w:r>
        <w:rPr>
          <w:rFonts w:hint="eastAsia" w:ascii="Times New Roman" w:hAnsi="Times New Roman" w:eastAsia="宋体" w:cs="Times New Roman"/>
          <w:szCs w:val="28"/>
          <w:lang w:val="en-US" w:eastAsia="zh-CN"/>
        </w:rPr>
        <w:t>+</w:t>
      </w:r>
      <w:r>
        <w:rPr>
          <w:rFonts w:hint="eastAsia" w:ascii="Times New Roman" w:hAnsi="Times New Roman" w:eastAsia="宋体" w:cs="Times New Roman"/>
          <w:szCs w:val="28"/>
          <w:lang w:eastAsia="zh-CN"/>
        </w:rPr>
        <w:t>0.4m）×0.3m</w:t>
      </w:r>
      <w:r>
        <w:rPr>
          <w:rFonts w:hint="default" w:ascii="Times New Roman" w:hAnsi="Times New Roman" w:eastAsia="宋体" w:cs="Times New Roman"/>
          <w:szCs w:val="28"/>
        </w:rPr>
        <w:t>。</w:t>
      </w:r>
    </w:p>
    <w:p w14:paraId="1B50467F">
      <w:pPr>
        <w:spacing w:line="360" w:lineRule="auto"/>
        <w:ind w:firstLine="552" w:firstLineChars="200"/>
        <w:rPr>
          <w:rFonts w:hint="default" w:ascii="Times New Roman" w:hAnsi="Times New Roman" w:eastAsia="宋体" w:cs="Times New Roman"/>
          <w:szCs w:val="28"/>
        </w:rPr>
      </w:pP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4</w:t>
      </w: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底部凹陷采坑排水：</w:t>
      </w:r>
    </w:p>
    <w:p w14:paraId="32BAFF42">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color w:val="auto"/>
          <w:lang w:eastAsia="zh-CN"/>
        </w:rPr>
      </w:pPr>
      <w:r>
        <w:rPr>
          <w:rFonts w:hint="eastAsia" w:ascii="Times New Roman" w:hAnsi="Times New Roman" w:eastAsia="宋体" w:cs="Times New Roman"/>
          <w:szCs w:val="28"/>
          <w:lang w:val="en-US" w:eastAsia="zh-CN" w:bidi="ar"/>
        </w:rPr>
        <w:t>西南部</w:t>
      </w:r>
      <w:r>
        <w:rPr>
          <w:rFonts w:hint="default" w:ascii="Times New Roman" w:hAnsi="Times New Roman" w:eastAsia="宋体" w:cs="Times New Roman"/>
          <w:szCs w:val="28"/>
          <w:lang w:bidi="ar"/>
        </w:rPr>
        <w:t>采空区</w:t>
      </w:r>
      <w:r>
        <w:rPr>
          <w:rFonts w:hint="default" w:ascii="Times New Roman" w:hAnsi="Times New Roman" w:eastAsia="宋体" w:cs="Times New Roman"/>
          <w:szCs w:val="28"/>
          <w:lang w:val="en-US" w:eastAsia="zh-CN" w:bidi="ar"/>
        </w:rPr>
        <w:t>16</w:t>
      </w:r>
      <w:r>
        <w:rPr>
          <w:rFonts w:hint="eastAsia" w:ascii="Times New Roman" w:hAnsi="Times New Roman" w:eastAsia="宋体" w:cs="Times New Roman"/>
          <w:szCs w:val="28"/>
          <w:lang w:val="en-US" w:eastAsia="zh-CN" w:bidi="ar"/>
        </w:rPr>
        <w:t>07</w:t>
      </w:r>
      <w:r>
        <w:rPr>
          <w:rFonts w:hint="default" w:ascii="Times New Roman" w:hAnsi="Times New Roman" w:eastAsia="宋体" w:cs="Times New Roman"/>
          <w:szCs w:val="28"/>
          <w:lang w:bidi="ar"/>
        </w:rPr>
        <w:t>m标高为凹陷采坑，采用机械排水，在采</w:t>
      </w:r>
      <w:r>
        <w:rPr>
          <w:rFonts w:hint="default" w:ascii="Times New Roman" w:hAnsi="Times New Roman" w:eastAsia="宋体" w:cs="Times New Roman"/>
          <w:szCs w:val="28"/>
          <w:lang w:val="en-US" w:eastAsia="zh-CN" w:bidi="ar"/>
        </w:rPr>
        <w:t>坑西</w:t>
      </w:r>
      <w:r>
        <w:rPr>
          <w:rFonts w:hint="default" w:ascii="Times New Roman" w:hAnsi="Times New Roman" w:eastAsia="宋体" w:cs="Times New Roman"/>
          <w:szCs w:val="28"/>
          <w:lang w:bidi="ar"/>
        </w:rPr>
        <w:t>部出入口旁设置一个4m×</w:t>
      </w:r>
      <w:r>
        <w:rPr>
          <w:rFonts w:hint="default" w:ascii="Times New Roman" w:hAnsi="Times New Roman" w:eastAsia="宋体" w:cs="Times New Roman"/>
          <w:szCs w:val="28"/>
          <w:lang w:val="en-US" w:eastAsia="zh-CN" w:bidi="ar"/>
        </w:rPr>
        <w:t>4</w:t>
      </w:r>
      <w:r>
        <w:rPr>
          <w:rFonts w:hint="default" w:ascii="Times New Roman" w:hAnsi="Times New Roman" w:eastAsia="宋体" w:cs="Times New Roman"/>
          <w:szCs w:val="28"/>
          <w:lang w:bidi="ar"/>
        </w:rPr>
        <w:t>m×</w:t>
      </w:r>
      <w:r>
        <w:rPr>
          <w:rFonts w:hint="default" w:ascii="Times New Roman" w:hAnsi="Times New Roman" w:eastAsia="宋体" w:cs="Times New Roman"/>
          <w:szCs w:val="28"/>
          <w:lang w:val="en-US" w:eastAsia="zh-CN" w:bidi="ar"/>
        </w:rPr>
        <w:t>4</w:t>
      </w:r>
      <w:r>
        <w:rPr>
          <w:rFonts w:hint="default" w:ascii="Times New Roman" w:hAnsi="Times New Roman" w:eastAsia="宋体" w:cs="Times New Roman"/>
          <w:szCs w:val="28"/>
          <w:lang w:bidi="ar"/>
        </w:rPr>
        <w:t>m的汇水池，利用水泵抽至场区外，水池最低标高</w:t>
      </w:r>
      <w:r>
        <w:rPr>
          <w:rFonts w:hint="default" w:ascii="Times New Roman" w:hAnsi="Times New Roman" w:eastAsia="宋体" w:cs="Times New Roman"/>
          <w:szCs w:val="28"/>
          <w:lang w:val="en-US" w:eastAsia="zh-CN" w:bidi="ar"/>
        </w:rPr>
        <w:t>16</w:t>
      </w:r>
      <w:r>
        <w:rPr>
          <w:rFonts w:hint="eastAsia" w:ascii="Times New Roman" w:hAnsi="Times New Roman" w:eastAsia="宋体" w:cs="Times New Roman"/>
          <w:szCs w:val="28"/>
          <w:lang w:val="en-US" w:eastAsia="zh-CN" w:bidi="ar"/>
        </w:rPr>
        <w:t>07</w:t>
      </w:r>
      <w:r>
        <w:rPr>
          <w:rFonts w:hint="default" w:ascii="Times New Roman" w:hAnsi="Times New Roman" w:eastAsia="宋体" w:cs="Times New Roman"/>
          <w:szCs w:val="28"/>
          <w:lang w:bidi="ar"/>
        </w:rPr>
        <w:t>m，抽出位置标高</w:t>
      </w:r>
      <w:r>
        <w:rPr>
          <w:rFonts w:hint="eastAsia" w:ascii="Times New Roman" w:hAnsi="Times New Roman" w:eastAsia="宋体" w:cs="Times New Roman"/>
          <w:szCs w:val="28"/>
          <w:lang w:val="en-US" w:eastAsia="zh-CN" w:bidi="ar"/>
        </w:rPr>
        <w:t>1630</w:t>
      </w:r>
      <w:r>
        <w:rPr>
          <w:rFonts w:hint="default" w:ascii="Times New Roman" w:hAnsi="Times New Roman" w:eastAsia="宋体" w:cs="Times New Roman"/>
          <w:szCs w:val="28"/>
          <w:lang w:bidi="ar"/>
        </w:rPr>
        <w:t>m</w:t>
      </w:r>
      <w:r>
        <w:rPr>
          <w:rFonts w:hint="eastAsia" w:ascii="Times New Roman" w:hAnsi="Times New Roman" w:eastAsia="宋体" w:cs="Times New Roman"/>
          <w:szCs w:val="28"/>
          <w:lang w:eastAsia="zh-CN" w:bidi="ar"/>
        </w:rPr>
        <w:t>，</w:t>
      </w:r>
      <w:r>
        <w:rPr>
          <w:rFonts w:hint="default" w:ascii="Times New Roman" w:hAnsi="Times New Roman" w:eastAsia="宋体" w:cs="Times New Roman"/>
          <w:szCs w:val="28"/>
          <w:lang w:bidi="ar"/>
        </w:rPr>
        <w:t>高差</w:t>
      </w:r>
      <w:r>
        <w:rPr>
          <w:rFonts w:hint="eastAsia" w:ascii="Times New Roman" w:hAnsi="Times New Roman" w:eastAsia="宋体" w:cs="Times New Roman"/>
          <w:szCs w:val="28"/>
          <w:lang w:val="en-US" w:eastAsia="zh-CN" w:bidi="ar"/>
        </w:rPr>
        <w:t>23</w:t>
      </w:r>
      <w:r>
        <w:rPr>
          <w:rFonts w:hint="default" w:ascii="Times New Roman" w:hAnsi="Times New Roman" w:eastAsia="宋体" w:cs="Times New Roman"/>
          <w:szCs w:val="28"/>
          <w:lang w:bidi="ar"/>
        </w:rPr>
        <w:t>m，选用抽水泵，型号为</w:t>
      </w:r>
      <w:r>
        <w:rPr>
          <w:rFonts w:hint="eastAsia" w:ascii="Times New Roman" w:hAnsi="Times New Roman" w:eastAsia="宋体" w:cs="Times New Roman"/>
          <w:szCs w:val="28"/>
          <w:lang w:eastAsia="zh-CN" w:bidi="ar"/>
        </w:rPr>
        <w:t>QDX3-30-1.1</w:t>
      </w:r>
      <w:r>
        <w:rPr>
          <w:rFonts w:hint="default" w:ascii="Times New Roman" w:hAnsi="Times New Roman" w:eastAsia="宋体" w:cs="Times New Roman"/>
          <w:szCs w:val="28"/>
          <w:lang w:bidi="ar"/>
        </w:rPr>
        <w:t>潜水泵（抽水泵共计两台，型号为</w:t>
      </w:r>
      <w:r>
        <w:rPr>
          <w:rFonts w:hint="eastAsia" w:ascii="Times New Roman" w:hAnsi="Times New Roman" w:eastAsia="宋体" w:cs="Times New Roman"/>
          <w:szCs w:val="28"/>
          <w:lang w:eastAsia="zh-CN" w:bidi="ar"/>
        </w:rPr>
        <w:t>QDX3-30-1.1</w:t>
      </w:r>
      <w:r>
        <w:rPr>
          <w:rFonts w:hint="default" w:ascii="Times New Roman" w:hAnsi="Times New Roman" w:eastAsia="宋体" w:cs="Times New Roman"/>
          <w:szCs w:val="28"/>
          <w:lang w:bidi="ar"/>
        </w:rPr>
        <w:t>潜水泵，</w:t>
      </w:r>
      <w:r>
        <w:rPr>
          <w:rFonts w:hint="eastAsia" w:ascii="Times New Roman" w:hAnsi="Times New Roman" w:eastAsia="宋体" w:cs="Times New Roman"/>
          <w:szCs w:val="28"/>
          <w:lang w:eastAsia="zh-CN" w:bidi="ar"/>
        </w:rPr>
        <w:t>扬程30m，</w:t>
      </w:r>
      <w:r>
        <w:rPr>
          <w:rFonts w:hint="default" w:ascii="Times New Roman" w:hAnsi="Times New Roman" w:eastAsia="宋体" w:cs="Times New Roman"/>
          <w:szCs w:val="28"/>
          <w:lang w:bidi="ar"/>
        </w:rPr>
        <w:t>一台工作，一台备用）</w:t>
      </w:r>
      <w:r>
        <w:rPr>
          <w:rFonts w:hint="eastAsia"/>
          <w:color w:val="auto"/>
          <w:lang w:eastAsia="zh-CN"/>
        </w:rPr>
        <w:t>。</w:t>
      </w:r>
    </w:p>
    <w:p w14:paraId="583C8E98">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eastAsia="宋体"/>
          <w:color w:val="auto"/>
          <w:lang w:val="en-US" w:eastAsia="zh-CN"/>
        </w:rPr>
      </w:pPr>
      <w:r>
        <w:rPr>
          <w:rFonts w:hint="eastAsia"/>
          <w:color w:val="auto"/>
          <w:lang w:eastAsia="zh-CN"/>
        </w:rPr>
        <w:t>（</w:t>
      </w:r>
      <w:r>
        <w:rPr>
          <w:rFonts w:hint="eastAsia"/>
          <w:color w:val="auto"/>
          <w:lang w:val="en-US" w:eastAsia="zh-CN"/>
        </w:rPr>
        <w:t>5）基建期间完成基建平台内侧排水沟和</w:t>
      </w:r>
      <w:r>
        <w:rPr>
          <w:rFonts w:hint="default" w:ascii="Times New Roman" w:hAnsi="Times New Roman" w:eastAsia="宋体" w:cs="Times New Roman"/>
          <w:color w:val="auto"/>
          <w:szCs w:val="28"/>
        </w:rPr>
        <w:t>公路内侧排水沟</w:t>
      </w:r>
      <w:r>
        <w:rPr>
          <w:rFonts w:hint="eastAsia" w:ascii="Times New Roman" w:hAnsi="Times New Roman" w:eastAsia="宋体" w:cs="Times New Roman"/>
          <w:color w:val="auto"/>
          <w:szCs w:val="28"/>
          <w:lang w:val="en-US" w:eastAsia="zh-CN"/>
        </w:rPr>
        <w:t>建设。</w:t>
      </w:r>
    </w:p>
    <w:p w14:paraId="6A911AB0">
      <w:pPr>
        <w:keepNext w:val="0"/>
        <w:keepLines w:val="0"/>
        <w:pageBreakBefore w:val="0"/>
        <w:widowControl w:val="0"/>
        <w:numPr>
          <w:ilvl w:val="0"/>
          <w:numId w:val="0"/>
        </w:numPr>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eastAsia"/>
          <w:b w:val="0"/>
          <w:bCs w:val="0"/>
          <w:color w:val="auto"/>
        </w:rPr>
      </w:pPr>
      <w:r>
        <w:rPr>
          <w:rFonts w:hint="eastAsia"/>
          <w:b w:val="0"/>
          <w:bCs w:val="0"/>
          <w:color w:val="auto"/>
          <w:lang w:val="en-US" w:eastAsia="zh-CN"/>
        </w:rPr>
        <w:t>6、排土场</w:t>
      </w:r>
    </w:p>
    <w:p w14:paraId="0C84FA73">
      <w:pPr>
        <w:widowControl w:val="0"/>
        <w:wordWrap/>
        <w:adjustRightInd w:val="0"/>
        <w:snapToGrid w:val="0"/>
        <w:spacing w:before="0" w:beforeLines="0" w:after="0" w:afterLines="0" w:line="360" w:lineRule="auto"/>
        <w:ind w:left="0" w:leftChars="0" w:right="0" w:firstLine="552" w:firstLineChars="200"/>
        <w:jc w:val="both"/>
        <w:textAlignment w:val="auto"/>
        <w:outlineLvl w:val="9"/>
        <w:rPr>
          <w:rFonts w:hint="default"/>
          <w:color w:val="auto"/>
          <w:szCs w:val="28"/>
          <w:lang w:val="en-US"/>
        </w:rPr>
      </w:pPr>
      <w:r>
        <w:rPr>
          <w:rFonts w:hint="eastAsia"/>
          <w:color w:val="auto"/>
          <w:lang w:val="en-US" w:eastAsia="zh-CN"/>
        </w:rPr>
        <w:t>排土场位于矿权东南部108m位置</w:t>
      </w:r>
      <w:r>
        <w:rPr>
          <w:rFonts w:hint="eastAsia"/>
          <w:b w:val="0"/>
          <w:bCs w:val="0"/>
          <w:color w:val="auto"/>
          <w:lang w:val="en-US" w:eastAsia="zh-CN"/>
        </w:rPr>
        <w:t>，堆存标高1650m</w:t>
      </w:r>
      <w:r>
        <w:rPr>
          <w:rFonts w:hint="eastAsia"/>
          <w:color w:val="auto"/>
          <w:highlight w:val="none"/>
          <w:lang w:eastAsia="zh-CN"/>
        </w:rPr>
        <w:t>～</w:t>
      </w:r>
      <w:r>
        <w:rPr>
          <w:rFonts w:hint="eastAsia"/>
          <w:b w:val="0"/>
          <w:bCs w:val="0"/>
          <w:color w:val="auto"/>
          <w:lang w:val="en-US" w:eastAsia="zh-CN"/>
        </w:rPr>
        <w:t>1656m，占地面积</w:t>
      </w:r>
      <w:r>
        <w:rPr>
          <w:rFonts w:hint="eastAsia"/>
          <w:color w:val="auto"/>
          <w:lang w:val="en-US" w:eastAsia="zh-CN"/>
        </w:rPr>
        <w:t>3156m</w:t>
      </w:r>
      <w:r>
        <w:rPr>
          <w:rFonts w:hint="eastAsia"/>
          <w:color w:val="auto"/>
          <w:vertAlign w:val="superscript"/>
          <w:lang w:val="en-US" w:eastAsia="zh-CN"/>
        </w:rPr>
        <w:t>2</w:t>
      </w:r>
      <w:r>
        <w:rPr>
          <w:rFonts w:hint="eastAsia"/>
          <w:color w:val="auto"/>
          <w:szCs w:val="28"/>
          <w:lang w:eastAsia="zh-CN"/>
        </w:rPr>
        <w:t>。</w:t>
      </w:r>
      <w:r>
        <w:rPr>
          <w:rFonts w:hint="eastAsia"/>
          <w:color w:val="auto"/>
          <w:szCs w:val="28"/>
          <w:lang w:val="en-US" w:eastAsia="zh-CN"/>
        </w:rPr>
        <w:t>设计单位对排土场利用进行了变更，</w:t>
      </w:r>
      <w:r>
        <w:rPr>
          <w:rFonts w:hint="eastAsia"/>
          <w:color w:val="000000"/>
          <w:szCs w:val="28"/>
          <w:lang w:val="en-US" w:eastAsia="zh-CN"/>
        </w:rPr>
        <w:t>基建过程中排土场暂不设置和使用。</w:t>
      </w:r>
    </w:p>
    <w:p w14:paraId="3E2A6C5D">
      <w:pPr>
        <w:pStyle w:val="5"/>
        <w:bidi w:val="0"/>
        <w:rPr>
          <w:rFonts w:hint="eastAsia"/>
          <w:lang w:val="en-US" w:eastAsia="zh-CN"/>
        </w:rPr>
      </w:pPr>
      <w:r>
        <w:rPr>
          <w:rFonts w:hint="eastAsia"/>
          <w:lang w:val="en-US" w:eastAsia="zh-CN"/>
        </w:rPr>
        <w:t>2.4.2.2矿山内、外部运输</w:t>
      </w:r>
    </w:p>
    <w:p w14:paraId="453A4189">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firstLine="552" w:firstLineChars="200"/>
        <w:jc w:val="both"/>
        <w:textAlignment w:val="auto"/>
        <w:outlineLvl w:val="9"/>
        <w:rPr>
          <w:rFonts w:hint="eastAsia"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val="en-US" w:eastAsia="zh-CN"/>
        </w:rPr>
        <w:t>外部运输</w:t>
      </w:r>
    </w:p>
    <w:p w14:paraId="39D3E39A">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52" w:firstLineChars="200"/>
        <w:jc w:val="both"/>
        <w:textAlignment w:val="auto"/>
        <w:outlineLvl w:val="9"/>
        <w:rPr>
          <w:rFonts w:hint="eastAsia"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val="en-US" w:eastAsia="zh-CN"/>
        </w:rPr>
        <w:t>矿区有</w:t>
      </w:r>
      <w:r>
        <w:rPr>
          <w:rFonts w:hint="eastAsia"/>
          <w:color w:val="auto"/>
          <w:highlight w:val="none"/>
        </w:rPr>
        <w:t>泥结碎石路</w:t>
      </w:r>
      <w:r>
        <w:rPr>
          <w:rFonts w:hint="eastAsia"/>
          <w:color w:val="auto"/>
          <w:highlight w:val="none"/>
          <w:lang w:val="en-US" w:eastAsia="zh-CN"/>
        </w:rPr>
        <w:t>与水泥路</w:t>
      </w:r>
      <w:r>
        <w:rPr>
          <w:rFonts w:hint="eastAsia" w:ascii="宋体" w:hAnsi="宋体" w:eastAsia="宋体" w:cs="宋体"/>
          <w:color w:val="auto"/>
          <w:sz w:val="28"/>
          <w:szCs w:val="28"/>
          <w:highlight w:val="none"/>
          <w:u w:val="none"/>
          <w:lang w:val="en-US" w:eastAsia="zh-CN"/>
        </w:rPr>
        <w:t>与外部道路连接，外部运输使用社会车辆运输。</w:t>
      </w:r>
    </w:p>
    <w:p w14:paraId="1434DDA2">
      <w:pPr>
        <w:keepNext w:val="0"/>
        <w:keepLines w:val="0"/>
        <w:pageBreakBefore w:val="0"/>
        <w:widowControl w:val="0"/>
        <w:numPr>
          <w:ilvl w:val="0"/>
          <w:numId w:val="5"/>
        </w:numPr>
        <w:kinsoku/>
        <w:wordWrap/>
        <w:overflowPunct/>
        <w:topLinePunct w:val="0"/>
        <w:autoSpaceDE/>
        <w:autoSpaceDN/>
        <w:bidi w:val="0"/>
        <w:adjustRightInd/>
        <w:snapToGrid w:val="0"/>
        <w:spacing w:line="360" w:lineRule="auto"/>
        <w:ind w:left="0" w:leftChars="0" w:firstLine="552" w:firstLineChars="200"/>
        <w:jc w:val="both"/>
        <w:textAlignment w:val="auto"/>
        <w:outlineLvl w:val="9"/>
        <w:rPr>
          <w:rFonts w:hint="eastAsia"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val="en-US" w:eastAsia="zh-CN"/>
        </w:rPr>
        <w:t>内部运输</w:t>
      </w:r>
    </w:p>
    <w:p w14:paraId="190D231E">
      <w:pPr>
        <w:keepNext w:val="0"/>
        <w:keepLines w:val="0"/>
        <w:pageBreakBefore w:val="0"/>
        <w:widowControl w:val="0"/>
        <w:numPr>
          <w:ilvl w:val="0"/>
          <w:numId w:val="0"/>
        </w:numPr>
        <w:kinsoku/>
        <w:wordWrap/>
        <w:overflowPunct/>
        <w:topLinePunct w:val="0"/>
        <w:autoSpaceDE/>
        <w:autoSpaceDN/>
        <w:bidi w:val="0"/>
        <w:adjustRightInd/>
        <w:snapToGrid w:val="0"/>
        <w:spacing w:line="360" w:lineRule="auto"/>
        <w:ind w:firstLine="552" w:firstLineChars="200"/>
        <w:jc w:val="both"/>
        <w:textAlignment w:val="auto"/>
        <w:outlineLvl w:val="9"/>
        <w:rPr>
          <w:rFonts w:hint="eastAsia" w:ascii="宋体" w:hAnsi="宋体" w:eastAsia="宋体" w:cs="宋体"/>
          <w:color w:val="auto"/>
          <w:sz w:val="28"/>
          <w:szCs w:val="28"/>
          <w:highlight w:val="none"/>
          <w:u w:val="none"/>
          <w:lang w:val="en-US" w:eastAsia="zh-CN"/>
        </w:rPr>
      </w:pPr>
      <w:r>
        <w:rPr>
          <w:rFonts w:hint="eastAsia" w:ascii="宋体" w:hAnsi="宋体" w:eastAsia="宋体" w:cs="宋体"/>
          <w:color w:val="auto"/>
          <w:sz w:val="28"/>
          <w:szCs w:val="28"/>
          <w:highlight w:val="none"/>
          <w:u w:val="none"/>
          <w:lang w:val="en-US" w:eastAsia="zh-CN"/>
        </w:rPr>
        <w:t>内部运输采用自有车辆汽车运输。</w:t>
      </w:r>
    </w:p>
    <w:p w14:paraId="7B78C137">
      <w:pPr>
        <w:pStyle w:val="5"/>
        <w:bidi w:val="0"/>
        <w:rPr>
          <w:rFonts w:hint="default"/>
          <w:lang w:val="en-US" w:eastAsia="zh-CN"/>
        </w:rPr>
      </w:pPr>
      <w:r>
        <w:rPr>
          <w:rFonts w:hint="eastAsia"/>
          <w:lang w:val="en-US" w:eastAsia="zh-CN"/>
        </w:rPr>
        <w:t>2.4.2.3排土场</w:t>
      </w:r>
    </w:p>
    <w:p w14:paraId="104686B9">
      <w:pPr>
        <w:widowControl w:val="0"/>
        <w:wordWrap/>
        <w:adjustRightInd w:val="0"/>
        <w:snapToGrid w:val="0"/>
        <w:spacing w:before="0" w:beforeLines="0" w:after="0" w:afterLines="0" w:line="360" w:lineRule="auto"/>
        <w:ind w:left="0" w:leftChars="0" w:right="0" w:firstLine="552" w:firstLineChars="200"/>
        <w:jc w:val="both"/>
        <w:textAlignment w:val="auto"/>
        <w:outlineLvl w:val="9"/>
        <w:rPr>
          <w:rFonts w:hint="eastAsia" w:cs="Times New Roman"/>
          <w:color w:val="auto"/>
          <w:sz w:val="28"/>
          <w:szCs w:val="28"/>
          <w:lang w:val="en-US" w:eastAsia="zh-CN"/>
        </w:rPr>
      </w:pPr>
      <w:r>
        <w:rPr>
          <w:rFonts w:hint="eastAsia"/>
          <w:color w:val="auto"/>
          <w:lang w:val="en-US" w:eastAsia="zh-CN"/>
        </w:rPr>
        <w:t>安全设施设计报告设计排土场位于矿权东南部108m位置</w:t>
      </w:r>
      <w:r>
        <w:rPr>
          <w:rFonts w:hint="eastAsia"/>
          <w:b w:val="0"/>
          <w:bCs w:val="0"/>
          <w:color w:val="auto"/>
          <w:lang w:val="en-US" w:eastAsia="zh-CN"/>
        </w:rPr>
        <w:t>，现为一片空地，地面平整，适合</w:t>
      </w:r>
      <w:r>
        <w:rPr>
          <w:rFonts w:hint="eastAsia"/>
          <w:color w:val="auto"/>
          <w:lang w:val="en-US" w:eastAsia="zh-CN"/>
        </w:rPr>
        <w:t>排土场建设</w:t>
      </w:r>
      <w:r>
        <w:rPr>
          <w:rFonts w:hint="eastAsia"/>
          <w:b w:val="0"/>
          <w:bCs w:val="0"/>
          <w:color w:val="auto"/>
          <w:lang w:val="en-US" w:eastAsia="zh-CN"/>
        </w:rPr>
        <w:t>。</w:t>
      </w:r>
      <w:r>
        <w:rPr>
          <w:rFonts w:hint="eastAsia"/>
          <w:color w:val="auto"/>
          <w:lang w:val="en-US" w:eastAsia="zh-CN"/>
        </w:rPr>
        <w:t>排土场</w:t>
      </w:r>
      <w:r>
        <w:rPr>
          <w:rFonts w:hint="eastAsia"/>
          <w:b w:val="0"/>
          <w:bCs w:val="0"/>
          <w:color w:val="auto"/>
          <w:lang w:val="en-US" w:eastAsia="zh-CN"/>
        </w:rPr>
        <w:t>堆存高度6m，按</w:t>
      </w:r>
      <w:r>
        <w:rPr>
          <w:rFonts w:hint="default" w:ascii="Times New Roman" w:hAnsi="Times New Roman" w:eastAsia="宋体" w:cs="Times New Roman"/>
          <w:color w:val="auto"/>
          <w:sz w:val="28"/>
          <w:szCs w:val="28"/>
          <w:lang w:eastAsia="zh-CN"/>
        </w:rPr>
        <w:t>堆排边坡坡比</w:t>
      </w:r>
      <w:r>
        <w:rPr>
          <w:rFonts w:hint="default" w:ascii="Times New Roman" w:hAnsi="Times New Roman" w:eastAsia="宋体" w:cs="Times New Roman"/>
          <w:color w:val="auto"/>
          <w:sz w:val="28"/>
          <w:szCs w:val="28"/>
          <w:lang w:val="en-US" w:eastAsia="zh-CN"/>
        </w:rPr>
        <w:t>1:1.6（32°）</w:t>
      </w:r>
      <w:r>
        <w:rPr>
          <w:rFonts w:hint="eastAsia"/>
          <w:b w:val="0"/>
          <w:bCs w:val="0"/>
          <w:color w:val="auto"/>
          <w:sz w:val="28"/>
          <w:szCs w:val="28"/>
          <w:lang w:val="en-US" w:eastAsia="zh-CN"/>
        </w:rPr>
        <w:t>堆存，</w:t>
      </w:r>
      <w:r>
        <w:rPr>
          <w:rFonts w:hint="eastAsia" w:ascii="宋体" w:hAnsi="宋体"/>
          <w:color w:val="auto"/>
          <w:sz w:val="28"/>
          <w:szCs w:val="28"/>
        </w:rPr>
        <w:t>可堆存</w:t>
      </w:r>
      <w:r>
        <w:rPr>
          <w:rFonts w:hint="default" w:ascii="Times New Roman" w:hAnsi="Times New Roman" w:eastAsia="Times New Roman"/>
          <w:color w:val="auto"/>
          <w:sz w:val="28"/>
          <w:szCs w:val="28"/>
        </w:rPr>
        <w:t>0.75</w:t>
      </w:r>
      <w:r>
        <w:rPr>
          <w:rFonts w:hint="eastAsia" w:ascii="宋体" w:hAnsi="宋体"/>
          <w:color w:val="auto"/>
          <w:sz w:val="28"/>
          <w:szCs w:val="28"/>
        </w:rPr>
        <w:t>万</w:t>
      </w:r>
      <w:r>
        <w:rPr>
          <w:rFonts w:hint="default" w:ascii="Times New Roman" w:hAnsi="Times New Roman" w:eastAsia="Times New Roman"/>
          <w:color w:val="auto"/>
          <w:sz w:val="28"/>
          <w:szCs w:val="28"/>
        </w:rPr>
        <w:t>m³</w:t>
      </w:r>
      <w:r>
        <w:rPr>
          <w:rFonts w:hint="eastAsia" w:ascii="宋体" w:hAnsi="宋体"/>
          <w:color w:val="auto"/>
          <w:sz w:val="28"/>
          <w:szCs w:val="28"/>
        </w:rPr>
        <w:t>（</w:t>
      </w:r>
      <w:r>
        <w:rPr>
          <w:rFonts w:hint="default" w:ascii="Times New Roman" w:hAnsi="Times New Roman" w:eastAsia="Times New Roman"/>
          <w:color w:val="auto"/>
          <w:sz w:val="28"/>
          <w:szCs w:val="28"/>
        </w:rPr>
        <w:t>1.2</w:t>
      </w:r>
      <w:r>
        <w:rPr>
          <w:rFonts w:hint="eastAsia" w:ascii="宋体" w:hAnsi="宋体"/>
          <w:color w:val="auto"/>
          <w:sz w:val="28"/>
          <w:szCs w:val="28"/>
        </w:rPr>
        <w:t>万</w:t>
      </w:r>
      <w:r>
        <w:rPr>
          <w:rFonts w:hint="default" w:ascii="Times New Roman" w:hAnsi="Times New Roman" w:eastAsia="Times New Roman"/>
          <w:color w:val="auto"/>
          <w:sz w:val="28"/>
          <w:szCs w:val="28"/>
        </w:rPr>
        <w:t>t</w:t>
      </w:r>
      <w:r>
        <w:rPr>
          <w:rFonts w:hint="eastAsia" w:ascii="宋体" w:hAnsi="宋体"/>
          <w:color w:val="auto"/>
          <w:sz w:val="28"/>
          <w:szCs w:val="28"/>
        </w:rPr>
        <w:t>），矿山表土剥离量为</w:t>
      </w:r>
      <w:r>
        <w:rPr>
          <w:rFonts w:hint="default" w:ascii="Times New Roman" w:hAnsi="Times New Roman" w:eastAsia="Times New Roman"/>
          <w:color w:val="auto"/>
          <w:sz w:val="28"/>
          <w:szCs w:val="28"/>
        </w:rPr>
        <w:t>0.6</w:t>
      </w:r>
      <w:r>
        <w:rPr>
          <w:rFonts w:hint="eastAsia" w:ascii="Times New Roman" w:hAnsi="Times New Roman"/>
          <w:color w:val="auto"/>
          <w:sz w:val="28"/>
          <w:szCs w:val="28"/>
          <w:lang w:val="en-US" w:eastAsia="zh-CN"/>
        </w:rPr>
        <w:t>4</w:t>
      </w:r>
      <w:r>
        <w:rPr>
          <w:rFonts w:hint="eastAsia" w:ascii="宋体" w:hAnsi="宋体"/>
          <w:color w:val="auto"/>
          <w:sz w:val="28"/>
          <w:szCs w:val="28"/>
        </w:rPr>
        <w:t>万</w:t>
      </w:r>
      <w:r>
        <w:rPr>
          <w:rFonts w:hint="default" w:ascii="Times New Roman" w:hAnsi="Times New Roman" w:eastAsia="Times New Roman"/>
          <w:color w:val="auto"/>
          <w:sz w:val="28"/>
          <w:szCs w:val="28"/>
        </w:rPr>
        <w:t>m³</w:t>
      </w:r>
      <w:r>
        <w:rPr>
          <w:rFonts w:hint="eastAsia" w:ascii="宋体" w:hAnsi="宋体"/>
          <w:color w:val="auto"/>
          <w:sz w:val="28"/>
          <w:szCs w:val="28"/>
        </w:rPr>
        <w:t>（</w:t>
      </w:r>
      <w:r>
        <w:rPr>
          <w:rFonts w:hint="default" w:ascii="Times New Roman" w:hAnsi="Times New Roman" w:eastAsia="Times New Roman"/>
          <w:color w:val="auto"/>
          <w:sz w:val="28"/>
          <w:szCs w:val="28"/>
        </w:rPr>
        <w:t>0.9</w:t>
      </w:r>
      <w:r>
        <w:rPr>
          <w:rFonts w:hint="eastAsia" w:ascii="Times New Roman" w:hAnsi="Times New Roman"/>
          <w:color w:val="auto"/>
          <w:sz w:val="28"/>
          <w:szCs w:val="28"/>
          <w:lang w:val="en-US" w:eastAsia="zh-CN"/>
        </w:rPr>
        <w:t>6</w:t>
      </w:r>
      <w:r>
        <w:rPr>
          <w:rFonts w:hint="eastAsia" w:ascii="宋体" w:hAnsi="宋体"/>
          <w:color w:val="auto"/>
          <w:sz w:val="28"/>
          <w:szCs w:val="28"/>
        </w:rPr>
        <w:t>万</w:t>
      </w:r>
      <w:r>
        <w:rPr>
          <w:rFonts w:hint="default" w:ascii="Times New Roman" w:hAnsi="Times New Roman" w:eastAsia="Times New Roman"/>
          <w:color w:val="auto"/>
          <w:sz w:val="28"/>
          <w:szCs w:val="28"/>
        </w:rPr>
        <w:t>t</w:t>
      </w:r>
      <w:r>
        <w:rPr>
          <w:rFonts w:hint="eastAsia" w:ascii="宋体" w:hAnsi="宋体"/>
          <w:color w:val="auto"/>
          <w:sz w:val="28"/>
          <w:szCs w:val="28"/>
        </w:rPr>
        <w:t>），能够满足堆存要</w:t>
      </w:r>
      <w:r>
        <w:rPr>
          <w:rFonts w:hint="default" w:ascii="Times New Roman" w:hAnsi="Times New Roman" w:eastAsia="Times New Roman"/>
          <w:color w:val="auto"/>
          <w:sz w:val="28"/>
          <w:szCs w:val="28"/>
        </w:rPr>
        <w:t>求</w:t>
      </w:r>
      <w:r>
        <w:rPr>
          <w:rFonts w:hint="eastAsia" w:cs="Times New Roman"/>
          <w:color w:val="auto"/>
          <w:sz w:val="28"/>
          <w:szCs w:val="28"/>
          <w:lang w:val="en-US" w:eastAsia="zh-CN"/>
        </w:rPr>
        <w:t>。</w:t>
      </w:r>
    </w:p>
    <w:p w14:paraId="226F3060">
      <w:pPr>
        <w:widowControl w:val="0"/>
        <w:wordWrap/>
        <w:adjustRightInd w:val="0"/>
        <w:snapToGrid w:val="0"/>
        <w:spacing w:before="0" w:beforeLines="0" w:after="0" w:afterLines="0" w:line="360" w:lineRule="auto"/>
        <w:ind w:left="0" w:leftChars="0" w:right="0" w:firstLine="552" w:firstLineChars="200"/>
        <w:jc w:val="both"/>
        <w:textAlignment w:val="auto"/>
        <w:outlineLvl w:val="9"/>
        <w:rPr>
          <w:rFonts w:hint="eastAsia"/>
          <w:color w:val="auto"/>
          <w:szCs w:val="28"/>
          <w:lang w:eastAsia="zh-CN"/>
        </w:rPr>
      </w:pPr>
      <w:r>
        <w:rPr>
          <w:rFonts w:hint="eastAsia" w:cs="Times New Roman"/>
          <w:color w:val="auto"/>
          <w:sz w:val="28"/>
          <w:szCs w:val="28"/>
          <w:lang w:val="en-US" w:eastAsia="zh-CN"/>
        </w:rPr>
        <w:t>根据2026年月4日云南增股工程勘察设计有限公司安全设施设计变更说明，基建期间，边基建、边复垦，基建期间剥离的废土全部用于矿山复垦，采矿期间几乎不产生废土，故不需要建设排土场</w:t>
      </w:r>
      <w:r>
        <w:rPr>
          <w:rFonts w:hint="eastAsia"/>
          <w:color w:val="auto"/>
          <w:szCs w:val="28"/>
          <w:lang w:eastAsia="zh-CN"/>
        </w:rPr>
        <w:t>。</w:t>
      </w:r>
    </w:p>
    <w:p w14:paraId="574BC5CA">
      <w:pPr>
        <w:widowControl w:val="0"/>
        <w:wordWrap/>
        <w:adjustRightInd w:val="0"/>
        <w:snapToGrid w:val="0"/>
        <w:spacing w:before="0" w:beforeLines="0" w:after="0" w:afterLines="0" w:line="360" w:lineRule="auto"/>
        <w:ind w:left="0" w:leftChars="0" w:right="0" w:firstLine="552" w:firstLineChars="200"/>
        <w:jc w:val="both"/>
        <w:textAlignment w:val="auto"/>
        <w:outlineLvl w:val="9"/>
        <w:rPr>
          <w:rFonts w:hint="default"/>
          <w:color w:val="auto"/>
          <w:szCs w:val="28"/>
          <w:lang w:val="en-US" w:eastAsia="zh-CN"/>
        </w:rPr>
      </w:pPr>
      <w:r>
        <w:rPr>
          <w:rFonts w:hint="eastAsia"/>
          <w:color w:val="auto"/>
          <w:szCs w:val="28"/>
          <w:lang w:val="en-US" w:eastAsia="zh-CN"/>
        </w:rPr>
        <w:t>基建期间已经对1705m、1690m和1675m平台完成绿植</w:t>
      </w:r>
      <w:r>
        <w:rPr>
          <w:rFonts w:hint="eastAsia" w:cs="Times New Roman"/>
          <w:color w:val="auto"/>
          <w:sz w:val="28"/>
          <w:szCs w:val="28"/>
          <w:lang w:val="en-US" w:eastAsia="zh-CN"/>
        </w:rPr>
        <w:t>复垦，部分废土作为道路车挡，暂未产生多余废土都需要排放。</w:t>
      </w:r>
    </w:p>
    <w:p w14:paraId="37657DAC">
      <w:pPr>
        <w:pStyle w:val="4"/>
      </w:pPr>
      <w:bookmarkStart w:id="191" w:name="_Toc23516"/>
      <w:r>
        <w:t>2.4.3开采范围</w:t>
      </w:r>
      <w:bookmarkEnd w:id="189"/>
      <w:bookmarkEnd w:id="190"/>
      <w:bookmarkEnd w:id="191"/>
    </w:p>
    <w:p w14:paraId="4B92FF6F">
      <w:pPr>
        <w:bidi w:val="0"/>
      </w:pPr>
      <w:r>
        <w:rPr>
          <w:rFonts w:hint="eastAsia"/>
          <w:lang w:val="en-US" w:eastAsia="zh-CN"/>
        </w:rPr>
        <w:t>1、</w:t>
      </w:r>
      <w:r>
        <w:t>设计情况</w:t>
      </w:r>
    </w:p>
    <w:p w14:paraId="740ECC3C">
      <w:pPr>
        <w:bidi w:val="0"/>
        <w:rPr>
          <w:rFonts w:hint="eastAsia"/>
          <w:lang w:val="en-US" w:eastAsia="zh-CN"/>
        </w:rPr>
      </w:pPr>
      <w:r>
        <w:rPr>
          <w:rFonts w:hint="eastAsia"/>
          <w:lang w:val="en-US" w:eastAsia="zh-CN"/>
        </w:rPr>
        <w:t>（1）采矿许可证范围</w:t>
      </w:r>
    </w:p>
    <w:p w14:paraId="25D365AB">
      <w:pPr>
        <w:bidi w:val="0"/>
        <w:rPr>
          <w:rFonts w:hint="eastAsia" w:eastAsia="宋体"/>
          <w:lang w:eastAsia="zh-CN"/>
        </w:rPr>
      </w:pPr>
      <w:r>
        <w:t>根据广南县自然资源局</w:t>
      </w:r>
      <w:r>
        <w:rPr>
          <w:rFonts w:hint="default"/>
          <w:lang w:eastAsia="zh-CN"/>
        </w:rPr>
        <w:t>202</w:t>
      </w:r>
      <w:r>
        <w:rPr>
          <w:rFonts w:hint="eastAsia"/>
          <w:lang w:val="en-US" w:eastAsia="zh-CN"/>
        </w:rPr>
        <w:t>4</w:t>
      </w:r>
      <w:r>
        <w:rPr>
          <w:rFonts w:hint="default"/>
          <w:lang w:eastAsia="zh-CN"/>
        </w:rPr>
        <w:t>年1</w:t>
      </w:r>
      <w:r>
        <w:rPr>
          <w:rFonts w:hint="eastAsia"/>
          <w:lang w:val="en-US" w:eastAsia="zh-CN"/>
        </w:rPr>
        <w:t>2</w:t>
      </w:r>
      <w:r>
        <w:rPr>
          <w:rFonts w:hint="default"/>
          <w:lang w:eastAsia="zh-CN"/>
        </w:rPr>
        <w:t>月</w:t>
      </w:r>
      <w:r>
        <w:rPr>
          <w:rFonts w:hint="eastAsia"/>
          <w:lang w:val="en-US" w:eastAsia="zh-CN"/>
        </w:rPr>
        <w:t>20</w:t>
      </w:r>
      <w:r>
        <w:rPr>
          <w:rFonts w:hint="default"/>
          <w:lang w:eastAsia="zh-CN"/>
        </w:rPr>
        <w:t>日</w:t>
      </w:r>
      <w:r>
        <w:t>颁发的采矿许可证（证号：</w:t>
      </w:r>
      <w:r>
        <w:rPr>
          <w:rFonts w:hint="eastAsia"/>
          <w:lang w:eastAsia="zh-CN"/>
        </w:rPr>
        <w:t>C5326272024127230157765</w:t>
      </w:r>
      <w:r>
        <w:t>），</w:t>
      </w:r>
      <w:r>
        <w:rPr>
          <w:rFonts w:hint="eastAsia"/>
        </w:rPr>
        <w:t>云南省广南县麦地大山建筑石料用石灰岩矿</w:t>
      </w:r>
      <w:r>
        <w:t>拟设矿区范围由</w:t>
      </w:r>
      <w:r>
        <w:rPr>
          <w:rFonts w:hint="eastAsia"/>
        </w:rPr>
        <w:t>10</w:t>
      </w:r>
      <w:r>
        <w:t>个拐点圈定，矿区面积0.</w:t>
      </w:r>
      <w:r>
        <w:rPr>
          <w:rFonts w:hint="eastAsia"/>
        </w:rPr>
        <w:t>0266</w:t>
      </w:r>
      <w:r>
        <w:t>km</w:t>
      </w:r>
      <w:r>
        <w:rPr>
          <w:vertAlign w:val="superscript"/>
        </w:rPr>
        <w:t>2</w:t>
      </w:r>
      <w:r>
        <w:t>，开采标高为</w:t>
      </w:r>
      <w:r>
        <w:rPr>
          <w:rFonts w:hint="eastAsia"/>
        </w:rPr>
        <w:t>1724</w:t>
      </w:r>
      <w:r>
        <w:t>m～</w:t>
      </w:r>
      <w:r>
        <w:rPr>
          <w:rFonts w:hint="eastAsia"/>
        </w:rPr>
        <w:t>1607</w:t>
      </w:r>
      <w:r>
        <w:t>m</w:t>
      </w:r>
      <w:r>
        <w:rPr>
          <w:rFonts w:hint="eastAsia"/>
          <w:lang w:eastAsia="zh-CN"/>
        </w:rPr>
        <w:t>，</w:t>
      </w:r>
      <w:r>
        <w:rPr>
          <w:rFonts w:hint="eastAsia"/>
          <w:lang w:val="en-US" w:eastAsia="zh-CN"/>
        </w:rPr>
        <w:t>开采深度117m</w:t>
      </w:r>
      <w:r>
        <w:rPr>
          <w:rFonts w:hint="default"/>
          <w:lang w:val="zh-TW"/>
        </w:rPr>
        <w:t>。</w:t>
      </w:r>
      <w:r>
        <w:t>矿区范围见</w:t>
      </w:r>
      <w:r>
        <w:rPr>
          <w:rFonts w:hint="eastAsia"/>
          <w:lang w:val="en-US" w:eastAsia="zh-CN"/>
        </w:rPr>
        <w:t>表2.4</w:t>
      </w:r>
      <w:r>
        <w:rPr>
          <w:lang w:val="en-US" w:eastAsia="zh-CN"/>
        </w:rPr>
        <w:t>-1</w:t>
      </w:r>
      <w:r>
        <w:rPr>
          <w:rFonts w:hint="eastAsia"/>
          <w:lang w:eastAsia="zh-CN"/>
        </w:rPr>
        <w:t>。</w:t>
      </w:r>
    </w:p>
    <w:p w14:paraId="2D174447">
      <w:pPr>
        <w:pageBreakBefore w:val="0"/>
        <w:widowControl w:val="0"/>
        <w:kinsoku/>
        <w:overflowPunct/>
        <w:bidi w:val="0"/>
        <w:spacing w:after="0" w:line="240" w:lineRule="auto"/>
        <w:ind w:left="0" w:leftChars="0" w:right="0" w:firstLine="0" w:firstLineChars="0"/>
        <w:jc w:val="center"/>
        <w:rPr>
          <w:rFonts w:hint="eastAsia" w:ascii="Times New Roman" w:hAnsi="Times New Roman" w:eastAsia="宋体" w:cs="Times New Roman"/>
          <w:b/>
          <w:bCs/>
          <w:kern w:val="2"/>
          <w:sz w:val="21"/>
          <w:szCs w:val="21"/>
          <w:lang w:val="en-US" w:eastAsia="zh-CN" w:bidi="ar-SA"/>
        </w:rPr>
      </w:pPr>
      <w:r>
        <w:rPr>
          <w:rFonts w:hint="eastAsia" w:ascii="Times New Roman" w:hAnsi="Times New Roman" w:eastAsia="宋体" w:cs="Times New Roman"/>
          <w:b/>
          <w:bCs/>
          <w:kern w:val="2"/>
          <w:sz w:val="21"/>
          <w:szCs w:val="21"/>
          <w:lang w:val="en-US" w:eastAsia="zh-CN" w:bidi="ar-SA"/>
        </w:rPr>
        <w:t>表</w:t>
      </w:r>
      <w:r>
        <w:rPr>
          <w:rFonts w:hint="eastAsia" w:ascii="Times New Roman" w:hAnsi="Times New Roman" w:cs="Times New Roman"/>
          <w:b/>
          <w:bCs/>
          <w:kern w:val="2"/>
          <w:sz w:val="21"/>
          <w:szCs w:val="21"/>
          <w:lang w:val="en-US" w:eastAsia="zh-CN" w:bidi="ar-SA"/>
        </w:rPr>
        <w:t>2.4</w:t>
      </w:r>
      <w:r>
        <w:rPr>
          <w:rFonts w:ascii="Times New Roman" w:hAnsi="Times New Roman" w:eastAsia="宋体" w:cs="Times New Roman"/>
          <w:b/>
          <w:bCs/>
          <w:kern w:val="2"/>
          <w:sz w:val="21"/>
          <w:szCs w:val="21"/>
          <w:lang w:val="en-US" w:eastAsia="zh-CN" w:bidi="ar-SA"/>
        </w:rPr>
        <w:t>-1</w:t>
      </w:r>
      <w:r>
        <w:rPr>
          <w:rFonts w:hint="eastAsia" w:ascii="Times New Roman" w:hAnsi="Times New Roman" w:eastAsia="宋体" w:cs="Times New Roman"/>
          <w:b/>
          <w:bCs/>
          <w:kern w:val="2"/>
          <w:sz w:val="21"/>
          <w:szCs w:val="21"/>
          <w:lang w:val="en-US" w:eastAsia="zh-CN" w:bidi="ar-SA"/>
        </w:rPr>
        <w:t>矿区范围拐点坐标表</w:t>
      </w:r>
    </w:p>
    <w:tbl>
      <w:tblPr>
        <w:tblStyle w:val="35"/>
        <w:tblW w:w="423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699"/>
        <w:gridCol w:w="3067"/>
        <w:gridCol w:w="3341"/>
      </w:tblGrid>
      <w:tr w14:paraId="176FB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vMerge w:val="restart"/>
            <w:noWrap w:val="0"/>
            <w:vAlign w:val="center"/>
          </w:tcPr>
          <w:p w14:paraId="0821789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拐点编号</w:t>
            </w:r>
          </w:p>
        </w:tc>
        <w:tc>
          <w:tcPr>
            <w:tcW w:w="3951" w:type="pct"/>
            <w:gridSpan w:val="2"/>
            <w:noWrap w:val="0"/>
            <w:vAlign w:val="center"/>
          </w:tcPr>
          <w:p w14:paraId="1494A8E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2000国家大地坐标</w:t>
            </w:r>
          </w:p>
        </w:tc>
      </w:tr>
      <w:tr w14:paraId="77678D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vMerge w:val="continue"/>
            <w:noWrap w:val="0"/>
            <w:vAlign w:val="center"/>
          </w:tcPr>
          <w:p w14:paraId="5620C7D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0"/>
                <w:sz w:val="21"/>
                <w:szCs w:val="21"/>
              </w:rPr>
            </w:pPr>
          </w:p>
        </w:tc>
        <w:tc>
          <w:tcPr>
            <w:tcW w:w="1891" w:type="pct"/>
            <w:noWrap w:val="0"/>
            <w:vAlign w:val="center"/>
          </w:tcPr>
          <w:p w14:paraId="43F547C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X坐标</w:t>
            </w:r>
          </w:p>
        </w:tc>
        <w:tc>
          <w:tcPr>
            <w:tcW w:w="2060" w:type="pct"/>
            <w:noWrap w:val="0"/>
            <w:vAlign w:val="center"/>
          </w:tcPr>
          <w:p w14:paraId="4AF54E2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Y坐标</w:t>
            </w:r>
          </w:p>
        </w:tc>
      </w:tr>
      <w:tr w14:paraId="4CE13E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021A195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1</w:t>
            </w:r>
          </w:p>
        </w:tc>
        <w:tc>
          <w:tcPr>
            <w:tcW w:w="1891" w:type="pct"/>
            <w:noWrap/>
            <w:vAlign w:val="center"/>
          </w:tcPr>
          <w:p w14:paraId="5CE628E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2620459.050</w:t>
            </w:r>
          </w:p>
        </w:tc>
        <w:tc>
          <w:tcPr>
            <w:tcW w:w="2060" w:type="pct"/>
            <w:noWrap/>
            <w:vAlign w:val="center"/>
          </w:tcPr>
          <w:p w14:paraId="17706F33">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35491831.640</w:t>
            </w:r>
          </w:p>
        </w:tc>
      </w:tr>
      <w:tr w14:paraId="4B9A82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073405B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w:t>
            </w:r>
          </w:p>
        </w:tc>
        <w:tc>
          <w:tcPr>
            <w:tcW w:w="1891" w:type="pct"/>
            <w:noWrap/>
            <w:vAlign w:val="center"/>
          </w:tcPr>
          <w:p w14:paraId="1D80D1C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2620291.600</w:t>
            </w:r>
          </w:p>
        </w:tc>
        <w:tc>
          <w:tcPr>
            <w:tcW w:w="2060" w:type="pct"/>
            <w:noWrap/>
            <w:vAlign w:val="center"/>
          </w:tcPr>
          <w:p w14:paraId="2521153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35491847.520</w:t>
            </w:r>
          </w:p>
        </w:tc>
      </w:tr>
      <w:tr w14:paraId="3AC13D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368D386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w:t>
            </w:r>
          </w:p>
        </w:tc>
        <w:tc>
          <w:tcPr>
            <w:tcW w:w="1891" w:type="pct"/>
            <w:noWrap/>
            <w:vAlign w:val="center"/>
          </w:tcPr>
          <w:p w14:paraId="05407C02">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2620279.920</w:t>
            </w:r>
          </w:p>
        </w:tc>
        <w:tc>
          <w:tcPr>
            <w:tcW w:w="2060" w:type="pct"/>
            <w:noWrap/>
            <w:vAlign w:val="center"/>
          </w:tcPr>
          <w:p w14:paraId="38B42A0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35491808.560</w:t>
            </w:r>
          </w:p>
        </w:tc>
      </w:tr>
      <w:tr w14:paraId="3D98F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7D60A2F7">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4</w:t>
            </w:r>
          </w:p>
        </w:tc>
        <w:tc>
          <w:tcPr>
            <w:tcW w:w="1891" w:type="pct"/>
            <w:noWrap/>
            <w:vAlign w:val="center"/>
          </w:tcPr>
          <w:p w14:paraId="194EDC7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2620209.800</w:t>
            </w:r>
          </w:p>
        </w:tc>
        <w:tc>
          <w:tcPr>
            <w:tcW w:w="2060" w:type="pct"/>
            <w:noWrap/>
            <w:vAlign w:val="center"/>
          </w:tcPr>
          <w:p w14:paraId="4B704E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35491769.320</w:t>
            </w:r>
          </w:p>
        </w:tc>
      </w:tr>
      <w:tr w14:paraId="3D4F0B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711BDECB">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5</w:t>
            </w:r>
          </w:p>
        </w:tc>
        <w:tc>
          <w:tcPr>
            <w:tcW w:w="1891" w:type="pct"/>
            <w:noWrap/>
            <w:vAlign w:val="center"/>
          </w:tcPr>
          <w:p w14:paraId="538931C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2620170.800</w:t>
            </w:r>
          </w:p>
        </w:tc>
        <w:tc>
          <w:tcPr>
            <w:tcW w:w="2060" w:type="pct"/>
            <w:noWrap/>
            <w:vAlign w:val="center"/>
          </w:tcPr>
          <w:p w14:paraId="34FA508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35491723.320</w:t>
            </w:r>
          </w:p>
        </w:tc>
      </w:tr>
      <w:tr w14:paraId="4E581D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2DE0E81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6</w:t>
            </w:r>
          </w:p>
        </w:tc>
        <w:tc>
          <w:tcPr>
            <w:tcW w:w="1891" w:type="pct"/>
            <w:noWrap/>
            <w:vAlign w:val="center"/>
          </w:tcPr>
          <w:p w14:paraId="5708451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2620255.790</w:t>
            </w:r>
          </w:p>
        </w:tc>
        <w:tc>
          <w:tcPr>
            <w:tcW w:w="2060" w:type="pct"/>
            <w:noWrap/>
            <w:vAlign w:val="center"/>
          </w:tcPr>
          <w:p w14:paraId="5DCB178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35491654.000</w:t>
            </w:r>
          </w:p>
        </w:tc>
      </w:tr>
      <w:tr w14:paraId="6A808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0CFE9EC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7</w:t>
            </w:r>
          </w:p>
        </w:tc>
        <w:tc>
          <w:tcPr>
            <w:tcW w:w="1891" w:type="pct"/>
            <w:noWrap/>
            <w:vAlign w:val="center"/>
          </w:tcPr>
          <w:p w14:paraId="7145369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2620301.910</w:t>
            </w:r>
          </w:p>
        </w:tc>
        <w:tc>
          <w:tcPr>
            <w:tcW w:w="2060" w:type="pct"/>
            <w:noWrap/>
            <w:vAlign w:val="center"/>
          </w:tcPr>
          <w:p w14:paraId="15632236">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35491668.420</w:t>
            </w:r>
          </w:p>
        </w:tc>
      </w:tr>
      <w:tr w14:paraId="0AB033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331D5B41">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8</w:t>
            </w:r>
          </w:p>
        </w:tc>
        <w:tc>
          <w:tcPr>
            <w:tcW w:w="1891" w:type="pct"/>
            <w:noWrap/>
            <w:vAlign w:val="center"/>
          </w:tcPr>
          <w:p w14:paraId="1CA8EBD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2620360.110</w:t>
            </w:r>
          </w:p>
        </w:tc>
        <w:tc>
          <w:tcPr>
            <w:tcW w:w="2060" w:type="pct"/>
            <w:noWrap/>
            <w:vAlign w:val="center"/>
          </w:tcPr>
          <w:p w14:paraId="1C454F5E">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35491766.060</w:t>
            </w:r>
          </w:p>
        </w:tc>
      </w:tr>
      <w:tr w14:paraId="67CD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515BAF88">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9</w:t>
            </w:r>
          </w:p>
        </w:tc>
        <w:tc>
          <w:tcPr>
            <w:tcW w:w="1891" w:type="pct"/>
            <w:noWrap/>
            <w:vAlign w:val="center"/>
          </w:tcPr>
          <w:p w14:paraId="1AA87639">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2620386.990</w:t>
            </w:r>
          </w:p>
        </w:tc>
        <w:tc>
          <w:tcPr>
            <w:tcW w:w="2060" w:type="pct"/>
            <w:noWrap/>
            <w:vAlign w:val="center"/>
          </w:tcPr>
          <w:p w14:paraId="74BEE97D">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35491777.690</w:t>
            </w:r>
          </w:p>
        </w:tc>
      </w:tr>
      <w:tr w14:paraId="2B893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5DE6118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0"/>
                <w:sz w:val="21"/>
                <w:szCs w:val="21"/>
              </w:rPr>
            </w:pPr>
            <w:r>
              <w:rPr>
                <w:rFonts w:hint="eastAsia" w:ascii="宋体" w:hAnsi="宋体" w:eastAsia="宋体" w:cs="宋体"/>
                <w:spacing w:val="0"/>
                <w:kern w:val="0"/>
                <w:sz w:val="21"/>
                <w:szCs w:val="21"/>
              </w:rPr>
              <w:t>10</w:t>
            </w:r>
          </w:p>
        </w:tc>
        <w:tc>
          <w:tcPr>
            <w:tcW w:w="1891" w:type="pct"/>
            <w:noWrap/>
            <w:vAlign w:val="center"/>
          </w:tcPr>
          <w:p w14:paraId="7DBE5A6F">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0"/>
                <w:sz w:val="21"/>
                <w:szCs w:val="21"/>
              </w:rPr>
            </w:pPr>
            <w:r>
              <w:rPr>
                <w:rFonts w:hint="eastAsia" w:ascii="宋体" w:hAnsi="宋体" w:eastAsia="宋体" w:cs="宋体"/>
                <w:spacing w:val="0"/>
                <w:kern w:val="0"/>
                <w:sz w:val="21"/>
                <w:szCs w:val="21"/>
              </w:rPr>
              <w:t>2620425.270</w:t>
            </w:r>
          </w:p>
        </w:tc>
        <w:tc>
          <w:tcPr>
            <w:tcW w:w="2060" w:type="pct"/>
            <w:noWrap/>
            <w:vAlign w:val="center"/>
          </w:tcPr>
          <w:p w14:paraId="3D25E3C0">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0"/>
                <w:sz w:val="21"/>
                <w:szCs w:val="21"/>
              </w:rPr>
            </w:pPr>
            <w:r>
              <w:rPr>
                <w:rFonts w:hint="eastAsia" w:ascii="宋体" w:hAnsi="宋体" w:eastAsia="宋体" w:cs="宋体"/>
                <w:spacing w:val="0"/>
                <w:kern w:val="0"/>
                <w:sz w:val="21"/>
                <w:szCs w:val="21"/>
              </w:rPr>
              <w:t>35491766.130</w:t>
            </w:r>
          </w:p>
        </w:tc>
      </w:tr>
      <w:tr w14:paraId="493358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1048" w:type="pct"/>
            <w:noWrap w:val="0"/>
            <w:vAlign w:val="center"/>
          </w:tcPr>
          <w:p w14:paraId="09A9AFEA">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0"/>
                <w:sz w:val="21"/>
                <w:szCs w:val="21"/>
              </w:rPr>
            </w:pPr>
            <w:r>
              <w:rPr>
                <w:rFonts w:hint="eastAsia" w:ascii="宋体" w:hAnsi="宋体" w:eastAsia="宋体" w:cs="宋体"/>
                <w:spacing w:val="0"/>
                <w:kern w:val="0"/>
                <w:sz w:val="21"/>
                <w:szCs w:val="21"/>
              </w:rPr>
              <w:t>矿区面积</w:t>
            </w:r>
          </w:p>
        </w:tc>
        <w:tc>
          <w:tcPr>
            <w:tcW w:w="3951" w:type="pct"/>
            <w:gridSpan w:val="2"/>
            <w:noWrap w:val="0"/>
            <w:vAlign w:val="center"/>
          </w:tcPr>
          <w:p w14:paraId="135E90A5">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center"/>
              <w:rPr>
                <w:rFonts w:ascii="宋体" w:hAnsi="宋体" w:eastAsia="宋体" w:cs="宋体"/>
                <w:spacing w:val="0"/>
                <w:kern w:val="2"/>
                <w:sz w:val="21"/>
                <w:szCs w:val="21"/>
              </w:rPr>
            </w:pPr>
            <w:r>
              <w:rPr>
                <w:rFonts w:hint="eastAsia" w:ascii="宋体" w:hAnsi="宋体" w:eastAsia="宋体" w:cs="宋体"/>
                <w:spacing w:val="0"/>
                <w:kern w:val="0"/>
                <w:sz w:val="21"/>
                <w:szCs w:val="21"/>
              </w:rPr>
              <w:t>0.0266</w:t>
            </w:r>
            <w:r>
              <w:rPr>
                <w:rFonts w:hint="eastAsia" w:ascii="宋体" w:hAnsi="宋体" w:eastAsia="宋体" w:cs="宋体"/>
                <w:snapToGrid w:val="0"/>
                <w:color w:val="000000"/>
                <w:spacing w:val="0"/>
                <w:kern w:val="0"/>
                <w:sz w:val="21"/>
                <w:szCs w:val="21"/>
              </w:rPr>
              <w:t>km</w:t>
            </w:r>
            <w:r>
              <w:rPr>
                <w:rFonts w:hint="eastAsia" w:ascii="宋体" w:hAnsi="宋体" w:eastAsia="宋体" w:cs="宋体"/>
                <w:snapToGrid w:val="0"/>
                <w:color w:val="000000"/>
                <w:spacing w:val="0"/>
                <w:kern w:val="0"/>
                <w:sz w:val="21"/>
                <w:szCs w:val="21"/>
                <w:vertAlign w:val="superscript"/>
              </w:rPr>
              <w:t>2</w:t>
            </w:r>
          </w:p>
        </w:tc>
      </w:tr>
    </w:tbl>
    <w:p w14:paraId="6F299D26">
      <w:pPr>
        <w:bidi w:val="0"/>
        <w:rPr>
          <w:rFonts w:hint="eastAsia"/>
          <w:lang w:val="en-US" w:eastAsia="zh-CN"/>
        </w:rPr>
      </w:pPr>
      <w:r>
        <w:rPr>
          <w:rFonts w:hint="eastAsia"/>
          <w:lang w:val="en-US" w:eastAsia="zh-CN"/>
        </w:rPr>
        <w:t>（2）设计开采范围</w:t>
      </w:r>
    </w:p>
    <w:p w14:paraId="6C96111D">
      <w:pPr>
        <w:jc w:val="both"/>
        <w:rPr>
          <w:rFonts w:hint="eastAsia"/>
          <w:color w:val="auto"/>
          <w:lang w:val="en-US" w:eastAsia="zh-CN"/>
        </w:rPr>
      </w:pPr>
      <w:r>
        <w:rPr>
          <w:rFonts w:hint="eastAsia"/>
          <w:color w:val="auto"/>
          <w:highlight w:val="none"/>
        </w:rPr>
        <w:t>本次设计范围为</w:t>
      </w:r>
      <w:r>
        <w:rPr>
          <w:rFonts w:hint="eastAsia"/>
          <w:color w:val="auto"/>
          <w:highlight w:val="none"/>
          <w:lang w:eastAsia="zh-CN"/>
        </w:rPr>
        <w:t>采矿权核准范围</w:t>
      </w:r>
      <w:r>
        <w:rPr>
          <w:rFonts w:hint="eastAsia"/>
          <w:color w:val="auto"/>
          <w:highlight w:val="none"/>
        </w:rPr>
        <w:t>内适合露天开采的资源</w:t>
      </w:r>
      <w:r>
        <w:rPr>
          <w:rFonts w:hint="eastAsia"/>
          <w:color w:val="auto"/>
          <w:highlight w:val="none"/>
          <w:lang w:eastAsia="zh-CN"/>
        </w:rPr>
        <w:t>，设计开采标高</w:t>
      </w:r>
      <w:r>
        <w:rPr>
          <w:rFonts w:hint="eastAsia"/>
          <w:i w:val="0"/>
          <w:iCs w:val="0"/>
          <w:snapToGrid w:val="0"/>
          <w:color w:val="000000"/>
          <w:kern w:val="0"/>
          <w:sz w:val="28"/>
          <w:szCs w:val="28"/>
        </w:rPr>
        <w:t>172</w:t>
      </w:r>
      <w:r>
        <w:rPr>
          <w:rFonts w:hint="eastAsia"/>
          <w:i w:val="0"/>
          <w:iCs w:val="0"/>
          <w:snapToGrid w:val="0"/>
          <w:color w:val="000000"/>
          <w:kern w:val="0"/>
          <w:sz w:val="28"/>
          <w:szCs w:val="28"/>
          <w:lang w:val="en-US" w:eastAsia="zh-CN"/>
        </w:rPr>
        <w:t>0</w:t>
      </w:r>
      <w:r>
        <w:rPr>
          <w:i w:val="0"/>
          <w:iCs w:val="0"/>
          <w:snapToGrid w:val="0"/>
          <w:color w:val="000000"/>
          <w:kern w:val="0"/>
          <w:sz w:val="28"/>
          <w:szCs w:val="28"/>
        </w:rPr>
        <w:t>m～</w:t>
      </w:r>
      <w:r>
        <w:rPr>
          <w:rFonts w:hint="eastAsia"/>
          <w:i w:val="0"/>
          <w:iCs w:val="0"/>
          <w:snapToGrid w:val="0"/>
          <w:color w:val="000000"/>
          <w:kern w:val="0"/>
          <w:sz w:val="28"/>
          <w:szCs w:val="28"/>
        </w:rPr>
        <w:t>1607</w:t>
      </w:r>
      <w:r>
        <w:rPr>
          <w:i w:val="0"/>
          <w:iCs w:val="0"/>
          <w:snapToGrid w:val="0"/>
          <w:color w:val="000000"/>
          <w:kern w:val="0"/>
          <w:sz w:val="28"/>
          <w:szCs w:val="28"/>
        </w:rPr>
        <w:t>m</w:t>
      </w:r>
      <w:r>
        <w:rPr>
          <w:rFonts w:hint="eastAsia"/>
          <w:color w:val="auto"/>
          <w:highlight w:val="none"/>
          <w:lang w:eastAsia="zh-CN"/>
        </w:rPr>
        <w:t>m（采矿许可证最高标高</w:t>
      </w:r>
      <w:r>
        <w:rPr>
          <w:rFonts w:hint="eastAsia"/>
          <w:color w:val="auto"/>
          <w:highlight w:val="none"/>
          <w:lang w:val="en-US" w:eastAsia="zh-CN"/>
        </w:rPr>
        <w:t>1724m，现状实测地形最高标高1720m</w:t>
      </w:r>
      <w:r>
        <w:rPr>
          <w:rFonts w:hint="eastAsia"/>
          <w:color w:val="auto"/>
          <w:highlight w:val="none"/>
          <w:lang w:eastAsia="zh-CN"/>
        </w:rPr>
        <w:t>）</w:t>
      </w:r>
      <w:r>
        <w:rPr>
          <w:rFonts w:hint="eastAsia"/>
          <w:color w:val="auto"/>
          <w:highlight w:val="none"/>
          <w:lang w:val="en-US" w:eastAsia="zh-CN"/>
        </w:rPr>
        <w:t>，设计采深113m，设计开采面积</w:t>
      </w:r>
      <w:r>
        <w:rPr>
          <w:i w:val="0"/>
          <w:iCs w:val="0"/>
          <w:color w:val="000000"/>
          <w:kern w:val="0"/>
          <w:sz w:val="28"/>
          <w:szCs w:val="28"/>
        </w:rPr>
        <w:t>0.</w:t>
      </w:r>
      <w:r>
        <w:rPr>
          <w:rFonts w:hint="eastAsia"/>
          <w:i w:val="0"/>
          <w:iCs w:val="0"/>
          <w:color w:val="000000"/>
          <w:kern w:val="0"/>
          <w:sz w:val="28"/>
          <w:szCs w:val="28"/>
        </w:rPr>
        <w:t>0266</w:t>
      </w:r>
      <w:r>
        <w:rPr>
          <w:i w:val="0"/>
          <w:iCs w:val="0"/>
          <w:color w:val="000000"/>
          <w:sz w:val="28"/>
          <w:szCs w:val="28"/>
        </w:rPr>
        <w:t>km</w:t>
      </w:r>
      <w:r>
        <w:rPr>
          <w:i w:val="0"/>
          <w:iCs w:val="0"/>
          <w:color w:val="000000"/>
          <w:sz w:val="28"/>
          <w:szCs w:val="28"/>
          <w:vertAlign w:val="superscript"/>
        </w:rPr>
        <w:t>2</w:t>
      </w:r>
      <w:r>
        <w:rPr>
          <w:rFonts w:hint="eastAsia"/>
          <w:color w:val="auto"/>
          <w:lang w:val="en-US" w:eastAsia="zh-CN"/>
        </w:rPr>
        <w:t>。</w:t>
      </w:r>
    </w:p>
    <w:p w14:paraId="45F26CAF">
      <w:pPr>
        <w:bidi w:val="0"/>
        <w:rPr>
          <w:rFonts w:hint="eastAsia"/>
          <w:color w:val="auto"/>
          <w:lang w:val="zh-CN"/>
        </w:rPr>
      </w:pPr>
      <w:r>
        <w:rPr>
          <w:rFonts w:hint="eastAsia"/>
          <w:color w:val="auto"/>
          <w:lang w:val="en-US" w:eastAsia="zh-CN"/>
        </w:rPr>
        <w:t>（3）</w:t>
      </w:r>
      <w:r>
        <w:rPr>
          <w:rFonts w:hint="eastAsia"/>
          <w:color w:val="auto"/>
          <w:lang w:val="zh-CN"/>
        </w:rPr>
        <w:t>开采顺序</w:t>
      </w:r>
    </w:p>
    <w:p w14:paraId="7AED89B2">
      <w:pPr>
        <w:ind w:firstLine="560"/>
        <w:rPr>
          <w:rFonts w:hint="eastAsia" w:ascii="Times New Roman" w:hAnsi="Times New Roman" w:eastAsia="宋体" w:cs="宋体"/>
          <w:b w:val="0"/>
          <w:bCs w:val="0"/>
          <w:caps w:val="0"/>
          <w:smallCaps w:val="0"/>
          <w:color w:val="auto"/>
          <w:w w:val="100"/>
          <w:sz w:val="28"/>
          <w:szCs w:val="28"/>
          <w:highlight w:val="none"/>
          <w:lang w:val="en-US" w:eastAsia="zh-CN"/>
        </w:rPr>
      </w:pPr>
      <w:r>
        <w:rPr>
          <w:rFonts w:hint="eastAsia"/>
          <w:color w:val="auto"/>
          <w:sz w:val="28"/>
          <w:szCs w:val="28"/>
          <w:highlight w:val="none"/>
          <w:lang w:val="en-US" w:eastAsia="zh-CN"/>
        </w:rPr>
        <w:t>按自上而下台阶式顺序开采。</w:t>
      </w:r>
      <w:r>
        <w:rPr>
          <w:rFonts w:hint="eastAsia"/>
          <w:color w:val="auto"/>
          <w:szCs w:val="28"/>
        </w:rPr>
        <w:t>设置</w:t>
      </w:r>
      <w:r>
        <w:rPr>
          <w:rFonts w:hint="eastAsia"/>
          <w:color w:val="auto"/>
          <w:szCs w:val="28"/>
          <w:lang w:val="en-US" w:eastAsia="zh-CN"/>
        </w:rPr>
        <w:t>1</w:t>
      </w:r>
      <w:r>
        <w:rPr>
          <w:rFonts w:hint="eastAsia"/>
          <w:color w:val="auto"/>
          <w:szCs w:val="28"/>
        </w:rPr>
        <w:t>个采区</w:t>
      </w:r>
      <w:r>
        <w:rPr>
          <w:rFonts w:hint="eastAsia"/>
          <w:color w:val="auto"/>
          <w:szCs w:val="28"/>
          <w:lang w:val="en-US" w:eastAsia="zh-CN"/>
        </w:rPr>
        <w:t>共10个台阶</w:t>
      </w:r>
      <w:r>
        <w:rPr>
          <w:rFonts w:hint="eastAsia"/>
          <w:color w:val="auto"/>
          <w:szCs w:val="28"/>
        </w:rPr>
        <w:t>组成</w:t>
      </w:r>
      <w:r>
        <w:rPr>
          <w:rFonts w:hint="eastAsia"/>
          <w:color w:val="auto"/>
          <w:highlight w:val="none"/>
          <w:lang w:eastAsia="zh-CN"/>
        </w:rPr>
        <w:t>，</w:t>
      </w:r>
      <w:r>
        <w:rPr>
          <w:rFonts w:hint="eastAsia"/>
          <w:color w:val="auto"/>
          <w:highlight w:val="none"/>
          <w:lang w:val="en-US" w:eastAsia="zh-CN"/>
        </w:rPr>
        <w:t>其中1630m和1615m分中部和西部两个采剥面开采。</w:t>
      </w:r>
    </w:p>
    <w:p w14:paraId="1CCD8E97">
      <w:pPr>
        <w:bidi w:val="0"/>
        <w:rPr>
          <w:color w:val="auto"/>
        </w:rPr>
      </w:pPr>
      <w:r>
        <w:rPr>
          <w:rFonts w:hint="eastAsia"/>
          <w:color w:val="auto"/>
          <w:lang w:val="en-US" w:eastAsia="zh-CN"/>
        </w:rPr>
        <w:t>2、</w:t>
      </w:r>
      <w:r>
        <w:rPr>
          <w:color w:val="auto"/>
        </w:rPr>
        <w:t>建设情况</w:t>
      </w:r>
    </w:p>
    <w:p w14:paraId="05537C18">
      <w:pPr>
        <w:ind w:firstLine="560"/>
        <w:rPr>
          <w:rFonts w:hint="eastAsia"/>
          <w:color w:val="auto"/>
          <w:lang w:val="zh-CN"/>
        </w:rPr>
      </w:pPr>
      <w:bookmarkStart w:id="192" w:name="_Toc214284010"/>
      <w:r>
        <w:rPr>
          <w:rFonts w:hint="eastAsia"/>
          <w:color w:val="auto"/>
          <w:lang w:val="en-US" w:eastAsia="zh-CN"/>
        </w:rPr>
        <w:t>（1）</w:t>
      </w:r>
      <w:r>
        <w:rPr>
          <w:rFonts w:hint="eastAsia"/>
          <w:color w:val="auto"/>
          <w:lang w:val="zh-CN"/>
        </w:rPr>
        <w:t>矿山</w:t>
      </w:r>
      <w:r>
        <w:rPr>
          <w:rFonts w:hint="eastAsia"/>
          <w:color w:val="auto"/>
          <w:lang w:val="en-US" w:eastAsia="zh-CN"/>
        </w:rPr>
        <w:t>设计</w:t>
      </w:r>
      <w:r>
        <w:rPr>
          <w:rFonts w:hint="eastAsia"/>
          <w:color w:val="auto"/>
          <w:lang w:val="zh-CN"/>
        </w:rPr>
        <w:t>开采方式为自上而下台阶式</w:t>
      </w:r>
      <w:r>
        <w:rPr>
          <w:rFonts w:hint="eastAsia"/>
          <w:color w:val="auto"/>
          <w:lang w:val="en-US" w:eastAsia="zh-CN"/>
        </w:rPr>
        <w:t>露天</w:t>
      </w:r>
      <w:r>
        <w:rPr>
          <w:rFonts w:hint="eastAsia"/>
          <w:color w:val="auto"/>
          <w:lang w:val="zh-CN"/>
        </w:rPr>
        <w:t>开采，</w:t>
      </w:r>
      <w:r>
        <w:rPr>
          <w:rFonts w:hint="eastAsia"/>
          <w:color w:val="auto"/>
          <w:highlight w:val="none"/>
          <w:lang w:eastAsia="zh-CN"/>
        </w:rPr>
        <w:t>开采标高</w:t>
      </w:r>
      <w:r>
        <w:rPr>
          <w:rFonts w:hint="eastAsia"/>
          <w:color w:val="auto"/>
          <w:highlight w:val="none"/>
          <w:lang w:val="en-US" w:eastAsia="zh-CN"/>
        </w:rPr>
        <w:t>1720</w:t>
      </w:r>
      <w:r>
        <w:rPr>
          <w:rFonts w:hint="eastAsia"/>
          <w:color w:val="auto"/>
          <w:highlight w:val="none"/>
          <w:lang w:eastAsia="zh-CN"/>
        </w:rPr>
        <w:t>m～</w:t>
      </w:r>
      <w:r>
        <w:rPr>
          <w:rFonts w:hint="eastAsia"/>
          <w:color w:val="auto"/>
          <w:highlight w:val="none"/>
          <w:lang w:val="en-US" w:eastAsia="zh-CN"/>
        </w:rPr>
        <w:t>1607</w:t>
      </w:r>
      <w:r>
        <w:rPr>
          <w:rFonts w:hint="eastAsia"/>
          <w:color w:val="auto"/>
          <w:highlight w:val="none"/>
          <w:lang w:eastAsia="zh-CN"/>
        </w:rPr>
        <w:t>m，</w:t>
      </w:r>
      <w:r>
        <w:rPr>
          <w:rFonts w:hint="eastAsia"/>
          <w:color w:val="auto"/>
          <w:highlight w:val="none"/>
          <w:lang w:val="en-US" w:eastAsia="zh-CN"/>
        </w:rPr>
        <w:t>采深113m（最终靠帮边坡高113m），</w:t>
      </w:r>
      <w:r>
        <w:rPr>
          <w:rFonts w:hint="eastAsia"/>
          <w:color w:val="auto"/>
          <w:lang w:val="en-US" w:eastAsia="zh-CN"/>
        </w:rPr>
        <w:t>现场</w:t>
      </w:r>
      <w:r>
        <w:rPr>
          <w:rFonts w:hint="eastAsia"/>
          <w:color w:val="auto"/>
          <w:lang w:val="zh-CN"/>
        </w:rPr>
        <w:t>与设计一致。</w:t>
      </w:r>
    </w:p>
    <w:p w14:paraId="0CDDFFD8">
      <w:pPr>
        <w:bidi w:val="0"/>
        <w:rPr>
          <w:rFonts w:hint="eastAsia"/>
          <w:color w:val="auto"/>
          <w:lang w:val="en-US" w:eastAsia="zh-CN"/>
        </w:rPr>
      </w:pPr>
      <w:r>
        <w:rPr>
          <w:rFonts w:hint="eastAsia"/>
          <w:color w:val="auto"/>
          <w:lang w:val="en-US" w:eastAsia="zh-CN"/>
        </w:rPr>
        <w:t>（2）矿山基建期间已经建成1705m、1690m、1675m、1660m、1645m标高平台，其中，1705m、1690m为安全平台，1675m为清扫平台，1660m为采矿平台、1645m为铲装平台。</w:t>
      </w:r>
    </w:p>
    <w:p w14:paraId="1772F679">
      <w:pPr>
        <w:bidi w:val="0"/>
      </w:pPr>
      <w:r>
        <w:rPr>
          <w:rFonts w:hint="eastAsia"/>
          <w:lang w:val="en-US" w:eastAsia="zh-CN"/>
        </w:rPr>
        <w:t>（3）</w:t>
      </w:r>
      <w:r>
        <w:t>结论：矿山开采方式、开采范围、开采顺序与设计一致，满足竣工验收要求，后期矿山在生产工程中应严格按照设计施工。</w:t>
      </w:r>
    </w:p>
    <w:p w14:paraId="2D1043C1">
      <w:pPr>
        <w:pStyle w:val="4"/>
        <w:bidi w:val="0"/>
      </w:pPr>
      <w:bookmarkStart w:id="193" w:name="_Toc20639"/>
      <w:bookmarkStart w:id="194" w:name="_Toc29776"/>
      <w:r>
        <w:t>2.4.4生产规模及工作制度</w:t>
      </w:r>
      <w:bookmarkEnd w:id="192"/>
      <w:bookmarkEnd w:id="193"/>
      <w:bookmarkEnd w:id="194"/>
    </w:p>
    <w:p w14:paraId="64040B31">
      <w:pPr>
        <w:pStyle w:val="5"/>
      </w:pPr>
      <w:bookmarkStart w:id="195" w:name="_Toc32024"/>
      <w:r>
        <w:t>2.4.4.1</w:t>
      </w:r>
      <w:bookmarkEnd w:id="195"/>
      <w:r>
        <w:rPr>
          <w:color w:val="auto"/>
        </w:rPr>
        <w:t>地质报告提交资源储量</w:t>
      </w:r>
    </w:p>
    <w:p w14:paraId="1C1F68B0">
      <w:pPr>
        <w:widowControl w:val="0"/>
        <w:wordWrap/>
        <w:adjustRightInd w:val="0"/>
        <w:snapToGrid w:val="0"/>
        <w:spacing w:before="0" w:beforeLines="0" w:after="0" w:afterLines="0" w:line="360" w:lineRule="auto"/>
        <w:ind w:left="0" w:leftChars="0" w:right="0" w:firstLine="552" w:firstLineChars="200"/>
        <w:jc w:val="both"/>
        <w:textAlignment w:val="auto"/>
        <w:outlineLvl w:val="9"/>
        <w:rPr>
          <w:rFonts w:hint="eastAsia" w:hAnsi="宋体"/>
          <w:color w:val="auto"/>
          <w:szCs w:val="28"/>
        </w:rPr>
      </w:pPr>
      <w:bookmarkStart w:id="196" w:name="_Toc26946"/>
      <w:r>
        <w:rPr>
          <w:rFonts w:hint="default" w:ascii="Times New Roman" w:hAnsi="Times New Roman" w:cs="Times New Roman"/>
          <w:color w:val="auto"/>
          <w:sz w:val="28"/>
          <w:szCs w:val="28"/>
        </w:rPr>
        <w:t>根据《</w:t>
      </w:r>
      <w:r>
        <w:rPr>
          <w:rFonts w:hint="default" w:ascii="Times New Roman" w:hAnsi="Times New Roman" w:cs="Times New Roman"/>
          <w:color w:val="auto"/>
          <w:sz w:val="28"/>
        </w:rPr>
        <w:t>云南省广南县麦地大山建筑石料用石灰岩矿资源储量核实报告</w:t>
      </w:r>
      <w:r>
        <w:rPr>
          <w:rFonts w:hint="default" w:ascii="Times New Roman" w:hAnsi="Times New Roman" w:cs="Times New Roman"/>
          <w:color w:val="auto"/>
          <w:sz w:val="28"/>
          <w:szCs w:val="28"/>
        </w:rPr>
        <w:t>》评审意见书</w:t>
      </w:r>
      <w:r>
        <w:rPr>
          <w:rFonts w:hint="default" w:ascii="Times New Roman" w:hAnsi="Times New Roman" w:cs="Times New Roman"/>
          <w:color w:val="auto"/>
          <w:sz w:val="28"/>
          <w:szCs w:val="28"/>
          <w:lang w:eastAsia="zh-CN"/>
        </w:rPr>
        <w:t>（</w:t>
      </w:r>
      <w:r>
        <w:rPr>
          <w:rFonts w:hint="default" w:ascii="Times New Roman" w:hAnsi="Times New Roman" w:cs="Times New Roman"/>
          <w:color w:val="auto"/>
          <w:sz w:val="28"/>
        </w:rPr>
        <w:t>云金涌道矿评储字</w:t>
      </w:r>
      <w:r>
        <w:rPr>
          <w:rFonts w:hint="default" w:ascii="Times New Roman" w:hAnsi="Times New Roman" w:eastAsia="宋体" w:cs="Times New Roman"/>
          <w:color w:val="auto"/>
          <w:sz w:val="28"/>
        </w:rPr>
        <w:t>〔</w:t>
      </w:r>
      <w:r>
        <w:rPr>
          <w:rFonts w:hint="default" w:ascii="Times New Roman" w:hAnsi="Times New Roman" w:cs="Times New Roman"/>
          <w:color w:val="auto"/>
          <w:sz w:val="28"/>
        </w:rPr>
        <w:t>2024</w:t>
      </w:r>
      <w:r>
        <w:rPr>
          <w:rFonts w:hint="default" w:ascii="Times New Roman" w:hAnsi="Times New Roman" w:eastAsia="宋体" w:cs="Times New Roman"/>
          <w:color w:val="auto"/>
          <w:sz w:val="28"/>
        </w:rPr>
        <w:t>〕</w:t>
      </w:r>
      <w:r>
        <w:rPr>
          <w:rFonts w:hint="default" w:ascii="Times New Roman" w:hAnsi="Times New Roman" w:cs="Times New Roman"/>
          <w:color w:val="auto"/>
          <w:sz w:val="28"/>
        </w:rPr>
        <w:t>4号</w:t>
      </w:r>
      <w:r>
        <w:rPr>
          <w:rFonts w:hint="default" w:ascii="Times New Roman" w:hAnsi="Times New Roman" w:cs="Times New Roman"/>
          <w:color w:val="auto"/>
          <w:sz w:val="28"/>
          <w:szCs w:val="28"/>
          <w:lang w:eastAsia="zh-CN"/>
        </w:rPr>
        <w:t>）</w:t>
      </w:r>
      <w:r>
        <w:rPr>
          <w:rFonts w:hint="default" w:ascii="Times New Roman" w:hAnsi="Times New Roman" w:cs="Times New Roman"/>
          <w:color w:val="auto"/>
          <w:sz w:val="28"/>
          <w:szCs w:val="28"/>
        </w:rPr>
        <w:t>。截止</w:t>
      </w:r>
      <w:r>
        <w:rPr>
          <w:rFonts w:hint="default" w:ascii="Times New Roman" w:hAnsi="Times New Roman" w:cs="Times New Roman"/>
          <w:color w:val="auto"/>
          <w:kern w:val="0"/>
          <w:sz w:val="28"/>
          <w:szCs w:val="28"/>
        </w:rPr>
        <w:t>2023年11月30日</w:t>
      </w:r>
      <w:r>
        <w:rPr>
          <w:rFonts w:hint="default" w:ascii="Times New Roman" w:hAnsi="Times New Roman" w:cs="Times New Roman"/>
          <w:color w:val="auto"/>
          <w:sz w:val="28"/>
          <w:szCs w:val="28"/>
        </w:rPr>
        <w:t>，在</w:t>
      </w:r>
      <w:r>
        <w:rPr>
          <w:rFonts w:hint="default" w:ascii="Times New Roman" w:hAnsi="Times New Roman" w:cs="Times New Roman"/>
          <w:color w:val="auto"/>
          <w:sz w:val="28"/>
          <w:szCs w:val="28"/>
          <w:lang w:eastAsia="zh-CN"/>
        </w:rPr>
        <w:t>广南县麦地大山建筑石料用石灰岩矿</w:t>
      </w:r>
      <w:r>
        <w:rPr>
          <w:rFonts w:hint="default" w:ascii="Times New Roman" w:hAnsi="Times New Roman" w:cs="Times New Roman"/>
          <w:color w:val="auto"/>
          <w:sz w:val="28"/>
          <w:szCs w:val="28"/>
        </w:rPr>
        <w:t>矿区范围内</w:t>
      </w:r>
      <w:r>
        <w:rPr>
          <w:rFonts w:hint="default" w:ascii="Times New Roman" w:hAnsi="Times New Roman" w:cs="Times New Roman"/>
          <w:color w:val="auto"/>
          <w:kern w:val="0"/>
          <w:sz w:val="28"/>
          <w:szCs w:val="28"/>
        </w:rPr>
        <w:t>累计查明探明资源量27.2万</w:t>
      </w:r>
      <w:r>
        <w:rPr>
          <w:rFonts w:hint="default" w:ascii="Times New Roman" w:hAnsi="Times New Roman" w:cs="Times New Roman"/>
          <w:color w:val="auto"/>
          <w:kern w:val="0"/>
          <w:sz w:val="28"/>
          <w:szCs w:val="28"/>
          <w:lang w:val="en-US" w:eastAsia="zh-CN"/>
        </w:rPr>
        <w:t>m</w:t>
      </w:r>
      <w:r>
        <w:rPr>
          <w:rFonts w:hint="default" w:ascii="Times New Roman" w:hAnsi="Times New Roman" w:cs="Times New Roman"/>
          <w:color w:val="auto"/>
          <w:kern w:val="0"/>
          <w:sz w:val="28"/>
          <w:szCs w:val="28"/>
          <w:vertAlign w:val="superscript"/>
          <w:lang w:val="en-US" w:eastAsia="zh-CN"/>
        </w:rPr>
        <w:t>3</w:t>
      </w:r>
      <w:r>
        <w:rPr>
          <w:rFonts w:hint="default" w:ascii="Times New Roman" w:hAnsi="Times New Roman" w:cs="Times New Roman"/>
          <w:color w:val="auto"/>
          <w:kern w:val="0"/>
          <w:sz w:val="28"/>
          <w:szCs w:val="28"/>
        </w:rPr>
        <w:t>（68.6万</w:t>
      </w:r>
      <w:r>
        <w:rPr>
          <w:rFonts w:hint="default" w:ascii="Times New Roman" w:hAnsi="Times New Roman" w:cs="Times New Roman"/>
          <w:color w:val="auto"/>
          <w:kern w:val="0"/>
          <w:sz w:val="28"/>
          <w:szCs w:val="28"/>
          <w:lang w:val="en-US" w:eastAsia="zh-CN"/>
        </w:rPr>
        <w:t>t</w:t>
      </w:r>
      <w:r>
        <w:rPr>
          <w:rFonts w:hint="default" w:ascii="Times New Roman" w:hAnsi="Times New Roman" w:cs="Times New Roman"/>
          <w:color w:val="auto"/>
          <w:kern w:val="0"/>
          <w:sz w:val="28"/>
          <w:szCs w:val="28"/>
        </w:rPr>
        <w:t>），控制资源量61.4万</w:t>
      </w:r>
      <w:r>
        <w:rPr>
          <w:rFonts w:hint="default" w:ascii="Times New Roman" w:hAnsi="Times New Roman" w:cs="Times New Roman"/>
          <w:color w:val="auto"/>
          <w:kern w:val="0"/>
          <w:sz w:val="28"/>
          <w:szCs w:val="28"/>
          <w:lang w:val="en-US" w:eastAsia="zh-CN"/>
        </w:rPr>
        <w:t>m</w:t>
      </w:r>
      <w:r>
        <w:rPr>
          <w:rFonts w:hint="default" w:ascii="Times New Roman" w:hAnsi="Times New Roman" w:cs="Times New Roman"/>
          <w:color w:val="auto"/>
          <w:kern w:val="0"/>
          <w:sz w:val="28"/>
          <w:szCs w:val="28"/>
          <w:vertAlign w:val="superscript"/>
          <w:lang w:val="en-US" w:eastAsia="zh-CN"/>
        </w:rPr>
        <w:t>3</w:t>
      </w:r>
      <w:r>
        <w:rPr>
          <w:rFonts w:hint="default" w:ascii="Times New Roman" w:hAnsi="Times New Roman" w:cs="Times New Roman"/>
          <w:color w:val="auto"/>
          <w:kern w:val="0"/>
          <w:sz w:val="28"/>
          <w:szCs w:val="28"/>
        </w:rPr>
        <w:t>（154.7万</w:t>
      </w:r>
      <w:r>
        <w:rPr>
          <w:rFonts w:hint="default" w:ascii="Times New Roman" w:hAnsi="Times New Roman" w:cs="Times New Roman"/>
          <w:color w:val="auto"/>
          <w:kern w:val="0"/>
          <w:sz w:val="28"/>
          <w:szCs w:val="28"/>
          <w:lang w:val="en-US" w:eastAsia="zh-CN"/>
        </w:rPr>
        <w:t>t</w:t>
      </w:r>
      <w:r>
        <w:rPr>
          <w:rFonts w:hint="default" w:ascii="Times New Roman" w:hAnsi="Times New Roman" w:cs="Times New Roman"/>
          <w:color w:val="auto"/>
          <w:kern w:val="0"/>
          <w:sz w:val="28"/>
          <w:szCs w:val="28"/>
        </w:rPr>
        <w:t>），推断资源量25.4万</w:t>
      </w:r>
      <w:r>
        <w:rPr>
          <w:rFonts w:hint="default" w:ascii="Times New Roman" w:hAnsi="Times New Roman" w:cs="Times New Roman"/>
          <w:color w:val="auto"/>
          <w:kern w:val="0"/>
          <w:sz w:val="28"/>
          <w:szCs w:val="28"/>
          <w:lang w:val="en-US" w:eastAsia="zh-CN"/>
        </w:rPr>
        <w:t>m</w:t>
      </w:r>
      <w:r>
        <w:rPr>
          <w:rFonts w:hint="default" w:ascii="Times New Roman" w:hAnsi="Times New Roman" w:cs="Times New Roman"/>
          <w:color w:val="auto"/>
          <w:kern w:val="0"/>
          <w:sz w:val="28"/>
          <w:szCs w:val="28"/>
          <w:vertAlign w:val="superscript"/>
          <w:lang w:val="en-US" w:eastAsia="zh-CN"/>
        </w:rPr>
        <w:t>3</w:t>
      </w:r>
      <w:r>
        <w:rPr>
          <w:rFonts w:hint="default" w:ascii="Times New Roman" w:hAnsi="Times New Roman" w:cs="Times New Roman"/>
          <w:color w:val="auto"/>
          <w:kern w:val="0"/>
          <w:sz w:val="28"/>
          <w:szCs w:val="28"/>
        </w:rPr>
        <w:t>（64.1万</w:t>
      </w:r>
      <w:r>
        <w:rPr>
          <w:rFonts w:hint="default" w:ascii="Times New Roman" w:hAnsi="Times New Roman" w:cs="Times New Roman"/>
          <w:color w:val="auto"/>
          <w:kern w:val="0"/>
          <w:sz w:val="28"/>
          <w:szCs w:val="28"/>
          <w:lang w:val="en-US" w:eastAsia="zh-CN"/>
        </w:rPr>
        <w:t>t</w:t>
      </w:r>
      <w:r>
        <w:rPr>
          <w:rFonts w:hint="default" w:ascii="Times New Roman" w:hAnsi="Times New Roman" w:cs="Times New Roman"/>
          <w:color w:val="auto"/>
          <w:kern w:val="0"/>
          <w:sz w:val="28"/>
          <w:szCs w:val="28"/>
        </w:rPr>
        <w:t>）；动用探明资源量27.2万</w:t>
      </w:r>
      <w:r>
        <w:rPr>
          <w:rFonts w:hint="default" w:ascii="Times New Roman" w:hAnsi="Times New Roman" w:cs="Times New Roman"/>
          <w:color w:val="auto"/>
          <w:kern w:val="0"/>
          <w:sz w:val="28"/>
          <w:szCs w:val="28"/>
          <w:lang w:val="en-US" w:eastAsia="zh-CN"/>
        </w:rPr>
        <w:t>m</w:t>
      </w:r>
      <w:r>
        <w:rPr>
          <w:rFonts w:hint="default" w:ascii="Times New Roman" w:hAnsi="Times New Roman" w:cs="Times New Roman"/>
          <w:color w:val="auto"/>
          <w:kern w:val="0"/>
          <w:sz w:val="28"/>
          <w:szCs w:val="28"/>
          <w:vertAlign w:val="superscript"/>
          <w:lang w:val="en-US" w:eastAsia="zh-CN"/>
        </w:rPr>
        <w:t>3</w:t>
      </w:r>
      <w:r>
        <w:rPr>
          <w:rFonts w:hint="default" w:ascii="Times New Roman" w:hAnsi="Times New Roman" w:cs="Times New Roman"/>
          <w:color w:val="auto"/>
          <w:kern w:val="0"/>
          <w:sz w:val="28"/>
          <w:szCs w:val="28"/>
        </w:rPr>
        <w:t>（68.6万</w:t>
      </w:r>
      <w:r>
        <w:rPr>
          <w:rFonts w:hint="default" w:ascii="Times New Roman" w:hAnsi="Times New Roman" w:cs="Times New Roman"/>
          <w:color w:val="auto"/>
          <w:kern w:val="0"/>
          <w:sz w:val="28"/>
          <w:szCs w:val="28"/>
          <w:lang w:val="en-US" w:eastAsia="zh-CN"/>
        </w:rPr>
        <w:t>t</w:t>
      </w:r>
      <w:r>
        <w:rPr>
          <w:rFonts w:hint="default" w:ascii="Times New Roman" w:hAnsi="Times New Roman" w:cs="Times New Roman"/>
          <w:color w:val="auto"/>
          <w:kern w:val="0"/>
          <w:sz w:val="28"/>
          <w:szCs w:val="28"/>
        </w:rPr>
        <w:t>）；保有控制资源量61.4万</w:t>
      </w:r>
      <w:r>
        <w:rPr>
          <w:rFonts w:hint="default" w:ascii="Times New Roman" w:hAnsi="Times New Roman" w:cs="Times New Roman"/>
          <w:color w:val="auto"/>
          <w:kern w:val="0"/>
          <w:sz w:val="28"/>
          <w:szCs w:val="28"/>
          <w:lang w:val="en-US" w:eastAsia="zh-CN"/>
        </w:rPr>
        <w:t>m</w:t>
      </w:r>
      <w:r>
        <w:rPr>
          <w:rFonts w:hint="default" w:ascii="Times New Roman" w:hAnsi="Times New Roman" w:cs="Times New Roman"/>
          <w:color w:val="auto"/>
          <w:kern w:val="0"/>
          <w:sz w:val="28"/>
          <w:szCs w:val="28"/>
          <w:vertAlign w:val="superscript"/>
          <w:lang w:val="en-US" w:eastAsia="zh-CN"/>
        </w:rPr>
        <w:t>3</w:t>
      </w:r>
      <w:r>
        <w:rPr>
          <w:rFonts w:hint="default" w:ascii="Times New Roman" w:hAnsi="Times New Roman" w:cs="Times New Roman"/>
          <w:color w:val="auto"/>
          <w:kern w:val="0"/>
          <w:sz w:val="28"/>
          <w:szCs w:val="28"/>
        </w:rPr>
        <w:t>（154.7万</w:t>
      </w:r>
      <w:r>
        <w:rPr>
          <w:rFonts w:hint="default" w:ascii="Times New Roman" w:hAnsi="Times New Roman" w:cs="Times New Roman"/>
          <w:color w:val="auto"/>
          <w:kern w:val="0"/>
          <w:sz w:val="28"/>
          <w:szCs w:val="28"/>
          <w:lang w:val="en-US" w:eastAsia="zh-CN"/>
        </w:rPr>
        <w:t>t</w:t>
      </w:r>
      <w:r>
        <w:rPr>
          <w:rFonts w:hint="default" w:ascii="Times New Roman" w:hAnsi="Times New Roman" w:cs="Times New Roman"/>
          <w:color w:val="auto"/>
          <w:kern w:val="0"/>
          <w:sz w:val="28"/>
          <w:szCs w:val="28"/>
        </w:rPr>
        <w:t>），推断资源量25.4万</w:t>
      </w:r>
      <w:r>
        <w:rPr>
          <w:rFonts w:hint="default" w:ascii="Times New Roman" w:hAnsi="Times New Roman" w:cs="Times New Roman"/>
          <w:color w:val="auto"/>
          <w:kern w:val="0"/>
          <w:sz w:val="28"/>
          <w:szCs w:val="28"/>
          <w:lang w:val="en-US" w:eastAsia="zh-CN"/>
        </w:rPr>
        <w:t>m</w:t>
      </w:r>
      <w:r>
        <w:rPr>
          <w:rFonts w:hint="default" w:ascii="Times New Roman" w:hAnsi="Times New Roman" w:cs="Times New Roman"/>
          <w:color w:val="auto"/>
          <w:kern w:val="0"/>
          <w:sz w:val="28"/>
          <w:szCs w:val="28"/>
          <w:vertAlign w:val="superscript"/>
          <w:lang w:val="en-US" w:eastAsia="zh-CN"/>
        </w:rPr>
        <w:t>3</w:t>
      </w:r>
      <w:r>
        <w:rPr>
          <w:rFonts w:hint="default" w:ascii="Times New Roman" w:hAnsi="Times New Roman" w:cs="Times New Roman"/>
          <w:color w:val="auto"/>
          <w:kern w:val="0"/>
          <w:sz w:val="28"/>
          <w:szCs w:val="28"/>
        </w:rPr>
        <w:t>（64.1万</w:t>
      </w:r>
      <w:r>
        <w:rPr>
          <w:rFonts w:hint="default" w:ascii="Times New Roman" w:hAnsi="Times New Roman" w:cs="Times New Roman"/>
          <w:color w:val="auto"/>
          <w:kern w:val="0"/>
          <w:sz w:val="28"/>
          <w:szCs w:val="28"/>
          <w:lang w:val="en-US" w:eastAsia="zh-CN"/>
        </w:rPr>
        <w:t>t</w:t>
      </w:r>
      <w:r>
        <w:rPr>
          <w:rFonts w:hint="default" w:ascii="Times New Roman" w:hAnsi="Times New Roman" w:cs="Times New Roman"/>
          <w:color w:val="auto"/>
          <w:kern w:val="0"/>
          <w:sz w:val="28"/>
          <w:szCs w:val="28"/>
        </w:rPr>
        <w:t>）</w:t>
      </w:r>
      <w:r>
        <w:rPr>
          <w:rFonts w:hint="eastAsia" w:hAnsi="宋体"/>
          <w:color w:val="auto"/>
          <w:szCs w:val="28"/>
          <w:lang w:val="en-US" w:eastAsia="zh-CN"/>
        </w:rPr>
        <w:t>。</w:t>
      </w:r>
    </w:p>
    <w:p w14:paraId="2D4B645E">
      <w:pPr>
        <w:pStyle w:val="5"/>
      </w:pPr>
      <w:r>
        <w:t>2.4.4.2设计可利用资源量</w:t>
      </w:r>
      <w:bookmarkEnd w:id="196"/>
    </w:p>
    <w:p w14:paraId="47843BC7">
      <w:pPr>
        <w:bidi w:val="0"/>
        <w:rPr>
          <w:rFonts w:hint="default"/>
          <w:lang w:val="en-US" w:eastAsia="zh-CN"/>
        </w:rPr>
      </w:pPr>
      <w:bookmarkStart w:id="197" w:name="_Toc214284011"/>
      <w:r>
        <w:rPr>
          <w:rFonts w:hint="eastAsia"/>
          <w:lang w:val="en-US" w:eastAsia="zh-CN"/>
        </w:rPr>
        <w:t>1、</w:t>
      </w:r>
      <w:r>
        <w:rPr>
          <w:rFonts w:hint="default"/>
        </w:rPr>
        <w:t>保有资源储量</w:t>
      </w:r>
    </w:p>
    <w:p w14:paraId="49664445">
      <w:pPr>
        <w:bidi w:val="0"/>
        <w:rPr>
          <w:rFonts w:hint="default"/>
          <w:lang w:val="en-US" w:eastAsia="zh-CN"/>
        </w:rPr>
      </w:pPr>
      <w:r>
        <w:rPr>
          <w:rFonts w:hint="default"/>
        </w:rPr>
        <w:t>设计开采标高为1</w:t>
      </w:r>
      <w:r>
        <w:rPr>
          <w:rFonts w:hint="default"/>
          <w:lang w:val="en-US" w:eastAsia="zh-CN"/>
        </w:rPr>
        <w:t>720</w:t>
      </w:r>
      <w:r>
        <w:rPr>
          <w:rFonts w:hint="eastAsia"/>
          <w:lang w:val="en-US" w:eastAsia="zh-CN"/>
        </w:rPr>
        <w:t>m</w:t>
      </w:r>
      <w:r>
        <w:rPr>
          <w:rFonts w:hint="default"/>
        </w:rPr>
        <w:t>～</w:t>
      </w:r>
      <w:r>
        <w:rPr>
          <w:rFonts w:hint="default"/>
          <w:lang w:val="en-US" w:eastAsia="zh-CN"/>
        </w:rPr>
        <w:t>1607</w:t>
      </w:r>
      <w:r>
        <w:rPr>
          <w:rFonts w:hint="default"/>
        </w:rPr>
        <w:t>m，开采范围内保有控制资源量61.4万</w:t>
      </w:r>
      <w:r>
        <w:rPr>
          <w:rFonts w:hint="default"/>
          <w:lang w:val="en-US" w:eastAsia="zh-CN"/>
        </w:rPr>
        <w:t>m</w:t>
      </w:r>
      <w:r>
        <w:rPr>
          <w:rFonts w:hint="default"/>
          <w:vertAlign w:val="superscript"/>
          <w:lang w:val="en-US" w:eastAsia="zh-CN"/>
        </w:rPr>
        <w:t>3</w:t>
      </w:r>
      <w:r>
        <w:rPr>
          <w:rFonts w:hint="default"/>
        </w:rPr>
        <w:t>（154.7万</w:t>
      </w:r>
      <w:r>
        <w:rPr>
          <w:rFonts w:hint="default"/>
          <w:lang w:val="en-US" w:eastAsia="zh-CN"/>
        </w:rPr>
        <w:t>t</w:t>
      </w:r>
      <w:r>
        <w:rPr>
          <w:rFonts w:hint="default"/>
        </w:rPr>
        <w:t>），推断资源量25.4万</w:t>
      </w:r>
      <w:r>
        <w:rPr>
          <w:rFonts w:hint="default"/>
          <w:lang w:val="en-US" w:eastAsia="zh-CN"/>
        </w:rPr>
        <w:t>m</w:t>
      </w:r>
      <w:r>
        <w:rPr>
          <w:rFonts w:hint="default"/>
          <w:vertAlign w:val="superscript"/>
          <w:lang w:val="en-US" w:eastAsia="zh-CN"/>
        </w:rPr>
        <w:t>3</w:t>
      </w:r>
      <w:r>
        <w:rPr>
          <w:rFonts w:hint="default"/>
        </w:rPr>
        <w:t>（64.1万</w:t>
      </w:r>
      <w:r>
        <w:rPr>
          <w:rFonts w:hint="default"/>
          <w:lang w:val="en-US" w:eastAsia="zh-CN"/>
        </w:rPr>
        <w:t>t</w:t>
      </w:r>
      <w:r>
        <w:rPr>
          <w:rFonts w:hint="default"/>
        </w:rPr>
        <w:t>）</w:t>
      </w:r>
      <w:r>
        <w:rPr>
          <w:rFonts w:hint="default"/>
          <w:lang w:val="en-US" w:eastAsia="zh-CN"/>
        </w:rPr>
        <w:t>。</w:t>
      </w:r>
    </w:p>
    <w:p w14:paraId="37DEE723">
      <w:pPr>
        <w:bidi w:val="0"/>
        <w:rPr>
          <w:rFonts w:hint="default"/>
          <w:lang w:val="en-US" w:eastAsia="zh-CN"/>
        </w:rPr>
      </w:pPr>
      <w:r>
        <w:rPr>
          <w:rFonts w:hint="eastAsia"/>
          <w:lang w:val="en-US" w:eastAsia="zh-CN"/>
        </w:rPr>
        <w:t>2、</w:t>
      </w:r>
      <w:r>
        <w:rPr>
          <w:rFonts w:hint="default"/>
          <w:lang w:val="en-US" w:eastAsia="zh-CN"/>
        </w:rPr>
        <w:t>设计利用资源储量</w:t>
      </w:r>
    </w:p>
    <w:p w14:paraId="08296FC0">
      <w:pPr>
        <w:bidi w:val="0"/>
        <w:rPr>
          <w:rFonts w:hint="eastAsia"/>
        </w:rPr>
      </w:pPr>
      <w:r>
        <w:rPr>
          <w:rFonts w:hint="eastAsia"/>
          <w:lang w:val="en-US" w:eastAsia="zh-CN"/>
        </w:rPr>
        <w:t>根据“</w:t>
      </w:r>
      <w:r>
        <w:rPr>
          <w:rFonts w:hint="default"/>
        </w:rPr>
        <w:t>利用资源储量=保有资源储量×可信度系数</w:t>
      </w:r>
      <w:r>
        <w:rPr>
          <w:rFonts w:hint="eastAsia"/>
          <w:lang w:val="en-US" w:eastAsia="zh-CN"/>
        </w:rPr>
        <w:t>+</w:t>
      </w:r>
      <w:r>
        <w:rPr>
          <w:rFonts w:hint="default"/>
        </w:rPr>
        <w:t>推断资源量×可信度系数</w:t>
      </w:r>
      <w:r>
        <w:rPr>
          <w:rFonts w:hint="eastAsia"/>
          <w:lang w:eastAsia="zh-CN"/>
        </w:rPr>
        <w:t>”</w:t>
      </w:r>
      <w:r>
        <w:rPr>
          <w:rFonts w:hint="eastAsia"/>
          <w:lang w:val="en-US" w:eastAsia="zh-CN"/>
        </w:rPr>
        <w:t>公式计算</w:t>
      </w:r>
      <w:r>
        <w:rPr>
          <w:rFonts w:hint="default"/>
        </w:rPr>
        <w:t>，设计利用资源储量</w:t>
      </w:r>
      <w:r>
        <w:rPr>
          <w:rFonts w:hint="eastAsia"/>
          <w:lang w:val="en-US" w:eastAsia="zh-CN"/>
        </w:rPr>
        <w:t>为81.72</w:t>
      </w:r>
      <w:r>
        <w:rPr>
          <w:rFonts w:hint="default"/>
          <w:lang w:eastAsia="zh-CN"/>
        </w:rPr>
        <w:t>万m</w:t>
      </w:r>
      <w:r>
        <w:rPr>
          <w:rFonts w:hint="default"/>
          <w:vertAlign w:val="superscript"/>
          <w:lang w:eastAsia="zh-CN"/>
        </w:rPr>
        <w:t>3</w:t>
      </w:r>
      <w:r>
        <w:rPr>
          <w:rFonts w:hint="default"/>
          <w:lang w:eastAsia="zh-CN"/>
        </w:rPr>
        <w:t>（</w:t>
      </w:r>
      <w:r>
        <w:rPr>
          <w:rFonts w:hint="eastAsia"/>
          <w:lang w:val="en-US" w:eastAsia="zh-CN"/>
        </w:rPr>
        <w:t>205.91</w:t>
      </w:r>
      <w:r>
        <w:rPr>
          <w:rFonts w:hint="default"/>
          <w:lang w:val="en-US" w:eastAsia="zh-CN"/>
        </w:rPr>
        <w:t>万t</w:t>
      </w:r>
      <w:r>
        <w:rPr>
          <w:rFonts w:hint="default"/>
          <w:lang w:eastAsia="zh-CN"/>
        </w:rPr>
        <w:t>）</w:t>
      </w:r>
      <w:r>
        <w:rPr>
          <w:rFonts w:hint="eastAsia"/>
        </w:rPr>
        <w:t>。</w:t>
      </w:r>
    </w:p>
    <w:p w14:paraId="2ECE2D70">
      <w:pPr>
        <w:bidi w:val="0"/>
        <w:rPr>
          <w:rFonts w:hint="default"/>
          <w:lang w:val="en-US" w:eastAsia="zh-CN"/>
        </w:rPr>
      </w:pPr>
      <w:r>
        <w:rPr>
          <w:rFonts w:hint="default"/>
          <w:lang w:val="en-US" w:eastAsia="zh-CN"/>
        </w:rPr>
        <w:t>3</w:t>
      </w:r>
      <w:r>
        <w:rPr>
          <w:rFonts w:hint="eastAsia"/>
          <w:lang w:val="en-US" w:eastAsia="zh-CN"/>
        </w:rPr>
        <w:t>、</w:t>
      </w:r>
      <w:r>
        <w:rPr>
          <w:rFonts w:hint="default"/>
          <w:lang w:val="en-US" w:eastAsia="zh-CN"/>
        </w:rPr>
        <w:t>设计可采资源储量</w:t>
      </w:r>
    </w:p>
    <w:p w14:paraId="1F5E6BB3">
      <w:pPr>
        <w:bidi w:val="0"/>
        <w:rPr>
          <w:rFonts w:hint="default"/>
        </w:rPr>
      </w:pPr>
      <w:r>
        <w:rPr>
          <w:rFonts w:hint="eastAsia"/>
          <w:lang w:val="en-US" w:eastAsia="zh-CN"/>
        </w:rPr>
        <w:t>根据“</w:t>
      </w:r>
      <w:r>
        <w:rPr>
          <w:rFonts w:hint="default"/>
        </w:rPr>
        <w:t>可采资源量=</w:t>
      </w:r>
      <w:r>
        <w:rPr>
          <w:rFonts w:hint="eastAsia"/>
          <w:lang w:eastAsia="zh-CN"/>
        </w:rPr>
        <w:t>（</w:t>
      </w:r>
      <w:r>
        <w:rPr>
          <w:rFonts w:hint="default"/>
        </w:rPr>
        <w:t>设计利用资源储量</w:t>
      </w:r>
      <w:r>
        <w:rPr>
          <w:rFonts w:hint="eastAsia"/>
          <w:lang w:val="en-US" w:eastAsia="zh-CN"/>
        </w:rPr>
        <w:t>-</w:t>
      </w:r>
      <w:r>
        <w:t>设计损失量</w:t>
      </w:r>
      <w:r>
        <w:rPr>
          <w:rFonts w:hint="eastAsia"/>
          <w:lang w:eastAsia="zh-CN"/>
        </w:rPr>
        <w:t>）</w:t>
      </w:r>
      <w:r>
        <w:rPr>
          <w:rFonts w:hint="default"/>
        </w:rPr>
        <w:t>×采矿回收率</w:t>
      </w:r>
      <w:r>
        <w:rPr>
          <w:rFonts w:hint="eastAsia"/>
          <w:lang w:eastAsia="zh-CN"/>
        </w:rPr>
        <w:t>”</w:t>
      </w:r>
      <w:r>
        <w:rPr>
          <w:rFonts w:hint="eastAsia"/>
          <w:lang w:val="en-US" w:eastAsia="zh-CN"/>
        </w:rPr>
        <w:t>公式计算</w:t>
      </w:r>
      <w:r>
        <w:rPr>
          <w:rFonts w:hint="default"/>
        </w:rPr>
        <w:t>。</w:t>
      </w:r>
      <w:r>
        <w:rPr>
          <w:rFonts w:hint="eastAsia"/>
        </w:rPr>
        <w:t>本次设计损失资源量：</w:t>
      </w:r>
      <w:r>
        <w:t>边坡压覆</w:t>
      </w:r>
      <w:r>
        <w:rPr>
          <w:rFonts w:hint="eastAsia"/>
        </w:rPr>
        <w:t>矿量</w:t>
      </w:r>
      <w:r>
        <w:rPr>
          <w:rFonts w:hint="eastAsia"/>
          <w:lang w:val="en-US" w:eastAsia="zh-CN"/>
        </w:rPr>
        <w:t>21.2</w:t>
      </w:r>
      <w:r>
        <w:rPr>
          <w:rFonts w:hint="eastAsia"/>
        </w:rPr>
        <w:t>万m</w:t>
      </w:r>
      <w:r>
        <w:rPr>
          <w:rFonts w:hint="eastAsia"/>
          <w:vertAlign w:val="superscript"/>
        </w:rPr>
        <w:t>3</w:t>
      </w:r>
      <w:r>
        <w:rPr>
          <w:rFonts w:hint="eastAsia"/>
        </w:rPr>
        <w:t>（</w:t>
      </w:r>
      <w:r>
        <w:rPr>
          <w:rFonts w:hint="eastAsia"/>
          <w:lang w:val="en-US" w:eastAsia="zh-CN"/>
        </w:rPr>
        <w:t>53.4</w:t>
      </w:r>
      <w:r>
        <w:rPr>
          <w:rFonts w:hint="eastAsia"/>
        </w:rPr>
        <w:t>万t）</w:t>
      </w:r>
      <w:r>
        <w:rPr>
          <w:rFonts w:hint="eastAsia"/>
          <w:lang w:eastAsia="zh-CN"/>
        </w:rPr>
        <w:t>，</w:t>
      </w:r>
      <w:r>
        <w:rPr>
          <w:rFonts w:hint="default"/>
        </w:rPr>
        <w:t>考虑矿区矿石赋存条件等因素，设计矿山的采矿回收率为95%。设计</w:t>
      </w:r>
      <w:r>
        <w:rPr>
          <w:rFonts w:hint="eastAsia"/>
          <w:lang w:val="en-US" w:eastAsia="zh-CN"/>
        </w:rPr>
        <w:t>实际</w:t>
      </w:r>
      <w:r>
        <w:rPr>
          <w:rFonts w:hint="default"/>
        </w:rPr>
        <w:t>可采资源量</w:t>
      </w:r>
      <w:r>
        <w:rPr>
          <w:rFonts w:hint="eastAsia"/>
          <w:lang w:val="en-US" w:eastAsia="zh-CN"/>
        </w:rPr>
        <w:t>为57.49</w:t>
      </w:r>
      <w:r>
        <w:rPr>
          <w:rFonts w:hint="default"/>
        </w:rPr>
        <w:t>万m</w:t>
      </w:r>
      <w:r>
        <w:rPr>
          <w:rFonts w:hint="default"/>
          <w:vertAlign w:val="superscript"/>
        </w:rPr>
        <w:t>3</w:t>
      </w:r>
      <w:r>
        <w:rPr>
          <w:rFonts w:hint="default"/>
        </w:rPr>
        <w:t>（</w:t>
      </w:r>
      <w:r>
        <w:rPr>
          <w:rFonts w:hint="eastAsia"/>
          <w:lang w:val="en-US" w:eastAsia="zh-CN"/>
        </w:rPr>
        <w:t>144.88</w:t>
      </w:r>
      <w:r>
        <w:rPr>
          <w:rFonts w:hint="default"/>
          <w:lang w:val="en-US" w:eastAsia="zh-CN"/>
        </w:rPr>
        <w:t>万</w:t>
      </w:r>
      <w:r>
        <w:rPr>
          <w:rFonts w:hint="default"/>
        </w:rPr>
        <w:t>）。</w:t>
      </w:r>
    </w:p>
    <w:p w14:paraId="79FAE049">
      <w:pPr>
        <w:bidi w:val="0"/>
        <w:rPr>
          <w:rFonts w:hint="default"/>
          <w:lang w:val="en-US" w:eastAsia="zh-CN"/>
        </w:rPr>
      </w:pPr>
      <w:r>
        <w:rPr>
          <w:rFonts w:hint="eastAsia"/>
          <w:lang w:val="en-US" w:eastAsia="zh-CN"/>
        </w:rPr>
        <w:t>4、</w:t>
      </w:r>
      <w:r>
        <w:rPr>
          <w:rFonts w:hint="default"/>
          <w:lang w:val="en-US" w:eastAsia="zh-CN"/>
        </w:rPr>
        <w:t>设计采出矿石量</w:t>
      </w:r>
    </w:p>
    <w:p w14:paraId="27D0803D">
      <w:pPr>
        <w:bidi w:val="0"/>
      </w:pPr>
      <w:r>
        <w:rPr>
          <w:rFonts w:hint="eastAsia"/>
          <w:lang w:val="en-US" w:eastAsia="zh-CN"/>
        </w:rPr>
        <w:t>根据“</w:t>
      </w:r>
      <w:r>
        <w:rPr>
          <w:rFonts w:hint="default"/>
        </w:rPr>
        <w:t>采出矿石量=可采资源储量÷（1-采矿贫化率）</w:t>
      </w:r>
      <w:r>
        <w:rPr>
          <w:rFonts w:hint="eastAsia"/>
          <w:lang w:eastAsia="zh-CN"/>
        </w:rPr>
        <w:t>”</w:t>
      </w:r>
      <w:r>
        <w:rPr>
          <w:rFonts w:hint="eastAsia"/>
          <w:lang w:val="en-US" w:eastAsia="zh-CN"/>
        </w:rPr>
        <w:t>公式计算</w:t>
      </w:r>
      <w:r>
        <w:rPr>
          <w:rFonts w:hint="default"/>
        </w:rPr>
        <w:t>。考虑矿区矿石赋存条件等因素，设计矿山的采矿贫化率为0。设计采出矿石量为：</w:t>
      </w:r>
      <w:r>
        <w:rPr>
          <w:rFonts w:hint="eastAsia"/>
          <w:lang w:val="en-US" w:eastAsia="zh-CN"/>
        </w:rPr>
        <w:t>57.49万m</w:t>
      </w:r>
      <w:r>
        <w:rPr>
          <w:rFonts w:hint="eastAsia"/>
          <w:vertAlign w:val="superscript"/>
          <w:lang w:val="en-US" w:eastAsia="zh-CN"/>
        </w:rPr>
        <w:t>3</w:t>
      </w:r>
      <w:r>
        <w:rPr>
          <w:rFonts w:hint="eastAsia"/>
          <w:lang w:val="en-US" w:eastAsia="zh-CN"/>
        </w:rPr>
        <w:t>（144.88万）</w:t>
      </w:r>
      <w:r>
        <w:t>。</w:t>
      </w:r>
    </w:p>
    <w:p w14:paraId="767A8970">
      <w:pPr>
        <w:bidi w:val="0"/>
        <w:rPr>
          <w:color w:val="auto"/>
          <w:lang w:val="en-US" w:eastAsia="en-US"/>
        </w:rPr>
      </w:pPr>
      <w:r>
        <w:rPr>
          <w:color w:val="auto"/>
          <w:lang w:val="en-US" w:eastAsia="en-US"/>
        </w:rPr>
        <w:t>2、矿山生产规模</w:t>
      </w:r>
    </w:p>
    <w:p w14:paraId="5EBB2E16">
      <w:pPr>
        <w:keepNext w:val="0"/>
        <w:keepLines w:val="0"/>
        <w:pageBreakBefore w:val="0"/>
        <w:widowControl w:val="0"/>
        <w:shd w:val="clear" w:color="auto" w:fill="auto"/>
        <w:kinsoku/>
        <w:wordWrap/>
        <w:overflowPunct/>
        <w:topLinePunct w:val="0"/>
        <w:autoSpaceDE/>
        <w:autoSpaceDN/>
        <w:bidi w:val="0"/>
        <w:adjustRightInd/>
        <w:snapToGrid w:val="0"/>
        <w:ind w:firstLine="552" w:firstLineChars="200"/>
        <w:textAlignment w:val="auto"/>
        <w:rPr>
          <w:rFonts w:hint="eastAsia" w:ascii="宋体" w:hAnsi="宋体" w:eastAsia="宋体" w:cs="宋体"/>
          <w:bCs/>
          <w:color w:val="auto"/>
          <w:szCs w:val="28"/>
          <w:highlight w:val="none"/>
          <w:lang w:val="en-US" w:eastAsia="zh-CN"/>
        </w:rPr>
      </w:pPr>
      <w:r>
        <w:rPr>
          <w:color w:val="auto"/>
          <w:lang w:val="en-US" w:eastAsia="en-US"/>
        </w:rPr>
        <w:t>矿山生产规模为</w:t>
      </w:r>
      <w:r>
        <w:rPr>
          <w:rFonts w:hint="eastAsia"/>
          <w:color w:val="auto"/>
          <w:lang w:val="en-US" w:eastAsia="zh-CN"/>
        </w:rPr>
        <w:t>5</w:t>
      </w:r>
      <w:r>
        <w:rPr>
          <w:color w:val="auto"/>
          <w:lang w:val="en-US" w:eastAsia="en-US"/>
        </w:rPr>
        <w:t>0万t／a</w:t>
      </w:r>
      <w:r>
        <w:rPr>
          <w:rFonts w:hint="eastAsia"/>
          <w:color w:val="auto"/>
          <w:lang w:val="en-US" w:eastAsia="zh-CN"/>
        </w:rPr>
        <w:t>，</w:t>
      </w:r>
      <w:r>
        <w:rPr>
          <w:rFonts w:hint="eastAsia" w:ascii="宋体" w:hAnsi="宋体" w:eastAsia="宋体" w:cs="宋体"/>
          <w:color w:val="auto"/>
          <w:sz w:val="28"/>
          <w:szCs w:val="28"/>
          <w:highlight w:val="none"/>
        </w:rPr>
        <w:t>与</w:t>
      </w:r>
      <w:r>
        <w:rPr>
          <w:rFonts w:hint="eastAsia" w:ascii="Times New Roman" w:hAnsi="Times New Roman" w:cs="宋体"/>
          <w:caps w:val="0"/>
          <w:smallCaps w:val="0"/>
          <w:color w:val="auto"/>
          <w:sz w:val="28"/>
          <w:szCs w:val="28"/>
          <w:highlight w:val="none"/>
          <w:lang w:val="en-US" w:eastAsia="zh-CN"/>
        </w:rPr>
        <w:t>固定投资项目备案证</w:t>
      </w:r>
      <w:r>
        <w:rPr>
          <w:rFonts w:hint="eastAsia" w:ascii="宋体" w:hAnsi="宋体" w:eastAsia="宋体" w:cs="宋体"/>
          <w:color w:val="auto"/>
          <w:sz w:val="28"/>
          <w:szCs w:val="28"/>
          <w:highlight w:val="none"/>
        </w:rPr>
        <w:t>规模一致。</w:t>
      </w:r>
    </w:p>
    <w:p w14:paraId="1D2BF0D9">
      <w:pPr>
        <w:bidi w:val="0"/>
        <w:rPr>
          <w:lang w:val="en-US" w:eastAsia="en-US"/>
        </w:rPr>
      </w:pPr>
      <w:r>
        <w:rPr>
          <w:lang w:val="en-US" w:eastAsia="en-US"/>
        </w:rPr>
        <w:t>3、服务年限</w:t>
      </w:r>
    </w:p>
    <w:p w14:paraId="3BA9D771">
      <w:pPr>
        <w:bidi w:val="0"/>
        <w:rPr>
          <w:lang w:val="en-US" w:eastAsia="en-US"/>
        </w:rPr>
      </w:pPr>
      <w:r>
        <w:rPr>
          <w:lang w:val="en-US" w:eastAsia="en-US"/>
        </w:rPr>
        <w:t>设计</w:t>
      </w:r>
      <w:r>
        <w:t>矿山生产服务年限为</w:t>
      </w:r>
      <w:r>
        <w:rPr>
          <w:rFonts w:hint="eastAsia"/>
          <w:lang w:val="en-US" w:eastAsia="zh-CN"/>
        </w:rPr>
        <w:t>2.9</w:t>
      </w:r>
      <w:r>
        <w:t>年</w:t>
      </w:r>
      <w:r>
        <w:rPr>
          <w:rFonts w:hint="eastAsia"/>
          <w:lang w:val="en-US" w:eastAsia="zh-CN"/>
        </w:rPr>
        <w:t>（不含基建建设时间）</w:t>
      </w:r>
      <w:r>
        <w:rPr>
          <w:lang w:val="en-US" w:eastAsia="en-US"/>
        </w:rPr>
        <w:t>，基建期</w:t>
      </w:r>
      <w:r>
        <w:rPr>
          <w:rFonts w:hint="eastAsia"/>
          <w:lang w:val="en-US" w:eastAsia="zh-CN"/>
        </w:rPr>
        <w:t>6</w:t>
      </w:r>
      <w:r>
        <w:rPr>
          <w:lang w:val="en-US" w:eastAsia="en-US"/>
        </w:rPr>
        <w:t>个月。</w:t>
      </w:r>
    </w:p>
    <w:p w14:paraId="6B82D290">
      <w:pPr>
        <w:bidi w:val="0"/>
        <w:rPr>
          <w:lang w:val="en-US" w:eastAsia="en-US"/>
        </w:rPr>
      </w:pPr>
      <w:r>
        <w:rPr>
          <w:lang w:val="en-US" w:eastAsia="en-US"/>
        </w:rPr>
        <w:t>4、产品方案</w:t>
      </w:r>
    </w:p>
    <w:p w14:paraId="43074178">
      <w:pPr>
        <w:bidi w:val="0"/>
        <w:rPr>
          <w:lang w:val="en-US" w:eastAsia="en-US"/>
        </w:rPr>
      </w:pPr>
      <w:r>
        <w:rPr>
          <w:lang w:val="en-US" w:eastAsia="en-US"/>
        </w:rPr>
        <w:t>矿山采出矿山产品用于建筑等，破碎后直接销售。矿山最终产品方案为建筑用石灰岩。</w:t>
      </w:r>
    </w:p>
    <w:p w14:paraId="5C874BC0">
      <w:pPr>
        <w:bidi w:val="0"/>
        <w:rPr>
          <w:lang w:val="en-US" w:eastAsia="en-US"/>
        </w:rPr>
      </w:pPr>
      <w:r>
        <w:rPr>
          <w:lang w:val="en-US" w:eastAsia="en-US"/>
        </w:rPr>
        <w:t>5、工作制度</w:t>
      </w:r>
    </w:p>
    <w:p w14:paraId="3DB4C81E">
      <w:pPr>
        <w:bidi w:val="0"/>
        <w:rPr>
          <w:lang w:val="en-US" w:eastAsia="en-US"/>
        </w:rPr>
      </w:pPr>
      <w:r>
        <w:rPr>
          <w:lang w:val="en-US" w:eastAsia="en-US"/>
        </w:rPr>
        <w:t>矿山采用一班工作制，年工作300天，每天工作一班，每班工作8小时。</w:t>
      </w:r>
    </w:p>
    <w:p w14:paraId="662F576E">
      <w:pPr>
        <w:pStyle w:val="4"/>
      </w:pPr>
      <w:bookmarkStart w:id="198" w:name="_Toc181"/>
      <w:bookmarkStart w:id="199" w:name="_Toc2169"/>
      <w:r>
        <w:t>2.4.5采矿方法</w:t>
      </w:r>
      <w:bookmarkEnd w:id="197"/>
      <w:bookmarkEnd w:id="198"/>
      <w:bookmarkEnd w:id="199"/>
    </w:p>
    <w:p w14:paraId="79C61C01">
      <w:pPr>
        <w:pStyle w:val="5"/>
        <w:bidi w:val="0"/>
      </w:pPr>
      <w:bookmarkStart w:id="200" w:name="_Toc21620"/>
      <w:r>
        <w:t>2.4.5.1露天开采境界与台阶参数</w:t>
      </w:r>
      <w:bookmarkEnd w:id="200"/>
    </w:p>
    <w:p w14:paraId="286F1D73">
      <w:pPr>
        <w:bidi w:val="0"/>
      </w:pPr>
      <w:r>
        <w:t>1、设计情况</w:t>
      </w:r>
    </w:p>
    <w:p w14:paraId="6043F7EC">
      <w:pPr>
        <w:bidi w:val="0"/>
      </w:pPr>
      <w:r>
        <w:rPr>
          <w:rFonts w:hint="eastAsia"/>
          <w:lang w:eastAsia="zh-CN"/>
        </w:rPr>
        <w:t>（</w:t>
      </w:r>
      <w:r>
        <w:rPr>
          <w:rFonts w:hint="eastAsia"/>
          <w:lang w:val="en-US" w:eastAsia="zh-CN"/>
        </w:rPr>
        <w:t>1）</w:t>
      </w:r>
      <w:r>
        <w:t>边坡参数</w:t>
      </w:r>
    </w:p>
    <w:p w14:paraId="2A7CAA62">
      <w:pPr>
        <w:bidi w:val="0"/>
        <w:rPr>
          <w:rFonts w:hint="default"/>
          <w:lang w:val="en-US" w:eastAsia="zh-CN"/>
        </w:rPr>
      </w:pPr>
      <w:r>
        <w:rPr>
          <w:rFonts w:hint="default"/>
          <w:lang w:val="en-US" w:eastAsia="zh-CN"/>
        </w:rPr>
        <w:t>露天开采采场台阶参数选择如下</w:t>
      </w:r>
      <w:r>
        <w:rPr>
          <w:rFonts w:hint="eastAsia"/>
          <w:lang w:val="en-US" w:eastAsia="zh-CN"/>
        </w:rPr>
        <w:t>：</w:t>
      </w:r>
    </w:p>
    <w:p w14:paraId="05CE7370">
      <w:pPr>
        <w:bidi w:val="0"/>
        <w:rPr>
          <w:rFonts w:hint="default"/>
        </w:rPr>
      </w:pPr>
      <w:r>
        <w:rPr>
          <w:rFonts w:hint="eastAsia"/>
        </w:rPr>
        <w:t>①</w:t>
      </w:r>
      <w:r>
        <w:rPr>
          <w:rFonts w:hint="default"/>
        </w:rPr>
        <w:t>生产台阶高度：</w:t>
      </w:r>
      <w:r>
        <w:rPr>
          <w:rFonts w:hint="eastAsia"/>
          <w:lang w:val="en-US" w:eastAsia="zh-CN"/>
        </w:rPr>
        <w:t xml:space="preserve">  </w:t>
      </w:r>
      <w:r>
        <w:rPr>
          <w:rFonts w:hint="eastAsia"/>
          <w:lang w:eastAsia="zh-CN"/>
        </w:rPr>
        <w:t>1</w:t>
      </w:r>
      <w:r>
        <w:rPr>
          <w:rFonts w:hint="eastAsia"/>
          <w:lang w:val="en-US" w:eastAsia="zh-CN"/>
        </w:rPr>
        <w:t>5</w:t>
      </w:r>
      <w:r>
        <w:rPr>
          <w:rFonts w:hint="eastAsia"/>
          <w:lang w:eastAsia="zh-CN"/>
        </w:rPr>
        <w:t>m</w:t>
      </w:r>
    </w:p>
    <w:p w14:paraId="0BA4A89C">
      <w:pPr>
        <w:bidi w:val="0"/>
        <w:rPr>
          <w:rFonts w:hint="eastAsia"/>
          <w:lang w:eastAsia="zh-CN"/>
        </w:rPr>
      </w:pPr>
      <w:r>
        <w:rPr>
          <w:rFonts w:hint="eastAsia"/>
          <w:lang w:eastAsia="zh-CN"/>
        </w:rPr>
        <w:t>②靠帮</w:t>
      </w:r>
      <w:r>
        <w:rPr>
          <w:rFonts w:hint="default"/>
        </w:rPr>
        <w:t>台阶高度：</w:t>
      </w:r>
      <w:r>
        <w:rPr>
          <w:rFonts w:hint="eastAsia"/>
          <w:lang w:val="en-US" w:eastAsia="zh-CN"/>
        </w:rPr>
        <w:t xml:space="preserve">  </w:t>
      </w:r>
      <w:r>
        <w:rPr>
          <w:rFonts w:hint="eastAsia"/>
          <w:lang w:eastAsia="zh-CN"/>
        </w:rPr>
        <w:t>1</w:t>
      </w:r>
      <w:r>
        <w:rPr>
          <w:rFonts w:hint="eastAsia"/>
          <w:lang w:val="en-US" w:eastAsia="zh-CN"/>
        </w:rPr>
        <w:t>5</w:t>
      </w:r>
      <w:r>
        <w:rPr>
          <w:rFonts w:hint="eastAsia"/>
          <w:lang w:eastAsia="zh-CN"/>
        </w:rPr>
        <w:t>m</w:t>
      </w:r>
      <w:r>
        <w:rPr>
          <w:rFonts w:hint="default"/>
        </w:rPr>
        <w:t>；</w:t>
      </w:r>
    </w:p>
    <w:p w14:paraId="61CF31FB">
      <w:pPr>
        <w:bidi w:val="0"/>
        <w:rPr>
          <w:rFonts w:hint="default"/>
        </w:rPr>
      </w:pPr>
      <w:r>
        <w:rPr>
          <w:rFonts w:hint="eastAsia"/>
          <w:lang w:val="en-US" w:eastAsia="zh-CN"/>
        </w:rPr>
        <w:t>③</w:t>
      </w:r>
      <w:r>
        <w:rPr>
          <w:rFonts w:hint="default"/>
          <w:lang w:val="en-US" w:eastAsia="zh-CN"/>
        </w:rPr>
        <w:t>靠帮</w:t>
      </w:r>
      <w:r>
        <w:rPr>
          <w:rFonts w:hint="default"/>
        </w:rPr>
        <w:t>台阶坡面角：</w:t>
      </w:r>
      <w:r>
        <w:rPr>
          <w:rFonts w:hint="eastAsia"/>
          <w:lang w:val="en-US" w:eastAsia="zh-CN"/>
        </w:rPr>
        <w:t xml:space="preserve"> </w:t>
      </w:r>
      <w:r>
        <w:rPr>
          <w:rFonts w:hint="default"/>
          <w:lang w:val="en-US" w:eastAsia="zh-CN"/>
        </w:rPr>
        <w:t>6</w:t>
      </w:r>
      <w:r>
        <w:rPr>
          <w:rFonts w:hint="eastAsia"/>
          <w:lang w:val="en-US" w:eastAsia="zh-CN"/>
        </w:rPr>
        <w:t>0</w:t>
      </w:r>
      <w:r>
        <w:rPr>
          <w:rFonts w:hint="default"/>
        </w:rPr>
        <w:t>°；</w:t>
      </w:r>
    </w:p>
    <w:p w14:paraId="3480E465">
      <w:pPr>
        <w:bidi w:val="0"/>
        <w:rPr>
          <w:rFonts w:hint="eastAsia"/>
          <w:lang w:eastAsia="zh-CN"/>
        </w:rPr>
      </w:pPr>
      <w:r>
        <w:rPr>
          <w:rFonts w:hint="eastAsia"/>
          <w:lang w:val="en-US" w:eastAsia="zh-CN"/>
        </w:rPr>
        <w:t>④</w:t>
      </w:r>
      <w:r>
        <w:rPr>
          <w:rFonts w:hint="default"/>
          <w:lang w:val="en-US" w:eastAsia="zh-CN"/>
        </w:rPr>
        <w:t>工作</w:t>
      </w:r>
      <w:r>
        <w:rPr>
          <w:rFonts w:hint="default"/>
        </w:rPr>
        <w:t>台阶坡面角：</w:t>
      </w:r>
      <w:r>
        <w:rPr>
          <w:rFonts w:hint="eastAsia"/>
          <w:lang w:val="en-US" w:eastAsia="zh-CN"/>
        </w:rPr>
        <w:t xml:space="preserve"> 75</w:t>
      </w:r>
      <w:r>
        <w:rPr>
          <w:rFonts w:hint="default"/>
        </w:rPr>
        <w:t>°</w:t>
      </w:r>
    </w:p>
    <w:p w14:paraId="33C7F859">
      <w:pPr>
        <w:bidi w:val="0"/>
        <w:rPr>
          <w:rFonts w:hint="default"/>
        </w:rPr>
      </w:pPr>
      <w:r>
        <w:rPr>
          <w:rFonts w:hint="eastAsia"/>
          <w:lang w:eastAsia="zh-CN"/>
        </w:rPr>
        <w:t>⑤</w:t>
      </w:r>
      <w:r>
        <w:rPr>
          <w:rFonts w:hint="default"/>
          <w:lang w:eastAsia="zh-CN"/>
        </w:rPr>
        <w:t>最终帮坡角</w:t>
      </w:r>
      <w:r>
        <w:rPr>
          <w:rFonts w:hint="default"/>
        </w:rPr>
        <w:t xml:space="preserve">：  </w:t>
      </w:r>
      <w:r>
        <w:rPr>
          <w:rFonts w:hint="eastAsia"/>
          <w:lang w:val="en-US" w:eastAsia="zh-CN"/>
        </w:rPr>
        <w:t xml:space="preserve"> ≤49°</w:t>
      </w:r>
      <w:r>
        <w:rPr>
          <w:rFonts w:hint="default"/>
        </w:rPr>
        <w:t>；</w:t>
      </w:r>
    </w:p>
    <w:p w14:paraId="7AB5E752">
      <w:pPr>
        <w:bidi w:val="0"/>
        <w:rPr>
          <w:rFonts w:hint="default"/>
        </w:rPr>
      </w:pPr>
      <w:r>
        <w:rPr>
          <w:rFonts w:hint="eastAsia"/>
        </w:rPr>
        <w:t>⑥</w:t>
      </w:r>
      <w:r>
        <w:rPr>
          <w:rFonts w:hint="default"/>
        </w:rPr>
        <w:t>安全平台宽度：</w:t>
      </w:r>
      <w:r>
        <w:rPr>
          <w:rFonts w:hint="eastAsia"/>
          <w:lang w:val="en-US" w:eastAsia="zh-CN"/>
        </w:rPr>
        <w:t xml:space="preserve"> </w:t>
      </w:r>
      <w:r>
        <w:rPr>
          <w:rFonts w:hint="default"/>
        </w:rPr>
        <w:t xml:space="preserve">   </w:t>
      </w:r>
      <w:r>
        <w:rPr>
          <w:rFonts w:hint="eastAsia"/>
          <w:lang w:val="en-US" w:eastAsia="zh-CN"/>
        </w:rPr>
        <w:t>5</w:t>
      </w:r>
      <w:r>
        <w:rPr>
          <w:rFonts w:hint="default"/>
        </w:rPr>
        <w:t>m；</w:t>
      </w:r>
    </w:p>
    <w:p w14:paraId="733B8488">
      <w:pPr>
        <w:bidi w:val="0"/>
        <w:rPr>
          <w:rFonts w:hint="eastAsia"/>
          <w:lang w:eastAsia="zh-CN"/>
        </w:rPr>
      </w:pPr>
      <w:r>
        <w:rPr>
          <w:rFonts w:hint="eastAsia"/>
        </w:rPr>
        <w:t>⑦</w:t>
      </w:r>
      <w:r>
        <w:rPr>
          <w:rFonts w:hint="default"/>
        </w:rPr>
        <w:t xml:space="preserve">清扫平台宽度： </w:t>
      </w:r>
      <w:r>
        <w:rPr>
          <w:rFonts w:hint="eastAsia"/>
          <w:lang w:val="en-US" w:eastAsia="zh-CN"/>
        </w:rPr>
        <w:t xml:space="preserve"> </w:t>
      </w:r>
      <w:r>
        <w:rPr>
          <w:rFonts w:hint="default"/>
        </w:rPr>
        <w:t xml:space="preserve">  </w:t>
      </w:r>
      <w:r>
        <w:rPr>
          <w:rFonts w:hint="eastAsia"/>
          <w:lang w:val="en-US" w:eastAsia="zh-CN"/>
        </w:rPr>
        <w:t>8</w:t>
      </w:r>
      <w:r>
        <w:rPr>
          <w:rFonts w:hint="default"/>
        </w:rPr>
        <w:t>m</w:t>
      </w:r>
      <w:r>
        <w:t>。</w:t>
      </w:r>
    </w:p>
    <w:p w14:paraId="3502EBAF">
      <w:pPr>
        <w:bidi w:val="0"/>
      </w:pPr>
      <w:r>
        <w:rPr>
          <w:rFonts w:hint="eastAsia"/>
          <w:lang w:eastAsia="zh-CN"/>
        </w:rPr>
        <w:t>（</w:t>
      </w:r>
      <w:r>
        <w:rPr>
          <w:rFonts w:hint="eastAsia"/>
          <w:lang w:val="en-US" w:eastAsia="zh-CN"/>
        </w:rPr>
        <w:t>2）</w:t>
      </w:r>
      <w:r>
        <w:t>境界圈定结果</w:t>
      </w:r>
    </w:p>
    <w:p w14:paraId="1A37CFAF">
      <w:pPr>
        <w:bidi w:val="0"/>
      </w:pPr>
      <w:r>
        <w:t>根据以上确定的最终边坡构成参数、结合矿体赋存条件、地形条件以及考虑周边环境因素的影响，对矿山进行最终境界的圈定。</w:t>
      </w:r>
    </w:p>
    <w:p w14:paraId="576EBC3F">
      <w:pPr>
        <w:bidi w:val="0"/>
      </w:pPr>
      <w:r>
        <w:t>露天采场最终境界圈定结果表，见表</w:t>
      </w:r>
      <w:r>
        <w:rPr>
          <w:rFonts w:hint="eastAsia"/>
        </w:rPr>
        <w:t>2.</w:t>
      </w:r>
      <w:r>
        <w:rPr>
          <w:rFonts w:hint="eastAsia"/>
          <w:lang w:val="en-US" w:eastAsia="zh-CN"/>
        </w:rPr>
        <w:t>4</w:t>
      </w:r>
      <w:r>
        <w:rPr>
          <w:rFonts w:hint="eastAsia"/>
        </w:rPr>
        <w:t>-</w:t>
      </w:r>
      <w:r>
        <w:rPr>
          <w:rFonts w:hint="eastAsia"/>
          <w:lang w:val="en-US" w:eastAsia="zh-CN"/>
        </w:rPr>
        <w:t>2</w:t>
      </w:r>
      <w:r>
        <w:t>。</w:t>
      </w:r>
    </w:p>
    <w:p w14:paraId="7778A13E">
      <w:pPr>
        <w:numPr>
          <w:ilvl w:val="0"/>
          <w:numId w:val="6"/>
        </w:numPr>
        <w:bidi w:val="0"/>
        <w:rPr>
          <w:rFonts w:hint="default"/>
          <w:lang w:val="zh-TW"/>
        </w:rPr>
      </w:pPr>
      <w:r>
        <w:rPr>
          <w:rFonts w:hint="default"/>
          <w:lang w:val="zh-TW" w:eastAsia="zh-TW"/>
        </w:rPr>
        <w:t>各台阶矿岩量</w:t>
      </w:r>
      <w:r>
        <w:rPr>
          <w:rFonts w:hint="default"/>
          <w:lang w:val="zh-TW"/>
        </w:rPr>
        <w:t>及剥离</w:t>
      </w:r>
    </w:p>
    <w:p w14:paraId="69F55B1A">
      <w:pPr>
        <w:numPr>
          <w:ilvl w:val="0"/>
          <w:numId w:val="0"/>
        </w:numPr>
        <w:bidi w:val="0"/>
        <w:ind w:firstLine="552" w:firstLineChars="200"/>
        <w:rPr>
          <w:rFonts w:hint="default"/>
        </w:rPr>
      </w:pPr>
      <w:r>
        <w:rPr>
          <w:rFonts w:hint="default"/>
        </w:rPr>
        <w:t>设计采出矿石量</w:t>
      </w:r>
      <w:r>
        <w:rPr>
          <w:rFonts w:hint="eastAsia"/>
          <w:lang w:val="en-US" w:eastAsia="zh-CN"/>
        </w:rPr>
        <w:t>57.49万m</w:t>
      </w:r>
      <w:r>
        <w:rPr>
          <w:rFonts w:hint="eastAsia"/>
          <w:vertAlign w:val="superscript"/>
          <w:lang w:val="en-US" w:eastAsia="zh-CN"/>
        </w:rPr>
        <w:t>3</w:t>
      </w:r>
      <w:r>
        <w:rPr>
          <w:rFonts w:hint="eastAsia"/>
          <w:lang w:val="en-US" w:eastAsia="zh-CN"/>
        </w:rPr>
        <w:t>（144.88万）</w:t>
      </w:r>
      <w:r>
        <w:rPr>
          <w:rFonts w:hint="default"/>
        </w:rPr>
        <w:t>。开采矿山剥采比为</w:t>
      </w:r>
      <w:r>
        <w:rPr>
          <w:rFonts w:hint="default"/>
          <w:lang w:val="en-US" w:eastAsia="zh-CN"/>
        </w:rPr>
        <w:t>0</w:t>
      </w:r>
      <w:r>
        <w:rPr>
          <w:rFonts w:hint="eastAsia"/>
          <w:lang w:val="en-US" w:eastAsia="zh-CN"/>
        </w:rPr>
        <w:t>.01</w:t>
      </w:r>
      <w:r>
        <w:rPr>
          <w:rFonts w:hint="default"/>
        </w:rPr>
        <w:t>（</w:t>
      </w:r>
      <w:r>
        <w:rPr>
          <w:rFonts w:hint="default"/>
          <w:lang w:val="en-US" w:eastAsia="zh-CN"/>
        </w:rPr>
        <w:t>m³/m³</w:t>
      </w:r>
      <w:r>
        <w:rPr>
          <w:rFonts w:hint="default"/>
          <w:lang w:eastAsia="zh-CN"/>
        </w:rPr>
        <w:t>）</w:t>
      </w:r>
      <w:r>
        <w:rPr>
          <w:rFonts w:hint="default"/>
        </w:rPr>
        <w:t>，矿山的总剥采量具体见</w:t>
      </w:r>
      <w:r>
        <w:rPr>
          <w:rFonts w:hint="default"/>
          <w:lang w:eastAsia="zh-CN"/>
        </w:rPr>
        <w:t>下</w:t>
      </w:r>
      <w:r>
        <w:rPr>
          <w:rFonts w:hint="default"/>
        </w:rPr>
        <w:t>表</w:t>
      </w:r>
      <w:r>
        <w:rPr>
          <w:rFonts w:hint="eastAsia"/>
          <w:lang w:val="en-US" w:eastAsia="zh-CN"/>
        </w:rPr>
        <w:t>2.4-3</w:t>
      </w:r>
      <w:r>
        <w:rPr>
          <w:rFonts w:hint="default"/>
        </w:rPr>
        <w:t>。</w:t>
      </w:r>
    </w:p>
    <w:p w14:paraId="6DF4999B">
      <w:pPr>
        <w:pStyle w:val="45"/>
        <w:widowControl w:val="0"/>
        <w:wordWrap/>
        <w:adjustRightInd w:val="0"/>
        <w:snapToGrid w:val="0"/>
        <w:spacing w:before="0" w:beforeLines="0" w:after="0" w:afterLines="0" w:line="240" w:lineRule="auto"/>
        <w:ind w:left="0" w:leftChars="0" w:right="0" w:firstLine="0" w:firstLineChars="0"/>
        <w:jc w:val="center"/>
        <w:textAlignment w:val="auto"/>
        <w:outlineLvl w:val="9"/>
        <w:rPr>
          <w:color w:val="auto"/>
          <w:sz w:val="24"/>
          <w:szCs w:val="20"/>
        </w:rPr>
      </w:pPr>
      <w:r>
        <w:rPr>
          <w:color w:val="auto"/>
          <w:sz w:val="24"/>
          <w:szCs w:val="20"/>
        </w:rPr>
        <w:t>表</w:t>
      </w:r>
      <w:r>
        <w:rPr>
          <w:rFonts w:hint="eastAsia"/>
          <w:color w:val="auto"/>
          <w:sz w:val="24"/>
          <w:szCs w:val="20"/>
        </w:rPr>
        <w:t>2.</w:t>
      </w:r>
      <w:r>
        <w:rPr>
          <w:rFonts w:hint="eastAsia"/>
          <w:color w:val="auto"/>
          <w:sz w:val="24"/>
          <w:szCs w:val="20"/>
          <w:lang w:val="en-US" w:eastAsia="zh-CN"/>
        </w:rPr>
        <w:t xml:space="preserve">4-2  </w:t>
      </w:r>
      <w:r>
        <w:rPr>
          <w:color w:val="auto"/>
          <w:sz w:val="24"/>
          <w:szCs w:val="20"/>
        </w:rPr>
        <w:t>露天开采终了境界主要指标表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40"/>
        <w:gridCol w:w="3856"/>
        <w:gridCol w:w="1101"/>
        <w:gridCol w:w="2609"/>
      </w:tblGrid>
      <w:tr w14:paraId="118A1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1040" w:type="dxa"/>
            <w:noWrap w:val="0"/>
            <w:vAlign w:val="center"/>
          </w:tcPr>
          <w:p w14:paraId="3D401FB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序 号</w:t>
            </w:r>
          </w:p>
        </w:tc>
        <w:tc>
          <w:tcPr>
            <w:tcW w:w="3856" w:type="dxa"/>
            <w:noWrap w:val="0"/>
            <w:vAlign w:val="center"/>
          </w:tcPr>
          <w:p w14:paraId="5AAE68C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名 称</w:t>
            </w:r>
          </w:p>
        </w:tc>
        <w:tc>
          <w:tcPr>
            <w:tcW w:w="1101" w:type="dxa"/>
            <w:noWrap w:val="0"/>
            <w:vAlign w:val="center"/>
          </w:tcPr>
          <w:p w14:paraId="36F274B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单 位</w:t>
            </w:r>
          </w:p>
        </w:tc>
        <w:tc>
          <w:tcPr>
            <w:tcW w:w="2609" w:type="dxa"/>
            <w:noWrap w:val="0"/>
            <w:vAlign w:val="center"/>
          </w:tcPr>
          <w:p w14:paraId="5CFFCEF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bCs/>
                <w:sz w:val="21"/>
                <w:szCs w:val="21"/>
              </w:rPr>
            </w:pPr>
            <w:r>
              <w:rPr>
                <w:rFonts w:hint="default" w:ascii="Times New Roman" w:hAnsi="Times New Roman" w:eastAsia="宋体" w:cs="Times New Roman"/>
                <w:b/>
                <w:bCs/>
                <w:sz w:val="21"/>
                <w:szCs w:val="21"/>
              </w:rPr>
              <w:t>数 值</w:t>
            </w:r>
          </w:p>
        </w:tc>
      </w:tr>
      <w:tr w14:paraId="68301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524FCF3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w:t>
            </w:r>
          </w:p>
        </w:tc>
        <w:tc>
          <w:tcPr>
            <w:tcW w:w="3856" w:type="dxa"/>
            <w:noWrap w:val="0"/>
            <w:vAlign w:val="center"/>
          </w:tcPr>
          <w:p w14:paraId="67E82F21">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露天采场顶部标高</w:t>
            </w:r>
          </w:p>
        </w:tc>
        <w:tc>
          <w:tcPr>
            <w:tcW w:w="1101" w:type="dxa"/>
            <w:noWrap w:val="0"/>
            <w:vAlign w:val="center"/>
          </w:tcPr>
          <w:p w14:paraId="59B7793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w:t>
            </w:r>
          </w:p>
        </w:tc>
        <w:tc>
          <w:tcPr>
            <w:tcW w:w="2609" w:type="dxa"/>
            <w:noWrap w:val="0"/>
            <w:vAlign w:val="center"/>
          </w:tcPr>
          <w:p w14:paraId="2199DAD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1720</w:t>
            </w:r>
          </w:p>
        </w:tc>
      </w:tr>
      <w:tr w14:paraId="4717BF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0F835C5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2</w:t>
            </w:r>
          </w:p>
        </w:tc>
        <w:tc>
          <w:tcPr>
            <w:tcW w:w="3856" w:type="dxa"/>
            <w:noWrap w:val="0"/>
            <w:vAlign w:val="center"/>
          </w:tcPr>
          <w:p w14:paraId="2BE36BB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露天采场底部标高</w:t>
            </w:r>
          </w:p>
        </w:tc>
        <w:tc>
          <w:tcPr>
            <w:tcW w:w="1101" w:type="dxa"/>
            <w:noWrap w:val="0"/>
            <w:vAlign w:val="center"/>
          </w:tcPr>
          <w:p w14:paraId="2F4D222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w:t>
            </w:r>
          </w:p>
        </w:tc>
        <w:tc>
          <w:tcPr>
            <w:tcW w:w="2609" w:type="dxa"/>
            <w:noWrap w:val="0"/>
            <w:vAlign w:val="center"/>
          </w:tcPr>
          <w:p w14:paraId="629E227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16</w:t>
            </w:r>
            <w:r>
              <w:rPr>
                <w:rFonts w:hint="eastAsia" w:ascii="Times New Roman" w:hAnsi="Times New Roman" w:eastAsia="宋体" w:cs="Times New Roman"/>
                <w:sz w:val="21"/>
                <w:szCs w:val="21"/>
                <w:lang w:val="en-US" w:eastAsia="zh-CN"/>
              </w:rPr>
              <w:t>07</w:t>
            </w:r>
          </w:p>
        </w:tc>
      </w:tr>
      <w:tr w14:paraId="62C49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1A11EFF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3</w:t>
            </w:r>
          </w:p>
        </w:tc>
        <w:tc>
          <w:tcPr>
            <w:tcW w:w="3856" w:type="dxa"/>
            <w:noWrap w:val="0"/>
            <w:vAlign w:val="center"/>
          </w:tcPr>
          <w:p w14:paraId="7D827F9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露天采场顶部台阶标高</w:t>
            </w:r>
          </w:p>
        </w:tc>
        <w:tc>
          <w:tcPr>
            <w:tcW w:w="1101" w:type="dxa"/>
            <w:noWrap w:val="0"/>
            <w:vAlign w:val="center"/>
          </w:tcPr>
          <w:p w14:paraId="21D6672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w:t>
            </w:r>
          </w:p>
        </w:tc>
        <w:tc>
          <w:tcPr>
            <w:tcW w:w="2609" w:type="dxa"/>
            <w:noWrap w:val="0"/>
            <w:vAlign w:val="center"/>
          </w:tcPr>
          <w:p w14:paraId="36F5A0D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1705</w:t>
            </w:r>
          </w:p>
        </w:tc>
      </w:tr>
      <w:tr w14:paraId="1B8CDD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7BBD97B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4</w:t>
            </w:r>
          </w:p>
        </w:tc>
        <w:tc>
          <w:tcPr>
            <w:tcW w:w="3856" w:type="dxa"/>
            <w:noWrap w:val="0"/>
            <w:vAlign w:val="center"/>
          </w:tcPr>
          <w:p w14:paraId="7593843B">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露天采场终了最大开采高度</w:t>
            </w:r>
          </w:p>
        </w:tc>
        <w:tc>
          <w:tcPr>
            <w:tcW w:w="1101" w:type="dxa"/>
            <w:noWrap w:val="0"/>
            <w:vAlign w:val="center"/>
          </w:tcPr>
          <w:p w14:paraId="2778B79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w:t>
            </w:r>
          </w:p>
        </w:tc>
        <w:tc>
          <w:tcPr>
            <w:tcW w:w="2609" w:type="dxa"/>
            <w:noWrap w:val="0"/>
            <w:vAlign w:val="center"/>
          </w:tcPr>
          <w:p w14:paraId="1C492B9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113</w:t>
            </w:r>
          </w:p>
        </w:tc>
      </w:tr>
      <w:tr w14:paraId="7590CE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25FAA48F">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5</w:t>
            </w:r>
          </w:p>
        </w:tc>
        <w:tc>
          <w:tcPr>
            <w:tcW w:w="3856" w:type="dxa"/>
            <w:noWrap w:val="0"/>
            <w:vAlign w:val="center"/>
          </w:tcPr>
          <w:p w14:paraId="7A3197BE">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境界内保有资源量</w:t>
            </w:r>
          </w:p>
        </w:tc>
        <w:tc>
          <w:tcPr>
            <w:tcW w:w="1101" w:type="dxa"/>
            <w:noWrap w:val="0"/>
            <w:vAlign w:val="center"/>
          </w:tcPr>
          <w:p w14:paraId="3FAA3B3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万m</w:t>
            </w:r>
            <w:r>
              <w:rPr>
                <w:rFonts w:hint="default" w:ascii="Times New Roman" w:hAnsi="Times New Roman" w:eastAsia="宋体" w:cs="Times New Roman"/>
                <w:sz w:val="21"/>
                <w:szCs w:val="21"/>
                <w:vertAlign w:val="superscript"/>
              </w:rPr>
              <w:t>3</w:t>
            </w:r>
          </w:p>
        </w:tc>
        <w:tc>
          <w:tcPr>
            <w:tcW w:w="2609" w:type="dxa"/>
            <w:noWrap w:val="0"/>
            <w:vAlign w:val="center"/>
          </w:tcPr>
          <w:p w14:paraId="0FC758FC">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81.72</w:t>
            </w:r>
          </w:p>
        </w:tc>
      </w:tr>
      <w:tr w14:paraId="7BFAB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3355D714">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6</w:t>
            </w:r>
          </w:p>
        </w:tc>
        <w:tc>
          <w:tcPr>
            <w:tcW w:w="3856" w:type="dxa"/>
            <w:noWrap w:val="0"/>
            <w:vAlign w:val="center"/>
          </w:tcPr>
          <w:p w14:paraId="323CC277">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类别</w:t>
            </w:r>
          </w:p>
        </w:tc>
        <w:tc>
          <w:tcPr>
            <w:tcW w:w="1101" w:type="dxa"/>
            <w:noWrap w:val="0"/>
            <w:vAlign w:val="center"/>
          </w:tcPr>
          <w:p w14:paraId="303C3C2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p>
        </w:tc>
        <w:tc>
          <w:tcPr>
            <w:tcW w:w="2609" w:type="dxa"/>
            <w:noWrap w:val="0"/>
            <w:vAlign w:val="center"/>
          </w:tcPr>
          <w:p w14:paraId="30DCB33E">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122b类</w:t>
            </w:r>
          </w:p>
        </w:tc>
      </w:tr>
      <w:tr w14:paraId="599FB9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0D6B298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7</w:t>
            </w:r>
          </w:p>
        </w:tc>
        <w:tc>
          <w:tcPr>
            <w:tcW w:w="3856" w:type="dxa"/>
            <w:noWrap w:val="0"/>
            <w:vAlign w:val="center"/>
          </w:tcPr>
          <w:p w14:paraId="032E0076">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资源利用系数</w:t>
            </w:r>
          </w:p>
        </w:tc>
        <w:tc>
          <w:tcPr>
            <w:tcW w:w="1101" w:type="dxa"/>
            <w:noWrap w:val="0"/>
            <w:vAlign w:val="center"/>
          </w:tcPr>
          <w:p w14:paraId="36AFAD6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p>
        </w:tc>
        <w:tc>
          <w:tcPr>
            <w:tcW w:w="2609" w:type="dxa"/>
            <w:noWrap w:val="0"/>
            <w:vAlign w:val="center"/>
          </w:tcPr>
          <w:p w14:paraId="02A4255D">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r>
      <w:tr w14:paraId="1A8B01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46122AF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8</w:t>
            </w:r>
          </w:p>
        </w:tc>
        <w:tc>
          <w:tcPr>
            <w:tcW w:w="3856" w:type="dxa"/>
            <w:noWrap w:val="0"/>
            <w:vAlign w:val="center"/>
          </w:tcPr>
          <w:p w14:paraId="6346A003">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开采境界内采出矿总量</w:t>
            </w:r>
          </w:p>
        </w:tc>
        <w:tc>
          <w:tcPr>
            <w:tcW w:w="1101" w:type="dxa"/>
            <w:noWrap w:val="0"/>
            <w:vAlign w:val="center"/>
          </w:tcPr>
          <w:p w14:paraId="288866A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万m</w:t>
            </w:r>
            <w:r>
              <w:rPr>
                <w:rFonts w:hint="default" w:ascii="Times New Roman" w:hAnsi="Times New Roman" w:eastAsia="宋体" w:cs="Times New Roman"/>
                <w:sz w:val="21"/>
                <w:szCs w:val="21"/>
                <w:vertAlign w:val="superscript"/>
              </w:rPr>
              <w:t>3</w:t>
            </w:r>
          </w:p>
        </w:tc>
        <w:tc>
          <w:tcPr>
            <w:tcW w:w="2609" w:type="dxa"/>
            <w:noWrap w:val="0"/>
            <w:vAlign w:val="center"/>
          </w:tcPr>
          <w:p w14:paraId="1E9A8876">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57.49</w:t>
            </w:r>
          </w:p>
        </w:tc>
      </w:tr>
      <w:tr w14:paraId="69BB2D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60E5A67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w:t>
            </w:r>
          </w:p>
        </w:tc>
        <w:tc>
          <w:tcPr>
            <w:tcW w:w="3856" w:type="dxa"/>
            <w:noWrap w:val="0"/>
            <w:vAlign w:val="center"/>
          </w:tcPr>
          <w:p w14:paraId="0B59B076">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采矿回收率</w:t>
            </w:r>
          </w:p>
        </w:tc>
        <w:tc>
          <w:tcPr>
            <w:tcW w:w="1101" w:type="dxa"/>
            <w:noWrap w:val="0"/>
            <w:vAlign w:val="center"/>
          </w:tcPr>
          <w:p w14:paraId="28EC033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2609" w:type="dxa"/>
            <w:noWrap w:val="0"/>
            <w:vAlign w:val="center"/>
          </w:tcPr>
          <w:p w14:paraId="52BC465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95</w:t>
            </w:r>
          </w:p>
        </w:tc>
      </w:tr>
      <w:tr w14:paraId="2F2A7E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775607F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10</w:t>
            </w:r>
          </w:p>
        </w:tc>
        <w:tc>
          <w:tcPr>
            <w:tcW w:w="3856" w:type="dxa"/>
            <w:noWrap w:val="0"/>
            <w:vAlign w:val="center"/>
          </w:tcPr>
          <w:p w14:paraId="46BA01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最终帮坡角</w:t>
            </w:r>
          </w:p>
        </w:tc>
        <w:tc>
          <w:tcPr>
            <w:tcW w:w="1101" w:type="dxa"/>
            <w:noWrap w:val="0"/>
            <w:vAlign w:val="center"/>
          </w:tcPr>
          <w:p w14:paraId="19EFF83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2609" w:type="dxa"/>
            <w:noWrap w:val="0"/>
            <w:vAlign w:val="center"/>
          </w:tcPr>
          <w:p w14:paraId="022412B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49</w:t>
            </w:r>
          </w:p>
        </w:tc>
      </w:tr>
      <w:tr w14:paraId="19952C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30BF5B0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11</w:t>
            </w:r>
          </w:p>
        </w:tc>
        <w:tc>
          <w:tcPr>
            <w:tcW w:w="3856" w:type="dxa"/>
            <w:noWrap w:val="0"/>
            <w:vAlign w:val="center"/>
          </w:tcPr>
          <w:p w14:paraId="163D865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工作台阶坡面角</w:t>
            </w:r>
          </w:p>
        </w:tc>
        <w:tc>
          <w:tcPr>
            <w:tcW w:w="1101" w:type="dxa"/>
            <w:noWrap w:val="0"/>
            <w:vAlign w:val="center"/>
          </w:tcPr>
          <w:p w14:paraId="45003DB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2609" w:type="dxa"/>
            <w:noWrap w:val="0"/>
            <w:vAlign w:val="center"/>
          </w:tcPr>
          <w:p w14:paraId="6C6EB13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75</w:t>
            </w:r>
          </w:p>
        </w:tc>
      </w:tr>
      <w:tr w14:paraId="0F88F3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434D9D6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12</w:t>
            </w:r>
          </w:p>
        </w:tc>
        <w:tc>
          <w:tcPr>
            <w:tcW w:w="3856" w:type="dxa"/>
            <w:noWrap w:val="0"/>
            <w:vAlign w:val="center"/>
          </w:tcPr>
          <w:p w14:paraId="2B5A03FE">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靠帮台阶坡面角</w:t>
            </w:r>
          </w:p>
        </w:tc>
        <w:tc>
          <w:tcPr>
            <w:tcW w:w="1101" w:type="dxa"/>
            <w:noWrap w:val="0"/>
            <w:vAlign w:val="center"/>
          </w:tcPr>
          <w:p w14:paraId="7A01720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w:t>
            </w:r>
          </w:p>
        </w:tc>
        <w:tc>
          <w:tcPr>
            <w:tcW w:w="2609" w:type="dxa"/>
            <w:noWrap w:val="0"/>
            <w:vAlign w:val="center"/>
          </w:tcPr>
          <w:p w14:paraId="60F2EB1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60</w:t>
            </w:r>
          </w:p>
        </w:tc>
      </w:tr>
      <w:tr w14:paraId="6A4640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24C108A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13</w:t>
            </w:r>
          </w:p>
        </w:tc>
        <w:tc>
          <w:tcPr>
            <w:tcW w:w="3856" w:type="dxa"/>
            <w:noWrap w:val="0"/>
            <w:vAlign w:val="center"/>
          </w:tcPr>
          <w:p w14:paraId="05DB39F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工作台阶高度</w:t>
            </w:r>
          </w:p>
        </w:tc>
        <w:tc>
          <w:tcPr>
            <w:tcW w:w="1101" w:type="dxa"/>
            <w:noWrap w:val="0"/>
            <w:vAlign w:val="center"/>
          </w:tcPr>
          <w:p w14:paraId="7E9B004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w:t>
            </w:r>
          </w:p>
        </w:tc>
        <w:tc>
          <w:tcPr>
            <w:tcW w:w="2609" w:type="dxa"/>
            <w:noWrap w:val="0"/>
            <w:vAlign w:val="center"/>
          </w:tcPr>
          <w:p w14:paraId="6240C9A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val="en-US" w:eastAsia="zh-CN"/>
              </w:rPr>
            </w:pPr>
            <w:r>
              <w:rPr>
                <w:rFonts w:hint="eastAsia" w:ascii="Times New Roman" w:hAnsi="Times New Roman" w:eastAsia="宋体" w:cs="Times New Roman"/>
                <w:sz w:val="21"/>
                <w:szCs w:val="21"/>
                <w:lang w:val="en-US" w:eastAsia="zh-CN"/>
              </w:rPr>
              <w:t>15</w:t>
            </w:r>
          </w:p>
        </w:tc>
      </w:tr>
      <w:tr w14:paraId="1CDE37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77EBA11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14</w:t>
            </w:r>
          </w:p>
        </w:tc>
        <w:tc>
          <w:tcPr>
            <w:tcW w:w="3856" w:type="dxa"/>
            <w:noWrap w:val="0"/>
            <w:vAlign w:val="center"/>
          </w:tcPr>
          <w:p w14:paraId="12D94E92">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安全平台宽度</w:t>
            </w:r>
          </w:p>
        </w:tc>
        <w:tc>
          <w:tcPr>
            <w:tcW w:w="1101" w:type="dxa"/>
            <w:noWrap w:val="0"/>
            <w:vAlign w:val="center"/>
          </w:tcPr>
          <w:p w14:paraId="711404F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w:t>
            </w:r>
          </w:p>
        </w:tc>
        <w:tc>
          <w:tcPr>
            <w:tcW w:w="2609" w:type="dxa"/>
            <w:noWrap w:val="0"/>
            <w:vAlign w:val="center"/>
          </w:tcPr>
          <w:p w14:paraId="7890C05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5</w:t>
            </w:r>
          </w:p>
        </w:tc>
      </w:tr>
      <w:tr w14:paraId="62DEEC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3D99654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15</w:t>
            </w:r>
          </w:p>
        </w:tc>
        <w:tc>
          <w:tcPr>
            <w:tcW w:w="3856" w:type="dxa"/>
            <w:noWrap w:val="0"/>
            <w:vAlign w:val="center"/>
          </w:tcPr>
          <w:p w14:paraId="0CC23A74">
            <w:pPr>
              <w:keepNext w:val="0"/>
              <w:keepLines w:val="0"/>
              <w:pageBreakBefore w:val="0"/>
              <w:kinsoku/>
              <w:wordWrap/>
              <w:overflowPunct/>
              <w:topLinePunct w:val="0"/>
              <w:autoSpaceDE/>
              <w:autoSpaceDN/>
              <w:bidi w:val="0"/>
              <w:adjustRightInd/>
              <w:snapToGrid/>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清扫平台宽度</w:t>
            </w:r>
          </w:p>
        </w:tc>
        <w:tc>
          <w:tcPr>
            <w:tcW w:w="1101" w:type="dxa"/>
            <w:noWrap w:val="0"/>
            <w:vAlign w:val="center"/>
          </w:tcPr>
          <w:p w14:paraId="7A9B0ED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m</w:t>
            </w:r>
          </w:p>
        </w:tc>
        <w:tc>
          <w:tcPr>
            <w:tcW w:w="2609" w:type="dxa"/>
            <w:noWrap w:val="0"/>
            <w:vAlign w:val="center"/>
          </w:tcPr>
          <w:p w14:paraId="502BC3A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lang w:eastAsia="zh-CN"/>
              </w:rPr>
            </w:pPr>
            <w:r>
              <w:rPr>
                <w:rFonts w:hint="eastAsia" w:ascii="Times New Roman" w:hAnsi="Times New Roman" w:eastAsia="宋体" w:cs="Times New Roman"/>
                <w:sz w:val="21"/>
                <w:szCs w:val="21"/>
                <w:lang w:val="en-US" w:eastAsia="zh-CN"/>
              </w:rPr>
              <w:t>8</w:t>
            </w:r>
          </w:p>
        </w:tc>
      </w:tr>
      <w:tr w14:paraId="16AE0C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1040" w:type="dxa"/>
            <w:noWrap w:val="0"/>
            <w:vAlign w:val="center"/>
          </w:tcPr>
          <w:p w14:paraId="56F00A8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sz w:val="21"/>
                <w:szCs w:val="21"/>
              </w:rPr>
            </w:pPr>
            <w:r>
              <w:rPr>
                <w:rFonts w:hint="default" w:ascii="Times New Roman" w:hAnsi="Times New Roman" w:eastAsia="宋体" w:cs="Times New Roman"/>
                <w:sz w:val="21"/>
                <w:szCs w:val="21"/>
              </w:rPr>
              <w:t>16</w:t>
            </w:r>
          </w:p>
        </w:tc>
        <w:tc>
          <w:tcPr>
            <w:tcW w:w="3856" w:type="dxa"/>
            <w:noWrap w:val="0"/>
            <w:vAlign w:val="center"/>
          </w:tcPr>
          <w:p w14:paraId="20F3C9B4">
            <w:pPr>
              <w:keepNext w:val="0"/>
              <w:keepLines w:val="0"/>
              <w:pageBreakBefore w:val="0"/>
              <w:widowControl/>
              <w:kinsoku/>
              <w:wordWrap/>
              <w:overflowPunct/>
              <w:topLinePunct w:val="0"/>
              <w:autoSpaceDE/>
              <w:autoSpaceDN/>
              <w:bidi w:val="0"/>
              <w:adjustRightInd/>
              <w:snapToGrid/>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rPr>
              <w:t>剥采比</w:t>
            </w:r>
          </w:p>
        </w:tc>
        <w:tc>
          <w:tcPr>
            <w:tcW w:w="1101" w:type="dxa"/>
            <w:noWrap w:val="0"/>
            <w:vAlign w:val="center"/>
          </w:tcPr>
          <w:p w14:paraId="3AD0BA84">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rPr>
            </w:pPr>
            <w:r>
              <w:rPr>
                <w:rFonts w:hint="default" w:ascii="Times New Roman" w:hAnsi="Times New Roman" w:eastAsia="宋体" w:cs="Times New Roman"/>
                <w:kern w:val="0"/>
                <w:sz w:val="21"/>
                <w:szCs w:val="21"/>
                <w:lang w:bidi="ar"/>
              </w:rPr>
              <w:t>m³/m³</w:t>
            </w:r>
          </w:p>
        </w:tc>
        <w:tc>
          <w:tcPr>
            <w:tcW w:w="2609" w:type="dxa"/>
            <w:noWrap w:val="0"/>
            <w:vAlign w:val="center"/>
          </w:tcPr>
          <w:p w14:paraId="4FDF9633">
            <w:pPr>
              <w:keepNext w:val="0"/>
              <w:keepLines w:val="0"/>
              <w:pageBreakBefore w:val="0"/>
              <w:widowControl/>
              <w:kinsoku/>
              <w:wordWrap/>
              <w:overflowPunct/>
              <w:topLinePunct w:val="0"/>
              <w:autoSpaceDE/>
              <w:autoSpaceDN/>
              <w:bidi w:val="0"/>
              <w:spacing w:line="240" w:lineRule="auto"/>
              <w:ind w:firstLine="0" w:firstLineChars="0"/>
              <w:jc w:val="center"/>
              <w:textAlignment w:val="top"/>
              <w:rPr>
                <w:rFonts w:hint="default" w:ascii="Times New Roman" w:hAnsi="Times New Roman" w:eastAsia="宋体" w:cs="Times New Roman"/>
                <w:sz w:val="21"/>
                <w:szCs w:val="21"/>
                <w:lang w:val="en-US" w:eastAsia="zh-CN"/>
              </w:rPr>
            </w:pPr>
            <w:r>
              <w:rPr>
                <w:rFonts w:hint="default" w:ascii="Times New Roman" w:hAnsi="Times New Roman" w:eastAsia="宋体" w:cs="Times New Roman"/>
                <w:kern w:val="0"/>
                <w:sz w:val="21"/>
                <w:szCs w:val="21"/>
                <w:lang w:val="en-US" w:eastAsia="zh-CN"/>
              </w:rPr>
              <w:t>0</w:t>
            </w:r>
            <w:r>
              <w:rPr>
                <w:rFonts w:hint="eastAsia" w:ascii="Times New Roman" w:hAnsi="Times New Roman" w:eastAsia="宋体" w:cs="Times New Roman"/>
                <w:kern w:val="0"/>
                <w:sz w:val="21"/>
                <w:szCs w:val="21"/>
                <w:lang w:val="en-US" w:eastAsia="zh-CN"/>
              </w:rPr>
              <w:t>.01</w:t>
            </w:r>
          </w:p>
        </w:tc>
      </w:tr>
    </w:tbl>
    <w:p w14:paraId="4CEB1F8C">
      <w:pPr>
        <w:numPr>
          <w:ilvl w:val="0"/>
          <w:numId w:val="0"/>
        </w:numPr>
        <w:bidi w:val="0"/>
        <w:ind w:firstLine="552" w:firstLineChars="200"/>
        <w:rPr>
          <w:rFonts w:hint="default"/>
        </w:rPr>
      </w:pPr>
    </w:p>
    <w:p w14:paraId="5BD5E059">
      <w:pPr>
        <w:widowControl w:val="0"/>
        <w:wordWrap/>
        <w:adjustRightInd w:val="0"/>
        <w:snapToGrid w:val="0"/>
        <w:spacing w:before="0" w:beforeLines="0" w:after="0" w:afterLines="0" w:line="240" w:lineRule="auto"/>
        <w:ind w:left="0" w:leftChars="0" w:right="0" w:firstLine="476" w:firstLineChars="201"/>
        <w:jc w:val="center"/>
        <w:textAlignment w:val="auto"/>
        <w:outlineLvl w:val="9"/>
        <w:rPr>
          <w:rFonts w:hint="default" w:ascii="Times New Roman" w:hAnsi="Times New Roman" w:eastAsia="宋体" w:cs="Times New Roman"/>
          <w:b/>
          <w:bCs/>
          <w:color w:val="auto"/>
          <w:sz w:val="24"/>
          <w:szCs w:val="24"/>
          <w:lang w:val="zh-TW" w:eastAsia="zh-TW"/>
        </w:rPr>
      </w:pPr>
      <w:r>
        <w:rPr>
          <w:rFonts w:hint="default" w:ascii="Times New Roman" w:hAnsi="Times New Roman" w:eastAsia="宋体" w:cs="Times New Roman"/>
          <w:b/>
          <w:bCs/>
          <w:color w:val="auto"/>
          <w:sz w:val="24"/>
          <w:szCs w:val="24"/>
          <w:lang w:val="zh-TW" w:eastAsia="zh-TW"/>
        </w:rPr>
        <w:t>表</w:t>
      </w:r>
      <w:r>
        <w:rPr>
          <w:rFonts w:hint="eastAsia" w:cs="Times New Roman"/>
          <w:b/>
          <w:bCs/>
          <w:color w:val="auto"/>
          <w:sz w:val="24"/>
          <w:szCs w:val="24"/>
          <w:lang w:val="en-US" w:eastAsia="zh-CN"/>
        </w:rPr>
        <w:t>2.4-3</w:t>
      </w:r>
      <w:r>
        <w:rPr>
          <w:rFonts w:hint="default" w:ascii="Times New Roman" w:hAnsi="Times New Roman" w:eastAsia="宋体" w:cs="Times New Roman"/>
          <w:b/>
          <w:bCs/>
          <w:color w:val="auto"/>
          <w:sz w:val="24"/>
          <w:szCs w:val="24"/>
        </w:rPr>
        <w:t xml:space="preserve">  </w:t>
      </w:r>
      <w:r>
        <w:rPr>
          <w:rFonts w:hint="default" w:ascii="Times New Roman" w:hAnsi="Times New Roman" w:eastAsia="宋体" w:cs="Times New Roman"/>
          <w:b/>
          <w:bCs/>
          <w:color w:val="auto"/>
          <w:sz w:val="24"/>
          <w:szCs w:val="24"/>
          <w:lang w:val="zh-TW"/>
        </w:rPr>
        <w:t>开采</w:t>
      </w:r>
      <w:r>
        <w:rPr>
          <w:rFonts w:hint="default" w:ascii="Times New Roman" w:hAnsi="Times New Roman" w:eastAsia="宋体" w:cs="Times New Roman"/>
          <w:b/>
          <w:bCs/>
          <w:color w:val="auto"/>
          <w:sz w:val="24"/>
          <w:szCs w:val="24"/>
          <w:lang w:val="zh-TW" w:eastAsia="zh-TW"/>
        </w:rPr>
        <w:t>境界设计</w:t>
      </w:r>
      <w:r>
        <w:rPr>
          <w:rFonts w:hint="default" w:ascii="Times New Roman" w:hAnsi="Times New Roman" w:eastAsia="宋体" w:cs="Times New Roman"/>
          <w:b/>
          <w:bCs/>
          <w:color w:val="auto"/>
          <w:sz w:val="24"/>
          <w:szCs w:val="24"/>
          <w:lang w:val="zh-TW"/>
        </w:rPr>
        <w:t>采出</w:t>
      </w:r>
      <w:r>
        <w:rPr>
          <w:rFonts w:hint="default" w:ascii="Times New Roman" w:hAnsi="Times New Roman" w:eastAsia="宋体" w:cs="Times New Roman"/>
          <w:b/>
          <w:bCs/>
          <w:color w:val="auto"/>
          <w:sz w:val="24"/>
          <w:szCs w:val="24"/>
          <w:lang w:val="zh-TW" w:eastAsia="zh-TW"/>
        </w:rPr>
        <w:t>各台阶矿岩量</w:t>
      </w:r>
      <w:r>
        <w:rPr>
          <w:rFonts w:hint="default" w:ascii="Times New Roman" w:hAnsi="Times New Roman" w:eastAsia="宋体" w:cs="Times New Roman"/>
          <w:b/>
          <w:bCs/>
          <w:color w:val="auto"/>
          <w:sz w:val="24"/>
          <w:szCs w:val="24"/>
          <w:lang w:val="zh-TW"/>
        </w:rPr>
        <w:t>及剥离</w:t>
      </w:r>
      <w:r>
        <w:rPr>
          <w:rFonts w:hint="default" w:ascii="Times New Roman" w:hAnsi="Times New Roman" w:eastAsia="宋体" w:cs="Times New Roman"/>
          <w:b/>
          <w:bCs/>
          <w:color w:val="auto"/>
          <w:sz w:val="24"/>
          <w:szCs w:val="24"/>
          <w:lang w:val="zh-TW" w:eastAsia="zh-TW"/>
        </w:rPr>
        <w:t>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801"/>
        <w:gridCol w:w="1565"/>
        <w:gridCol w:w="1282"/>
        <w:gridCol w:w="1242"/>
        <w:gridCol w:w="1228"/>
        <w:gridCol w:w="1089"/>
        <w:gridCol w:w="1187"/>
      </w:tblGrid>
      <w:tr w14:paraId="0DB576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01" w:type="dxa"/>
            <w:vMerge w:val="restart"/>
            <w:noWrap w:val="0"/>
            <w:tcMar>
              <w:top w:w="12" w:type="dxa"/>
              <w:left w:w="12" w:type="dxa"/>
              <w:right w:w="12" w:type="dxa"/>
            </w:tcMar>
            <w:vAlign w:val="center"/>
          </w:tcPr>
          <w:p w14:paraId="225779D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序号</w:t>
            </w:r>
          </w:p>
        </w:tc>
        <w:tc>
          <w:tcPr>
            <w:tcW w:w="1565" w:type="dxa"/>
            <w:vMerge w:val="restart"/>
            <w:noWrap w:val="0"/>
            <w:tcMar>
              <w:top w:w="12" w:type="dxa"/>
              <w:left w:w="12" w:type="dxa"/>
              <w:right w:w="12" w:type="dxa"/>
            </w:tcMar>
            <w:vAlign w:val="center"/>
          </w:tcPr>
          <w:p w14:paraId="5C0E596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lang w:val="en-US" w:eastAsia="zh-CN"/>
              </w:rPr>
              <w:t>台阶</w:t>
            </w:r>
            <w:r>
              <w:rPr>
                <w:rFonts w:hint="default" w:ascii="Times New Roman" w:hAnsi="Times New Roman" w:eastAsia="宋体" w:cs="Times New Roman"/>
                <w:b w:val="0"/>
                <w:bCs w:val="0"/>
                <w:sz w:val="21"/>
                <w:szCs w:val="21"/>
                <w:lang w:val="en-US" w:eastAsia="zh-CN"/>
              </w:rPr>
              <w:t>标高（m）</w:t>
            </w:r>
          </w:p>
        </w:tc>
        <w:tc>
          <w:tcPr>
            <w:tcW w:w="2524" w:type="dxa"/>
            <w:gridSpan w:val="2"/>
            <w:noWrap w:val="0"/>
            <w:tcMar>
              <w:top w:w="12" w:type="dxa"/>
              <w:left w:w="12" w:type="dxa"/>
              <w:right w:w="12" w:type="dxa"/>
            </w:tcMar>
            <w:vAlign w:val="center"/>
          </w:tcPr>
          <w:p w14:paraId="00D80B0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采出矿石量</w:t>
            </w:r>
          </w:p>
        </w:tc>
        <w:tc>
          <w:tcPr>
            <w:tcW w:w="1228" w:type="dxa"/>
            <w:noWrap w:val="0"/>
            <w:tcMar>
              <w:top w:w="12" w:type="dxa"/>
              <w:left w:w="12" w:type="dxa"/>
              <w:right w:w="12" w:type="dxa"/>
            </w:tcMar>
            <w:vAlign w:val="center"/>
          </w:tcPr>
          <w:p w14:paraId="7609C07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rPr>
            </w:pPr>
            <w:r>
              <w:rPr>
                <w:rFonts w:hint="default" w:ascii="Times New Roman" w:hAnsi="Times New Roman" w:eastAsia="宋体" w:cs="Times New Roman"/>
                <w:b w:val="0"/>
                <w:bCs w:val="0"/>
                <w:sz w:val="21"/>
                <w:szCs w:val="21"/>
                <w:lang w:val="en-US" w:eastAsia="zh-CN"/>
              </w:rPr>
              <w:t>剥采比</w:t>
            </w:r>
          </w:p>
        </w:tc>
        <w:tc>
          <w:tcPr>
            <w:tcW w:w="2276" w:type="dxa"/>
            <w:gridSpan w:val="2"/>
            <w:noWrap w:val="0"/>
            <w:tcMar>
              <w:top w:w="12" w:type="dxa"/>
              <w:left w:w="12" w:type="dxa"/>
              <w:right w:w="12" w:type="dxa"/>
            </w:tcMar>
            <w:vAlign w:val="center"/>
          </w:tcPr>
          <w:p w14:paraId="211B4FA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剥离量</w:t>
            </w:r>
          </w:p>
        </w:tc>
      </w:tr>
      <w:tr w14:paraId="50DAE9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tblHeader/>
          <w:jc w:val="center"/>
        </w:trPr>
        <w:tc>
          <w:tcPr>
            <w:tcW w:w="801" w:type="dxa"/>
            <w:vMerge w:val="continue"/>
            <w:noWrap w:val="0"/>
            <w:tcMar>
              <w:top w:w="12" w:type="dxa"/>
              <w:left w:w="12" w:type="dxa"/>
              <w:right w:w="12" w:type="dxa"/>
            </w:tcMar>
            <w:vAlign w:val="center"/>
          </w:tcPr>
          <w:p w14:paraId="55E89AE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rPr>
            </w:pPr>
          </w:p>
        </w:tc>
        <w:tc>
          <w:tcPr>
            <w:tcW w:w="1565" w:type="dxa"/>
            <w:vMerge w:val="continue"/>
            <w:noWrap w:val="0"/>
            <w:tcMar>
              <w:top w:w="12" w:type="dxa"/>
              <w:left w:w="12" w:type="dxa"/>
              <w:right w:w="12" w:type="dxa"/>
            </w:tcMar>
            <w:vAlign w:val="center"/>
          </w:tcPr>
          <w:p w14:paraId="5A21CF6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rPr>
            </w:pPr>
          </w:p>
        </w:tc>
        <w:tc>
          <w:tcPr>
            <w:tcW w:w="1282" w:type="dxa"/>
            <w:noWrap w:val="0"/>
            <w:tcMar>
              <w:top w:w="12" w:type="dxa"/>
              <w:left w:w="12" w:type="dxa"/>
              <w:right w:w="12" w:type="dxa"/>
            </w:tcMar>
            <w:vAlign w:val="center"/>
          </w:tcPr>
          <w:p w14:paraId="170E80C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万t</w:t>
            </w:r>
            <w:r>
              <w:rPr>
                <w:rFonts w:hint="eastAsia" w:ascii="Times New Roman" w:hAnsi="Times New Roman" w:eastAsia="宋体" w:cs="Times New Roman"/>
                <w:b w:val="0"/>
                <w:bCs w:val="0"/>
                <w:sz w:val="21"/>
                <w:szCs w:val="21"/>
                <w:lang w:val="en-US" w:eastAsia="zh-CN"/>
              </w:rPr>
              <w:t>）</w:t>
            </w:r>
          </w:p>
        </w:tc>
        <w:tc>
          <w:tcPr>
            <w:tcW w:w="1242" w:type="dxa"/>
            <w:noWrap w:val="0"/>
            <w:tcMar>
              <w:top w:w="12" w:type="dxa"/>
              <w:left w:w="12" w:type="dxa"/>
              <w:right w:w="12" w:type="dxa"/>
            </w:tcMar>
            <w:vAlign w:val="center"/>
          </w:tcPr>
          <w:p w14:paraId="62A258D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万m3</w:t>
            </w:r>
            <w:r>
              <w:rPr>
                <w:rFonts w:hint="eastAsia" w:ascii="Times New Roman" w:hAnsi="Times New Roman" w:eastAsia="宋体" w:cs="Times New Roman"/>
                <w:b w:val="0"/>
                <w:bCs w:val="0"/>
                <w:sz w:val="21"/>
                <w:szCs w:val="21"/>
                <w:lang w:val="en-US" w:eastAsia="zh-CN"/>
              </w:rPr>
              <w:t>）</w:t>
            </w:r>
          </w:p>
        </w:tc>
        <w:tc>
          <w:tcPr>
            <w:tcW w:w="1228" w:type="dxa"/>
            <w:noWrap w:val="0"/>
            <w:tcMar>
              <w:top w:w="12" w:type="dxa"/>
              <w:left w:w="12" w:type="dxa"/>
              <w:right w:w="12" w:type="dxa"/>
            </w:tcMar>
            <w:vAlign w:val="center"/>
          </w:tcPr>
          <w:p w14:paraId="4ACF44E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rPr>
            </w:pPr>
            <w:r>
              <w:rPr>
                <w:rFonts w:hint="eastAsia" w:ascii="Times New Roman" w:hAnsi="Times New Roman" w:eastAsia="宋体" w:cs="Times New Roman"/>
                <w:b w:val="0"/>
                <w:bCs w:val="0"/>
                <w:sz w:val="21"/>
                <w:szCs w:val="21"/>
                <w:lang w:val="en-US" w:eastAsia="zh-CN"/>
              </w:rPr>
              <w:t>（t</w:t>
            </w:r>
            <w:r>
              <w:rPr>
                <w:rFonts w:hint="default" w:ascii="Times New Roman" w:hAnsi="Times New Roman" w:eastAsia="宋体" w:cs="Times New Roman"/>
                <w:b w:val="0"/>
                <w:bCs w:val="0"/>
                <w:sz w:val="21"/>
                <w:szCs w:val="21"/>
                <w:lang w:val="en-US" w:eastAsia="zh-CN"/>
              </w:rPr>
              <w:t>/</w:t>
            </w:r>
            <w:r>
              <w:rPr>
                <w:rFonts w:hint="eastAsia" w:ascii="Times New Roman" w:hAnsi="Times New Roman" w:eastAsia="宋体" w:cs="Times New Roman"/>
                <w:b w:val="0"/>
                <w:bCs w:val="0"/>
                <w:sz w:val="21"/>
                <w:szCs w:val="21"/>
                <w:lang w:val="en-US" w:eastAsia="zh-CN"/>
              </w:rPr>
              <w:t>t）</w:t>
            </w:r>
          </w:p>
        </w:tc>
        <w:tc>
          <w:tcPr>
            <w:tcW w:w="1089" w:type="dxa"/>
            <w:noWrap w:val="0"/>
            <w:tcMar>
              <w:top w:w="12" w:type="dxa"/>
              <w:left w:w="12" w:type="dxa"/>
              <w:right w:w="12" w:type="dxa"/>
            </w:tcMar>
            <w:vAlign w:val="center"/>
          </w:tcPr>
          <w:p w14:paraId="5FDB58D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万t</w:t>
            </w:r>
            <w:r>
              <w:rPr>
                <w:rFonts w:hint="eastAsia" w:ascii="Times New Roman" w:hAnsi="Times New Roman" w:eastAsia="宋体" w:cs="Times New Roman"/>
                <w:b w:val="0"/>
                <w:bCs w:val="0"/>
                <w:sz w:val="21"/>
                <w:szCs w:val="21"/>
                <w:lang w:val="en-US" w:eastAsia="zh-CN"/>
              </w:rPr>
              <w:t>）</w:t>
            </w:r>
          </w:p>
        </w:tc>
        <w:tc>
          <w:tcPr>
            <w:tcW w:w="1187" w:type="dxa"/>
            <w:noWrap w:val="0"/>
            <w:tcMar>
              <w:top w:w="12" w:type="dxa"/>
              <w:left w:w="12" w:type="dxa"/>
              <w:right w:w="12" w:type="dxa"/>
            </w:tcMar>
            <w:vAlign w:val="center"/>
          </w:tcPr>
          <w:p w14:paraId="726233C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万m3</w:t>
            </w:r>
            <w:r>
              <w:rPr>
                <w:rFonts w:hint="eastAsia" w:ascii="Times New Roman" w:hAnsi="Times New Roman" w:eastAsia="宋体" w:cs="Times New Roman"/>
                <w:b w:val="0"/>
                <w:bCs w:val="0"/>
                <w:sz w:val="21"/>
                <w:szCs w:val="21"/>
                <w:lang w:val="en-US" w:eastAsia="zh-CN"/>
              </w:rPr>
              <w:t>）</w:t>
            </w:r>
          </w:p>
        </w:tc>
      </w:tr>
      <w:tr w14:paraId="56EC6F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7CAB4B3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w:t>
            </w:r>
          </w:p>
        </w:tc>
        <w:tc>
          <w:tcPr>
            <w:tcW w:w="1565" w:type="dxa"/>
            <w:noWrap w:val="0"/>
            <w:tcMar>
              <w:top w:w="12" w:type="dxa"/>
              <w:left w:w="12" w:type="dxa"/>
              <w:right w:w="12" w:type="dxa"/>
            </w:tcMar>
            <w:vAlign w:val="center"/>
          </w:tcPr>
          <w:p w14:paraId="57070CD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1720</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1705</w:t>
            </w:r>
          </w:p>
        </w:tc>
        <w:tc>
          <w:tcPr>
            <w:tcW w:w="1282" w:type="dxa"/>
            <w:noWrap w:val="0"/>
            <w:tcMar>
              <w:top w:w="12" w:type="dxa"/>
              <w:left w:w="12" w:type="dxa"/>
              <w:right w:w="12" w:type="dxa"/>
            </w:tcMar>
            <w:vAlign w:val="center"/>
          </w:tcPr>
          <w:p w14:paraId="3A277AE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0.05</w:t>
            </w:r>
          </w:p>
        </w:tc>
        <w:tc>
          <w:tcPr>
            <w:tcW w:w="1242" w:type="dxa"/>
            <w:noWrap w:val="0"/>
            <w:tcMar>
              <w:top w:w="12" w:type="dxa"/>
              <w:left w:w="12" w:type="dxa"/>
              <w:right w:w="12" w:type="dxa"/>
            </w:tcMar>
            <w:vAlign w:val="center"/>
          </w:tcPr>
          <w:p w14:paraId="7490038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0.02</w:t>
            </w:r>
          </w:p>
        </w:tc>
        <w:tc>
          <w:tcPr>
            <w:tcW w:w="1228" w:type="dxa"/>
            <w:noWrap w:val="0"/>
            <w:tcMar>
              <w:top w:w="12" w:type="dxa"/>
              <w:left w:w="12" w:type="dxa"/>
              <w:right w:w="12" w:type="dxa"/>
            </w:tcMar>
            <w:vAlign w:val="center"/>
          </w:tcPr>
          <w:p w14:paraId="3ED5FB7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0C8AEB0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0.02</w:t>
            </w:r>
          </w:p>
        </w:tc>
        <w:tc>
          <w:tcPr>
            <w:tcW w:w="1187" w:type="dxa"/>
            <w:noWrap w:val="0"/>
            <w:tcMar>
              <w:top w:w="12" w:type="dxa"/>
              <w:left w:w="12" w:type="dxa"/>
              <w:right w:w="12" w:type="dxa"/>
            </w:tcMar>
            <w:vAlign w:val="center"/>
          </w:tcPr>
          <w:p w14:paraId="218A350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r>
      <w:tr w14:paraId="24285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5AB896B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w:t>
            </w:r>
          </w:p>
        </w:tc>
        <w:tc>
          <w:tcPr>
            <w:tcW w:w="1565" w:type="dxa"/>
            <w:noWrap w:val="0"/>
            <w:tcMar>
              <w:top w:w="12" w:type="dxa"/>
              <w:left w:w="12" w:type="dxa"/>
              <w:right w:w="12" w:type="dxa"/>
            </w:tcMar>
            <w:vAlign w:val="center"/>
          </w:tcPr>
          <w:p w14:paraId="4C864A8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1705</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1690</w:t>
            </w:r>
          </w:p>
        </w:tc>
        <w:tc>
          <w:tcPr>
            <w:tcW w:w="1282" w:type="dxa"/>
            <w:noWrap w:val="0"/>
            <w:tcMar>
              <w:top w:w="12" w:type="dxa"/>
              <w:left w:w="12" w:type="dxa"/>
              <w:right w:w="12" w:type="dxa"/>
            </w:tcMar>
            <w:vAlign w:val="center"/>
          </w:tcPr>
          <w:p w14:paraId="713F2CD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0.10</w:t>
            </w:r>
          </w:p>
        </w:tc>
        <w:tc>
          <w:tcPr>
            <w:tcW w:w="1242" w:type="dxa"/>
            <w:noWrap w:val="0"/>
            <w:tcMar>
              <w:top w:w="12" w:type="dxa"/>
              <w:left w:w="12" w:type="dxa"/>
              <w:right w:w="12" w:type="dxa"/>
            </w:tcMar>
            <w:vAlign w:val="center"/>
          </w:tcPr>
          <w:p w14:paraId="39D6BAB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0.04</w:t>
            </w:r>
          </w:p>
        </w:tc>
        <w:tc>
          <w:tcPr>
            <w:tcW w:w="1228" w:type="dxa"/>
            <w:noWrap w:val="0"/>
            <w:tcMar>
              <w:top w:w="12" w:type="dxa"/>
              <w:left w:w="12" w:type="dxa"/>
              <w:right w:w="12" w:type="dxa"/>
            </w:tcMar>
            <w:vAlign w:val="center"/>
          </w:tcPr>
          <w:p w14:paraId="16683B3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536F624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0.03</w:t>
            </w:r>
          </w:p>
        </w:tc>
        <w:tc>
          <w:tcPr>
            <w:tcW w:w="1187" w:type="dxa"/>
            <w:noWrap w:val="0"/>
            <w:tcMar>
              <w:top w:w="12" w:type="dxa"/>
              <w:left w:w="12" w:type="dxa"/>
              <w:right w:w="12" w:type="dxa"/>
            </w:tcMar>
            <w:vAlign w:val="center"/>
          </w:tcPr>
          <w:p w14:paraId="57F0326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0.02</w:t>
            </w:r>
          </w:p>
        </w:tc>
      </w:tr>
      <w:tr w14:paraId="7CF8D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2F0ABED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3</w:t>
            </w:r>
          </w:p>
        </w:tc>
        <w:tc>
          <w:tcPr>
            <w:tcW w:w="1565" w:type="dxa"/>
            <w:noWrap w:val="0"/>
            <w:tcMar>
              <w:top w:w="12" w:type="dxa"/>
              <w:left w:w="12" w:type="dxa"/>
              <w:right w:w="12" w:type="dxa"/>
            </w:tcMar>
            <w:vAlign w:val="center"/>
          </w:tcPr>
          <w:p w14:paraId="007AAFC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1690</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1675</w:t>
            </w:r>
          </w:p>
        </w:tc>
        <w:tc>
          <w:tcPr>
            <w:tcW w:w="1282" w:type="dxa"/>
            <w:noWrap w:val="0"/>
            <w:tcMar>
              <w:top w:w="12" w:type="dxa"/>
              <w:left w:w="12" w:type="dxa"/>
              <w:right w:w="12" w:type="dxa"/>
            </w:tcMar>
            <w:vAlign w:val="center"/>
          </w:tcPr>
          <w:p w14:paraId="53DF382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0.28</w:t>
            </w:r>
          </w:p>
        </w:tc>
        <w:tc>
          <w:tcPr>
            <w:tcW w:w="1242" w:type="dxa"/>
            <w:noWrap w:val="0"/>
            <w:tcMar>
              <w:top w:w="12" w:type="dxa"/>
              <w:left w:w="12" w:type="dxa"/>
              <w:right w:w="12" w:type="dxa"/>
            </w:tcMar>
            <w:vAlign w:val="center"/>
          </w:tcPr>
          <w:p w14:paraId="608F173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0.11</w:t>
            </w:r>
          </w:p>
        </w:tc>
        <w:tc>
          <w:tcPr>
            <w:tcW w:w="1228" w:type="dxa"/>
            <w:noWrap w:val="0"/>
            <w:tcMar>
              <w:top w:w="12" w:type="dxa"/>
              <w:left w:w="12" w:type="dxa"/>
              <w:right w:w="12" w:type="dxa"/>
            </w:tcMar>
            <w:vAlign w:val="center"/>
          </w:tcPr>
          <w:p w14:paraId="0559CDE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058121C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0.06</w:t>
            </w:r>
          </w:p>
        </w:tc>
        <w:tc>
          <w:tcPr>
            <w:tcW w:w="1187" w:type="dxa"/>
            <w:noWrap w:val="0"/>
            <w:tcMar>
              <w:top w:w="12" w:type="dxa"/>
              <w:left w:w="12" w:type="dxa"/>
              <w:right w:w="12" w:type="dxa"/>
            </w:tcMar>
            <w:vAlign w:val="center"/>
          </w:tcPr>
          <w:p w14:paraId="3FE332C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0.04</w:t>
            </w:r>
          </w:p>
        </w:tc>
      </w:tr>
      <w:tr w14:paraId="5DDB7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16D5F10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4</w:t>
            </w:r>
          </w:p>
        </w:tc>
        <w:tc>
          <w:tcPr>
            <w:tcW w:w="1565" w:type="dxa"/>
            <w:noWrap w:val="0"/>
            <w:tcMar>
              <w:top w:w="12" w:type="dxa"/>
              <w:left w:w="12" w:type="dxa"/>
              <w:right w:w="12" w:type="dxa"/>
            </w:tcMar>
            <w:vAlign w:val="center"/>
          </w:tcPr>
          <w:p w14:paraId="40EAAC1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1675</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1660</w:t>
            </w:r>
          </w:p>
        </w:tc>
        <w:tc>
          <w:tcPr>
            <w:tcW w:w="1282" w:type="dxa"/>
            <w:noWrap w:val="0"/>
            <w:tcMar>
              <w:top w:w="12" w:type="dxa"/>
              <w:left w:w="12" w:type="dxa"/>
              <w:right w:w="12" w:type="dxa"/>
            </w:tcMar>
            <w:vAlign w:val="center"/>
          </w:tcPr>
          <w:p w14:paraId="758831F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9.65</w:t>
            </w:r>
          </w:p>
        </w:tc>
        <w:tc>
          <w:tcPr>
            <w:tcW w:w="1242" w:type="dxa"/>
            <w:noWrap w:val="0"/>
            <w:tcMar>
              <w:top w:w="12" w:type="dxa"/>
              <w:left w:w="12" w:type="dxa"/>
              <w:right w:w="12" w:type="dxa"/>
            </w:tcMar>
            <w:vAlign w:val="center"/>
          </w:tcPr>
          <w:p w14:paraId="2806515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3.83</w:t>
            </w:r>
          </w:p>
        </w:tc>
        <w:tc>
          <w:tcPr>
            <w:tcW w:w="1228" w:type="dxa"/>
            <w:noWrap w:val="0"/>
            <w:tcMar>
              <w:top w:w="12" w:type="dxa"/>
              <w:left w:w="12" w:type="dxa"/>
              <w:right w:w="12" w:type="dxa"/>
            </w:tcMar>
            <w:vAlign w:val="center"/>
          </w:tcPr>
          <w:p w14:paraId="4450D35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158CC40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0.18</w:t>
            </w:r>
          </w:p>
        </w:tc>
        <w:tc>
          <w:tcPr>
            <w:tcW w:w="1187" w:type="dxa"/>
            <w:noWrap w:val="0"/>
            <w:tcMar>
              <w:top w:w="12" w:type="dxa"/>
              <w:left w:w="12" w:type="dxa"/>
              <w:right w:w="12" w:type="dxa"/>
            </w:tcMar>
            <w:vAlign w:val="center"/>
          </w:tcPr>
          <w:p w14:paraId="1F05215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0.12</w:t>
            </w:r>
          </w:p>
        </w:tc>
      </w:tr>
      <w:tr w14:paraId="4CA8C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6E28E62D">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5</w:t>
            </w:r>
          </w:p>
        </w:tc>
        <w:tc>
          <w:tcPr>
            <w:tcW w:w="1565" w:type="dxa"/>
            <w:noWrap w:val="0"/>
            <w:tcMar>
              <w:top w:w="12" w:type="dxa"/>
              <w:left w:w="12" w:type="dxa"/>
              <w:right w:w="12" w:type="dxa"/>
            </w:tcMar>
            <w:vAlign w:val="center"/>
          </w:tcPr>
          <w:p w14:paraId="28B32E7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1660</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1645</w:t>
            </w:r>
          </w:p>
        </w:tc>
        <w:tc>
          <w:tcPr>
            <w:tcW w:w="1282" w:type="dxa"/>
            <w:noWrap w:val="0"/>
            <w:tcMar>
              <w:top w:w="12" w:type="dxa"/>
              <w:left w:w="12" w:type="dxa"/>
              <w:right w:w="12" w:type="dxa"/>
            </w:tcMar>
            <w:vAlign w:val="center"/>
          </w:tcPr>
          <w:p w14:paraId="553ED24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60.05</w:t>
            </w:r>
          </w:p>
        </w:tc>
        <w:tc>
          <w:tcPr>
            <w:tcW w:w="1242" w:type="dxa"/>
            <w:noWrap w:val="0"/>
            <w:tcMar>
              <w:top w:w="12" w:type="dxa"/>
              <w:left w:w="12" w:type="dxa"/>
              <w:right w:w="12" w:type="dxa"/>
            </w:tcMar>
            <w:vAlign w:val="center"/>
          </w:tcPr>
          <w:p w14:paraId="5D6EC75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23.83</w:t>
            </w:r>
          </w:p>
        </w:tc>
        <w:tc>
          <w:tcPr>
            <w:tcW w:w="1228" w:type="dxa"/>
            <w:noWrap w:val="0"/>
            <w:tcMar>
              <w:top w:w="12" w:type="dxa"/>
              <w:left w:w="12" w:type="dxa"/>
              <w:right w:w="12" w:type="dxa"/>
            </w:tcMar>
            <w:vAlign w:val="center"/>
          </w:tcPr>
          <w:p w14:paraId="31B39F6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5154F2D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0.27</w:t>
            </w:r>
          </w:p>
        </w:tc>
        <w:tc>
          <w:tcPr>
            <w:tcW w:w="1187" w:type="dxa"/>
            <w:noWrap w:val="0"/>
            <w:tcMar>
              <w:top w:w="12" w:type="dxa"/>
              <w:left w:w="12" w:type="dxa"/>
              <w:right w:w="12" w:type="dxa"/>
            </w:tcMar>
            <w:vAlign w:val="center"/>
          </w:tcPr>
          <w:p w14:paraId="2C5DE61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0.18</w:t>
            </w:r>
          </w:p>
        </w:tc>
      </w:tr>
      <w:tr w14:paraId="1B82CC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069640B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6</w:t>
            </w:r>
          </w:p>
        </w:tc>
        <w:tc>
          <w:tcPr>
            <w:tcW w:w="1565" w:type="dxa"/>
            <w:noWrap w:val="0"/>
            <w:tcMar>
              <w:top w:w="12" w:type="dxa"/>
              <w:left w:w="12" w:type="dxa"/>
              <w:right w:w="12" w:type="dxa"/>
            </w:tcMar>
            <w:vAlign w:val="center"/>
          </w:tcPr>
          <w:p w14:paraId="6585814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1645</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1630</w:t>
            </w:r>
          </w:p>
        </w:tc>
        <w:tc>
          <w:tcPr>
            <w:tcW w:w="1282" w:type="dxa"/>
            <w:noWrap w:val="0"/>
            <w:tcMar>
              <w:top w:w="12" w:type="dxa"/>
              <w:left w:w="12" w:type="dxa"/>
              <w:right w:w="12" w:type="dxa"/>
            </w:tcMar>
            <w:vAlign w:val="center"/>
          </w:tcPr>
          <w:p w14:paraId="6A76614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54.56</w:t>
            </w:r>
          </w:p>
        </w:tc>
        <w:tc>
          <w:tcPr>
            <w:tcW w:w="1242" w:type="dxa"/>
            <w:noWrap w:val="0"/>
            <w:tcMar>
              <w:top w:w="12" w:type="dxa"/>
              <w:left w:w="12" w:type="dxa"/>
              <w:right w:w="12" w:type="dxa"/>
            </w:tcMar>
            <w:vAlign w:val="center"/>
          </w:tcPr>
          <w:p w14:paraId="37FB9EC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21.65</w:t>
            </w:r>
          </w:p>
        </w:tc>
        <w:tc>
          <w:tcPr>
            <w:tcW w:w="1228" w:type="dxa"/>
            <w:noWrap w:val="0"/>
            <w:tcMar>
              <w:top w:w="12" w:type="dxa"/>
              <w:left w:w="12" w:type="dxa"/>
              <w:right w:w="12" w:type="dxa"/>
            </w:tcMar>
            <w:vAlign w:val="center"/>
          </w:tcPr>
          <w:p w14:paraId="301E0D09">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19116F21">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0.23</w:t>
            </w:r>
          </w:p>
        </w:tc>
        <w:tc>
          <w:tcPr>
            <w:tcW w:w="1187" w:type="dxa"/>
            <w:noWrap w:val="0"/>
            <w:tcMar>
              <w:top w:w="12" w:type="dxa"/>
              <w:left w:w="12" w:type="dxa"/>
              <w:right w:w="12" w:type="dxa"/>
            </w:tcMar>
            <w:vAlign w:val="center"/>
          </w:tcPr>
          <w:p w14:paraId="0C76650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0.15</w:t>
            </w:r>
          </w:p>
        </w:tc>
      </w:tr>
      <w:tr w14:paraId="146B5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676C617C">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7</w:t>
            </w:r>
          </w:p>
        </w:tc>
        <w:tc>
          <w:tcPr>
            <w:tcW w:w="1565" w:type="dxa"/>
            <w:noWrap w:val="0"/>
            <w:tcMar>
              <w:top w:w="12" w:type="dxa"/>
              <w:left w:w="12" w:type="dxa"/>
              <w:right w:w="12" w:type="dxa"/>
            </w:tcMar>
            <w:vAlign w:val="center"/>
          </w:tcPr>
          <w:p w14:paraId="156A509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1630</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1615</w:t>
            </w:r>
          </w:p>
        </w:tc>
        <w:tc>
          <w:tcPr>
            <w:tcW w:w="1282" w:type="dxa"/>
            <w:noWrap w:val="0"/>
            <w:tcMar>
              <w:top w:w="12" w:type="dxa"/>
              <w:left w:w="12" w:type="dxa"/>
              <w:right w:w="12" w:type="dxa"/>
            </w:tcMar>
            <w:vAlign w:val="center"/>
          </w:tcPr>
          <w:p w14:paraId="3C0F418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16.53</w:t>
            </w:r>
          </w:p>
        </w:tc>
        <w:tc>
          <w:tcPr>
            <w:tcW w:w="1242" w:type="dxa"/>
            <w:noWrap w:val="0"/>
            <w:tcMar>
              <w:top w:w="12" w:type="dxa"/>
              <w:left w:w="12" w:type="dxa"/>
              <w:right w:w="12" w:type="dxa"/>
            </w:tcMar>
            <w:vAlign w:val="center"/>
          </w:tcPr>
          <w:p w14:paraId="61C8E2A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6.56</w:t>
            </w:r>
          </w:p>
        </w:tc>
        <w:tc>
          <w:tcPr>
            <w:tcW w:w="1228" w:type="dxa"/>
            <w:noWrap w:val="0"/>
            <w:tcMar>
              <w:top w:w="12" w:type="dxa"/>
              <w:left w:w="12" w:type="dxa"/>
              <w:right w:w="12" w:type="dxa"/>
            </w:tcMar>
            <w:vAlign w:val="center"/>
          </w:tcPr>
          <w:p w14:paraId="3D2832F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09460D8B">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0.12</w:t>
            </w:r>
          </w:p>
        </w:tc>
        <w:tc>
          <w:tcPr>
            <w:tcW w:w="1187" w:type="dxa"/>
            <w:noWrap w:val="0"/>
            <w:tcMar>
              <w:top w:w="12" w:type="dxa"/>
              <w:left w:w="12" w:type="dxa"/>
              <w:right w:w="12" w:type="dxa"/>
            </w:tcMar>
            <w:vAlign w:val="center"/>
          </w:tcPr>
          <w:p w14:paraId="5CA6F993">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0.08</w:t>
            </w:r>
          </w:p>
        </w:tc>
      </w:tr>
      <w:tr w14:paraId="037E40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5E126AE4">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8</w:t>
            </w:r>
          </w:p>
        </w:tc>
        <w:tc>
          <w:tcPr>
            <w:tcW w:w="1565" w:type="dxa"/>
            <w:noWrap w:val="0"/>
            <w:tcMar>
              <w:top w:w="12" w:type="dxa"/>
              <w:left w:w="12" w:type="dxa"/>
              <w:right w:w="12" w:type="dxa"/>
            </w:tcMar>
            <w:vAlign w:val="center"/>
          </w:tcPr>
          <w:p w14:paraId="0A0AD0CF">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1615</w:t>
            </w:r>
            <w:r>
              <w:rPr>
                <w:rFonts w:hint="eastAsia" w:ascii="Times New Roman" w:hAnsi="Times New Roman" w:eastAsia="宋体" w:cs="Times New Roman"/>
                <w:b w:val="0"/>
                <w:bCs w:val="0"/>
                <w:sz w:val="21"/>
                <w:szCs w:val="21"/>
                <w:lang w:val="en-US" w:eastAsia="zh-CN"/>
              </w:rPr>
              <w:t>～</w:t>
            </w:r>
            <w:r>
              <w:rPr>
                <w:rFonts w:hint="default" w:ascii="Times New Roman" w:hAnsi="Times New Roman" w:eastAsia="宋体" w:cs="Times New Roman"/>
                <w:b w:val="0"/>
                <w:bCs w:val="0"/>
                <w:sz w:val="21"/>
                <w:szCs w:val="21"/>
                <w:lang w:val="en-US" w:eastAsia="zh-CN"/>
              </w:rPr>
              <w:t>1607</w:t>
            </w:r>
          </w:p>
        </w:tc>
        <w:tc>
          <w:tcPr>
            <w:tcW w:w="1282" w:type="dxa"/>
            <w:noWrap w:val="0"/>
            <w:tcMar>
              <w:top w:w="12" w:type="dxa"/>
              <w:left w:w="12" w:type="dxa"/>
              <w:right w:w="12" w:type="dxa"/>
            </w:tcMar>
            <w:vAlign w:val="center"/>
          </w:tcPr>
          <w:p w14:paraId="3899A59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3.66</w:t>
            </w:r>
          </w:p>
        </w:tc>
        <w:tc>
          <w:tcPr>
            <w:tcW w:w="1242" w:type="dxa"/>
            <w:noWrap w:val="0"/>
            <w:tcMar>
              <w:top w:w="12" w:type="dxa"/>
              <w:left w:w="12" w:type="dxa"/>
              <w:right w:w="12" w:type="dxa"/>
            </w:tcMar>
            <w:vAlign w:val="center"/>
          </w:tcPr>
          <w:p w14:paraId="65DA1F30">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1.45</w:t>
            </w:r>
          </w:p>
        </w:tc>
        <w:tc>
          <w:tcPr>
            <w:tcW w:w="1228" w:type="dxa"/>
            <w:noWrap w:val="0"/>
            <w:tcMar>
              <w:top w:w="12" w:type="dxa"/>
              <w:left w:w="12" w:type="dxa"/>
              <w:right w:w="12" w:type="dxa"/>
            </w:tcMar>
            <w:vAlign w:val="center"/>
          </w:tcPr>
          <w:p w14:paraId="7E60A748">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0.01</w:t>
            </w:r>
          </w:p>
        </w:tc>
        <w:tc>
          <w:tcPr>
            <w:tcW w:w="1089" w:type="dxa"/>
            <w:noWrap w:val="0"/>
            <w:tcMar>
              <w:top w:w="12" w:type="dxa"/>
              <w:left w:w="12" w:type="dxa"/>
              <w:right w:w="12" w:type="dxa"/>
            </w:tcMar>
            <w:vAlign w:val="center"/>
          </w:tcPr>
          <w:p w14:paraId="578446B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0.06</w:t>
            </w:r>
          </w:p>
        </w:tc>
        <w:tc>
          <w:tcPr>
            <w:tcW w:w="1187" w:type="dxa"/>
            <w:noWrap w:val="0"/>
            <w:tcMar>
              <w:top w:w="12" w:type="dxa"/>
              <w:left w:w="12" w:type="dxa"/>
              <w:right w:w="12" w:type="dxa"/>
            </w:tcMar>
            <w:vAlign w:val="center"/>
          </w:tcPr>
          <w:p w14:paraId="2D40D747">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0.04</w:t>
            </w:r>
          </w:p>
        </w:tc>
      </w:tr>
      <w:tr w14:paraId="720FCC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40" w:hRule="atLeast"/>
          <w:jc w:val="center"/>
        </w:trPr>
        <w:tc>
          <w:tcPr>
            <w:tcW w:w="801" w:type="dxa"/>
            <w:noWrap w:val="0"/>
            <w:tcMar>
              <w:top w:w="12" w:type="dxa"/>
              <w:left w:w="12" w:type="dxa"/>
              <w:right w:w="12" w:type="dxa"/>
            </w:tcMar>
            <w:vAlign w:val="center"/>
          </w:tcPr>
          <w:p w14:paraId="11890518">
            <w:pPr>
              <w:keepNext w:val="0"/>
              <w:keepLines w:val="0"/>
              <w:pageBreakBefore w:val="0"/>
              <w:kinsoku/>
              <w:wordWrap/>
              <w:overflowPunct/>
              <w:topLinePunct w:val="0"/>
              <w:autoSpaceDE/>
              <w:autoSpaceDN/>
              <w:bidi w:val="0"/>
              <w:spacing w:line="240" w:lineRule="auto"/>
              <w:ind w:firstLine="0" w:firstLineChars="0"/>
              <w:jc w:val="center"/>
              <w:rPr>
                <w:rFonts w:hint="eastAsia" w:ascii="Times New Roman" w:hAnsi="Times New Roman" w:eastAsia="宋体" w:cs="Times New Roman"/>
                <w:b w:val="0"/>
                <w:bCs w:val="0"/>
                <w:sz w:val="21"/>
                <w:szCs w:val="21"/>
                <w:lang w:val="en-US" w:eastAsia="zh-CN"/>
              </w:rPr>
            </w:pPr>
            <w:r>
              <w:rPr>
                <w:rFonts w:hint="eastAsia" w:ascii="Times New Roman" w:hAnsi="Times New Roman" w:eastAsia="宋体" w:cs="Times New Roman"/>
                <w:b w:val="0"/>
                <w:bCs w:val="0"/>
                <w:sz w:val="21"/>
                <w:szCs w:val="21"/>
                <w:lang w:val="en-US" w:eastAsia="zh-CN"/>
              </w:rPr>
              <w:t>9</w:t>
            </w:r>
          </w:p>
        </w:tc>
        <w:tc>
          <w:tcPr>
            <w:tcW w:w="1565" w:type="dxa"/>
            <w:noWrap w:val="0"/>
            <w:tcMar>
              <w:top w:w="12" w:type="dxa"/>
              <w:left w:w="12" w:type="dxa"/>
              <w:right w:w="12" w:type="dxa"/>
            </w:tcMar>
            <w:vAlign w:val="center"/>
          </w:tcPr>
          <w:p w14:paraId="77085766">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合计</w:t>
            </w:r>
          </w:p>
        </w:tc>
        <w:tc>
          <w:tcPr>
            <w:tcW w:w="1282" w:type="dxa"/>
            <w:noWrap w:val="0"/>
            <w:tcMar>
              <w:top w:w="12" w:type="dxa"/>
              <w:left w:w="12" w:type="dxa"/>
              <w:right w:w="12" w:type="dxa"/>
            </w:tcMar>
            <w:vAlign w:val="center"/>
          </w:tcPr>
          <w:p w14:paraId="3CC349A5">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144.88</w:t>
            </w:r>
          </w:p>
        </w:tc>
        <w:tc>
          <w:tcPr>
            <w:tcW w:w="1242" w:type="dxa"/>
            <w:noWrap w:val="0"/>
            <w:tcMar>
              <w:top w:w="12" w:type="dxa"/>
              <w:left w:w="12" w:type="dxa"/>
              <w:right w:w="12" w:type="dxa"/>
            </w:tcMar>
            <w:vAlign w:val="center"/>
          </w:tcPr>
          <w:p w14:paraId="37CF4CAA">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57.49</w:t>
            </w:r>
          </w:p>
        </w:tc>
        <w:tc>
          <w:tcPr>
            <w:tcW w:w="1228" w:type="dxa"/>
            <w:noWrap w:val="0"/>
            <w:tcMar>
              <w:top w:w="12" w:type="dxa"/>
              <w:left w:w="12" w:type="dxa"/>
              <w:right w:w="12" w:type="dxa"/>
            </w:tcMar>
            <w:vAlign w:val="center"/>
          </w:tcPr>
          <w:p w14:paraId="606C62EE">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0.0</w:t>
            </w:r>
            <w:r>
              <w:rPr>
                <w:rFonts w:hint="eastAsia" w:ascii="Times New Roman" w:hAnsi="Times New Roman" w:eastAsia="宋体" w:cs="Times New Roman"/>
                <w:b w:val="0"/>
                <w:bCs w:val="0"/>
                <w:sz w:val="21"/>
                <w:szCs w:val="21"/>
                <w:lang w:val="en-US" w:eastAsia="zh-CN"/>
              </w:rPr>
              <w:t>1</w:t>
            </w:r>
          </w:p>
        </w:tc>
        <w:tc>
          <w:tcPr>
            <w:tcW w:w="1089" w:type="dxa"/>
            <w:noWrap w:val="0"/>
            <w:tcMar>
              <w:top w:w="12" w:type="dxa"/>
              <w:left w:w="12" w:type="dxa"/>
              <w:right w:w="12" w:type="dxa"/>
            </w:tcMar>
            <w:vAlign w:val="center"/>
          </w:tcPr>
          <w:p w14:paraId="24C2029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0.96</w:t>
            </w:r>
          </w:p>
        </w:tc>
        <w:tc>
          <w:tcPr>
            <w:tcW w:w="1187" w:type="dxa"/>
            <w:noWrap w:val="0"/>
            <w:tcMar>
              <w:top w:w="12" w:type="dxa"/>
              <w:left w:w="12" w:type="dxa"/>
              <w:right w:w="12" w:type="dxa"/>
            </w:tcMar>
            <w:vAlign w:val="center"/>
          </w:tcPr>
          <w:p w14:paraId="5FA5A662">
            <w:pPr>
              <w:keepNext w:val="0"/>
              <w:keepLines w:val="0"/>
              <w:pageBreakBefore w:val="0"/>
              <w:kinsoku/>
              <w:wordWrap/>
              <w:overflowPunct/>
              <w:topLinePunct w:val="0"/>
              <w:autoSpaceDE/>
              <w:autoSpaceDN/>
              <w:bidi w:val="0"/>
              <w:spacing w:line="240" w:lineRule="auto"/>
              <w:ind w:firstLine="0" w:firstLineChars="0"/>
              <w:jc w:val="center"/>
              <w:rPr>
                <w:rFonts w:hint="default" w:ascii="Times New Roman" w:hAnsi="Times New Roman" w:eastAsia="宋体" w:cs="Times New Roman"/>
                <w:b w:val="0"/>
                <w:bCs w:val="0"/>
                <w:sz w:val="21"/>
                <w:szCs w:val="21"/>
                <w:lang w:val="en-US" w:eastAsia="zh-CN"/>
              </w:rPr>
            </w:pPr>
            <w:r>
              <w:rPr>
                <w:rFonts w:hint="default" w:ascii="Times New Roman" w:hAnsi="Times New Roman" w:eastAsia="宋体" w:cs="Times New Roman"/>
                <w:b w:val="0"/>
                <w:bCs w:val="0"/>
                <w:sz w:val="21"/>
                <w:szCs w:val="21"/>
                <w:lang w:val="en-US" w:eastAsia="zh-CN"/>
              </w:rPr>
              <w:t>0.64</w:t>
            </w:r>
          </w:p>
        </w:tc>
      </w:tr>
    </w:tbl>
    <w:p w14:paraId="4AC2D623">
      <w:pPr>
        <w:rPr>
          <w:rFonts w:hint="eastAsia" w:eastAsia="宋体"/>
          <w:color w:val="auto"/>
          <w:lang w:eastAsia="zh-CN"/>
        </w:rPr>
      </w:pPr>
      <w:r>
        <w:rPr>
          <w:rFonts w:hint="default" w:ascii="Times New Roman" w:hAnsi="Times New Roman" w:eastAsia="宋体" w:cs="Times New Roman"/>
          <w:color w:val="auto"/>
          <w:sz w:val="24"/>
          <w:szCs w:val="24"/>
          <w:lang w:val="zh-TW" w:eastAsia="zh-TW"/>
        </w:rPr>
        <w:t>注：（1</w:t>
      </w:r>
      <w:r>
        <w:rPr>
          <w:rFonts w:hint="default" w:ascii="Times New Roman" w:hAnsi="Times New Roman" w:eastAsia="宋体" w:cs="Times New Roman"/>
          <w:color w:val="auto"/>
          <w:sz w:val="24"/>
          <w:szCs w:val="24"/>
          <w:lang w:val="zh-TW"/>
        </w:rPr>
        <w:t>）</w:t>
      </w:r>
      <w:r>
        <w:rPr>
          <w:rFonts w:hint="default" w:ascii="Times New Roman" w:hAnsi="Times New Roman" w:eastAsia="宋体" w:cs="Times New Roman"/>
          <w:color w:val="auto"/>
          <w:sz w:val="24"/>
          <w:szCs w:val="24"/>
          <w:lang w:val="zh-TW" w:eastAsia="zh-TW"/>
        </w:rPr>
        <w:t>矿山</w:t>
      </w:r>
      <w:r>
        <w:rPr>
          <w:rFonts w:hint="eastAsia" w:cs="Times New Roman"/>
          <w:color w:val="auto"/>
          <w:sz w:val="24"/>
          <w:szCs w:val="24"/>
          <w:lang w:val="zh-TW" w:eastAsia="zh-CN"/>
        </w:rPr>
        <w:t>设计生产</w:t>
      </w:r>
      <w:r>
        <w:rPr>
          <w:rFonts w:hint="default" w:ascii="Times New Roman" w:hAnsi="Times New Roman" w:eastAsia="宋体" w:cs="Times New Roman"/>
          <w:color w:val="auto"/>
          <w:sz w:val="24"/>
          <w:szCs w:val="24"/>
          <w:lang w:val="zh-TW" w:eastAsia="zh-TW"/>
        </w:rPr>
        <w:t>规模：</w:t>
      </w:r>
      <w:r>
        <w:rPr>
          <w:rFonts w:hint="eastAsia" w:cs="Times New Roman"/>
          <w:color w:val="auto"/>
          <w:sz w:val="24"/>
          <w:szCs w:val="24"/>
          <w:lang w:val="en-US" w:eastAsia="zh-CN"/>
        </w:rPr>
        <w:t>50万t/a</w:t>
      </w:r>
      <w:r>
        <w:rPr>
          <w:rFonts w:hint="default" w:ascii="Times New Roman" w:hAnsi="Times New Roman" w:eastAsia="宋体" w:cs="Times New Roman"/>
          <w:color w:val="auto"/>
          <w:sz w:val="24"/>
          <w:szCs w:val="24"/>
          <w:lang w:val="zh-TW"/>
        </w:rPr>
        <w:t>；（</w:t>
      </w:r>
      <w:r>
        <w:rPr>
          <w:rFonts w:hint="default" w:ascii="Times New Roman" w:hAnsi="Times New Roman" w:eastAsia="宋体" w:cs="Times New Roman"/>
          <w:color w:val="auto"/>
          <w:sz w:val="24"/>
          <w:szCs w:val="24"/>
        </w:rPr>
        <w:t>2）</w:t>
      </w:r>
      <w:r>
        <w:rPr>
          <w:rFonts w:hint="default" w:ascii="Times New Roman" w:hAnsi="Times New Roman" w:eastAsia="宋体" w:cs="Times New Roman"/>
          <w:color w:val="auto"/>
          <w:sz w:val="24"/>
          <w:szCs w:val="24"/>
          <w:lang w:val="zh-TW" w:eastAsia="zh-TW"/>
        </w:rPr>
        <w:t>矿石体重：2.</w:t>
      </w:r>
      <w:r>
        <w:rPr>
          <w:rFonts w:hint="eastAsia" w:cs="Times New Roman"/>
          <w:color w:val="auto"/>
          <w:sz w:val="24"/>
          <w:szCs w:val="24"/>
          <w:lang w:val="en-US" w:eastAsia="zh-CN"/>
        </w:rPr>
        <w:t>52</w:t>
      </w:r>
      <w:r>
        <w:rPr>
          <w:rFonts w:hint="default" w:ascii="Times New Roman" w:hAnsi="Times New Roman" w:cs="Times New Roman"/>
          <w:color w:val="auto"/>
          <w:sz w:val="24"/>
          <w:szCs w:val="24"/>
          <w:lang w:val="en-US" w:eastAsia="zh-CN"/>
        </w:rPr>
        <w:t>t</w:t>
      </w:r>
      <w:r>
        <w:rPr>
          <w:rFonts w:hint="default" w:ascii="Times New Roman" w:hAnsi="Times New Roman" w:eastAsia="宋体" w:cs="Times New Roman"/>
          <w:color w:val="auto"/>
          <w:sz w:val="24"/>
          <w:szCs w:val="24"/>
          <w:lang w:val="zh-TW" w:eastAsia="zh-TW"/>
        </w:rPr>
        <w:t>/</w:t>
      </w:r>
      <w:r>
        <w:rPr>
          <w:rFonts w:hint="default" w:ascii="Times New Roman" w:hAnsi="Times New Roman" w:eastAsia="宋体" w:cs="Times New Roman"/>
          <w:color w:val="auto"/>
          <w:sz w:val="24"/>
          <w:szCs w:val="24"/>
        </w:rPr>
        <w:t>m³</w:t>
      </w:r>
      <w:r>
        <w:rPr>
          <w:rFonts w:hint="eastAsia" w:cs="Times New Roman"/>
          <w:color w:val="auto"/>
          <w:sz w:val="24"/>
          <w:szCs w:val="24"/>
          <w:lang w:eastAsia="zh-CN"/>
        </w:rPr>
        <w:t>。</w:t>
      </w:r>
    </w:p>
    <w:p w14:paraId="58ADE423">
      <w:pPr>
        <w:bidi w:val="0"/>
      </w:pPr>
      <w:r>
        <w:t>2、建设情况</w:t>
      </w:r>
    </w:p>
    <w:p w14:paraId="4B280441">
      <w:pPr>
        <w:bidi w:val="0"/>
      </w:pPr>
      <w:r>
        <w:t>矿山</w:t>
      </w:r>
      <w:r>
        <w:rPr>
          <w:rFonts w:hint="eastAsia"/>
          <w:lang w:val="en-US" w:eastAsia="zh-CN"/>
        </w:rPr>
        <w:t>基建已</w:t>
      </w:r>
      <w:r>
        <w:t>建设完成</w:t>
      </w:r>
      <w:r>
        <w:rPr>
          <w:rFonts w:hint="eastAsia"/>
          <w:lang w:val="en-US" w:eastAsia="zh-CN"/>
        </w:rPr>
        <w:t>1705m、1690m、1675m、</w:t>
      </w:r>
      <w:r>
        <w:t>1</w:t>
      </w:r>
      <w:r>
        <w:rPr>
          <w:rFonts w:hint="eastAsia"/>
          <w:lang w:val="en-US" w:eastAsia="zh-CN"/>
        </w:rPr>
        <w:t>660</w:t>
      </w:r>
      <w:r>
        <w:t>m、1</w:t>
      </w:r>
      <w:r>
        <w:rPr>
          <w:rFonts w:hint="eastAsia"/>
          <w:lang w:val="en-US" w:eastAsia="zh-CN"/>
        </w:rPr>
        <w:t>645</w:t>
      </w:r>
      <w:r>
        <w:t>m平台</w:t>
      </w:r>
      <w:r>
        <w:rPr>
          <w:rFonts w:hint="eastAsia"/>
          <w:lang w:val="en-US" w:eastAsia="zh-CN"/>
        </w:rPr>
        <w:t>的基建工程</w:t>
      </w:r>
      <w:r>
        <w:t>。</w:t>
      </w:r>
    </w:p>
    <w:p w14:paraId="238737CE">
      <w:pPr>
        <w:bidi w:val="0"/>
        <w:rPr>
          <w:rFonts w:hint="eastAsia"/>
          <w:lang w:val="en-US" w:eastAsia="zh-CN"/>
        </w:rPr>
      </w:pPr>
      <w:r>
        <w:rPr>
          <w:rFonts w:hint="eastAsia"/>
          <w:lang w:val="en-US" w:eastAsia="zh-CN"/>
        </w:rPr>
        <w:t>其中：</w:t>
      </w:r>
    </w:p>
    <w:p w14:paraId="1892EBD2">
      <w:pPr>
        <w:bidi w:val="0"/>
        <w:rPr>
          <w:rFonts w:hint="eastAsia"/>
          <w:lang w:eastAsia="zh-CN"/>
        </w:rPr>
      </w:pPr>
      <w:r>
        <w:rPr>
          <w:rFonts w:hint="eastAsia"/>
          <w:lang w:val="en-US" w:eastAsia="zh-CN"/>
        </w:rPr>
        <w:t>（1）1705</w:t>
      </w:r>
      <w:r>
        <w:t>m</w:t>
      </w:r>
      <w:r>
        <w:rPr>
          <w:rFonts w:hint="eastAsia"/>
          <w:lang w:val="en-US" w:eastAsia="zh-CN"/>
        </w:rPr>
        <w:t>基建平台设计为安全平台</w:t>
      </w:r>
      <w:r>
        <w:rPr>
          <w:rFonts w:hint="eastAsia"/>
          <w:lang w:eastAsia="zh-CN"/>
        </w:rPr>
        <w:t>。</w:t>
      </w:r>
      <w:r>
        <w:t>长约</w:t>
      </w:r>
      <w:r>
        <w:rPr>
          <w:rFonts w:hint="eastAsia"/>
          <w:lang w:val="en-US" w:eastAsia="zh-CN"/>
        </w:rPr>
        <w:t>40</w:t>
      </w:r>
      <w:r>
        <w:t>m，</w:t>
      </w:r>
      <w:r>
        <w:rPr>
          <w:rFonts w:hint="eastAsia"/>
          <w:lang w:val="en-US" w:eastAsia="zh-CN"/>
        </w:rPr>
        <w:t>宽5m</w:t>
      </w:r>
      <w:r>
        <w:t>～</w:t>
      </w:r>
      <w:r>
        <w:rPr>
          <w:rFonts w:hint="eastAsia"/>
          <w:lang w:val="en-US" w:eastAsia="zh-CN"/>
        </w:rPr>
        <w:t>6m，高15m，靠帮边坡角约</w:t>
      </w:r>
      <w:r>
        <w:rPr>
          <w:rFonts w:hint="default"/>
          <w:lang w:val="en-US" w:eastAsia="zh-CN"/>
        </w:rPr>
        <w:t>6</w:t>
      </w:r>
      <w:r>
        <w:rPr>
          <w:rFonts w:hint="eastAsia"/>
          <w:lang w:val="en-US" w:eastAsia="zh-CN"/>
        </w:rPr>
        <w:t>0</w:t>
      </w:r>
      <w:r>
        <w:rPr>
          <w:rFonts w:hint="default"/>
        </w:rPr>
        <w:t>°</w:t>
      </w:r>
      <w:r>
        <w:rPr>
          <w:rFonts w:hint="eastAsia"/>
          <w:lang w:eastAsia="zh-CN"/>
        </w:rPr>
        <w:t>。</w:t>
      </w:r>
      <w:r>
        <w:rPr>
          <w:rFonts w:hint="eastAsia"/>
          <w:lang w:val="en-US" w:eastAsia="zh-CN"/>
        </w:rPr>
        <w:t>台阶边设有安全警示带</w:t>
      </w:r>
      <w:r>
        <w:rPr>
          <w:rFonts w:hint="eastAsia"/>
          <w:lang w:eastAsia="zh-CN"/>
        </w:rPr>
        <w:t>，</w:t>
      </w:r>
      <w:r>
        <w:rPr>
          <w:rFonts w:hint="eastAsia"/>
          <w:lang w:val="en-US" w:eastAsia="zh-CN"/>
        </w:rPr>
        <w:t>内侧设有倒梯形排水沟，</w:t>
      </w:r>
      <w:r>
        <w:rPr>
          <w:rFonts w:hint="eastAsia"/>
        </w:rPr>
        <w:t>断面尺寸</w:t>
      </w:r>
      <w:r>
        <w:rPr>
          <w:rFonts w:hint="eastAsia"/>
          <w:lang w:val="en-US" w:eastAsia="zh-CN"/>
        </w:rPr>
        <w:t>为</w:t>
      </w:r>
      <w:r>
        <w:rPr>
          <w:rFonts w:hint="eastAsia"/>
          <w:lang w:eastAsia="zh-CN"/>
        </w:rPr>
        <w:t>（</w:t>
      </w:r>
      <w:r>
        <w:rPr>
          <w:rFonts w:hint="eastAsia"/>
        </w:rPr>
        <w:t>0.4m</w:t>
      </w:r>
      <w:r>
        <w:rPr>
          <w:rFonts w:hint="eastAsia"/>
          <w:lang w:val="en-US" w:eastAsia="zh-CN"/>
        </w:rPr>
        <w:t>+</w:t>
      </w:r>
      <w:r>
        <w:rPr>
          <w:rFonts w:hint="eastAsia"/>
        </w:rPr>
        <w:t>0.3m</w:t>
      </w:r>
      <w:r>
        <w:rPr>
          <w:rFonts w:hint="eastAsia"/>
          <w:lang w:eastAsia="zh-CN"/>
        </w:rPr>
        <w:t>）×</w:t>
      </w:r>
      <w:r>
        <w:rPr>
          <w:rFonts w:hint="eastAsia"/>
        </w:rPr>
        <w:t>0.3m，</w:t>
      </w:r>
      <w:r>
        <w:rPr>
          <w:rFonts w:hint="eastAsia"/>
          <w:lang w:val="en-US" w:eastAsia="zh-CN"/>
        </w:rPr>
        <w:t>夯实毛沟，已经建设完成并完成复垦</w:t>
      </w:r>
      <w:r>
        <w:rPr>
          <w:rFonts w:hint="eastAsia"/>
          <w:lang w:eastAsia="zh-CN"/>
        </w:rPr>
        <w:t>。</w:t>
      </w:r>
    </w:p>
    <w:p w14:paraId="1247481E">
      <w:pPr>
        <w:bidi w:val="0"/>
        <w:rPr>
          <w:rFonts w:hint="eastAsia"/>
          <w:lang w:eastAsia="zh-CN"/>
        </w:rPr>
      </w:pPr>
      <w:r>
        <w:rPr>
          <w:rFonts w:hint="eastAsia"/>
          <w:lang w:val="en-US" w:eastAsia="zh-CN"/>
        </w:rPr>
        <w:t>（2）1690m基建平台设计为安全平台</w:t>
      </w:r>
      <w:r>
        <w:rPr>
          <w:rFonts w:hint="eastAsia"/>
          <w:lang w:eastAsia="zh-CN"/>
        </w:rPr>
        <w:t>。</w:t>
      </w:r>
      <w:r>
        <w:t>长约</w:t>
      </w:r>
      <w:r>
        <w:rPr>
          <w:rFonts w:hint="eastAsia"/>
          <w:lang w:val="en-US" w:eastAsia="zh-CN"/>
        </w:rPr>
        <w:t>60</w:t>
      </w:r>
      <w:r>
        <w:t>m，</w:t>
      </w:r>
      <w:r>
        <w:rPr>
          <w:rFonts w:hint="eastAsia"/>
          <w:lang w:val="en-US" w:eastAsia="zh-CN"/>
        </w:rPr>
        <w:t>宽5m</w:t>
      </w:r>
      <w:r>
        <w:t>～</w:t>
      </w:r>
      <w:r>
        <w:rPr>
          <w:rFonts w:hint="eastAsia"/>
          <w:lang w:val="en-US" w:eastAsia="zh-CN"/>
        </w:rPr>
        <w:t>6m，高15m，靠帮边坡角约</w:t>
      </w:r>
      <w:r>
        <w:rPr>
          <w:rFonts w:hint="default"/>
          <w:lang w:val="en-US" w:eastAsia="zh-CN"/>
        </w:rPr>
        <w:t>6</w:t>
      </w:r>
      <w:r>
        <w:rPr>
          <w:rFonts w:hint="eastAsia"/>
          <w:lang w:val="en-US" w:eastAsia="zh-CN"/>
        </w:rPr>
        <w:t>0</w:t>
      </w:r>
      <w:r>
        <w:rPr>
          <w:rFonts w:hint="default"/>
        </w:rPr>
        <w:t>°</w:t>
      </w:r>
      <w:r>
        <w:rPr>
          <w:rFonts w:hint="eastAsia"/>
          <w:lang w:eastAsia="zh-CN"/>
        </w:rPr>
        <w:t>。</w:t>
      </w:r>
      <w:r>
        <w:rPr>
          <w:rFonts w:hint="eastAsia"/>
          <w:lang w:val="en-US" w:eastAsia="zh-CN"/>
        </w:rPr>
        <w:t>台阶边设有安全警示带</w:t>
      </w:r>
      <w:r>
        <w:rPr>
          <w:rFonts w:hint="eastAsia"/>
          <w:lang w:eastAsia="zh-CN"/>
        </w:rPr>
        <w:t>，</w:t>
      </w:r>
      <w:r>
        <w:rPr>
          <w:rFonts w:hint="eastAsia"/>
          <w:lang w:val="en-US" w:eastAsia="zh-CN"/>
        </w:rPr>
        <w:t>内侧设有倒梯形排水沟，</w:t>
      </w:r>
      <w:r>
        <w:rPr>
          <w:rFonts w:hint="eastAsia"/>
        </w:rPr>
        <w:t>断面尺寸</w:t>
      </w:r>
      <w:r>
        <w:rPr>
          <w:rFonts w:hint="eastAsia"/>
          <w:lang w:val="en-US" w:eastAsia="zh-CN"/>
        </w:rPr>
        <w:t>为</w:t>
      </w:r>
      <w:r>
        <w:rPr>
          <w:rFonts w:hint="eastAsia"/>
          <w:lang w:eastAsia="zh-CN"/>
        </w:rPr>
        <w:t>（</w:t>
      </w:r>
      <w:r>
        <w:rPr>
          <w:rFonts w:hint="eastAsia"/>
        </w:rPr>
        <w:t>0.4m</w:t>
      </w:r>
      <w:r>
        <w:rPr>
          <w:rFonts w:hint="eastAsia"/>
          <w:lang w:val="en-US" w:eastAsia="zh-CN"/>
        </w:rPr>
        <w:t>+</w:t>
      </w:r>
      <w:r>
        <w:rPr>
          <w:rFonts w:hint="eastAsia"/>
        </w:rPr>
        <w:t>0.3m</w:t>
      </w:r>
      <w:r>
        <w:rPr>
          <w:rFonts w:hint="eastAsia"/>
          <w:lang w:eastAsia="zh-CN"/>
        </w:rPr>
        <w:t>）×</w:t>
      </w:r>
      <w:r>
        <w:rPr>
          <w:rFonts w:hint="eastAsia"/>
        </w:rPr>
        <w:t>0.3m，</w:t>
      </w:r>
      <w:r>
        <w:rPr>
          <w:rFonts w:hint="eastAsia"/>
          <w:lang w:val="en-US" w:eastAsia="zh-CN"/>
        </w:rPr>
        <w:t>夯实毛沟，已经建设完成并完成复垦</w:t>
      </w:r>
      <w:r>
        <w:rPr>
          <w:rFonts w:hint="eastAsia"/>
          <w:lang w:eastAsia="zh-CN"/>
        </w:rPr>
        <w:t>。</w:t>
      </w:r>
    </w:p>
    <w:p w14:paraId="3479C087">
      <w:pPr>
        <w:bidi w:val="0"/>
        <w:rPr>
          <w:rFonts w:hint="eastAsia"/>
          <w:lang w:eastAsia="zh-CN"/>
        </w:rPr>
      </w:pPr>
      <w:r>
        <w:rPr>
          <w:rFonts w:hint="eastAsia"/>
          <w:lang w:val="en-US" w:eastAsia="zh-CN"/>
        </w:rPr>
        <w:t>（3）1675m基建平台设计为清扫平台</w:t>
      </w:r>
      <w:r>
        <w:rPr>
          <w:rFonts w:hint="eastAsia"/>
          <w:lang w:eastAsia="zh-CN"/>
        </w:rPr>
        <w:t>。</w:t>
      </w:r>
      <w:r>
        <w:t>长约</w:t>
      </w:r>
      <w:r>
        <w:rPr>
          <w:rFonts w:hint="eastAsia"/>
          <w:lang w:val="en-US" w:eastAsia="zh-CN"/>
        </w:rPr>
        <w:t>75</w:t>
      </w:r>
      <w:r>
        <w:t>m，</w:t>
      </w:r>
      <w:r>
        <w:rPr>
          <w:rFonts w:hint="eastAsia"/>
          <w:lang w:val="en-US" w:eastAsia="zh-CN"/>
        </w:rPr>
        <w:t>宽8m</w:t>
      </w:r>
      <w:r>
        <w:t>～</w:t>
      </w:r>
      <w:r>
        <w:rPr>
          <w:rFonts w:hint="eastAsia"/>
          <w:lang w:val="en-US" w:eastAsia="zh-CN"/>
        </w:rPr>
        <w:t>10m，高15m，靠帮边坡角约</w:t>
      </w:r>
      <w:r>
        <w:rPr>
          <w:rFonts w:hint="default"/>
          <w:lang w:val="en-US" w:eastAsia="zh-CN"/>
        </w:rPr>
        <w:t>6</w:t>
      </w:r>
      <w:r>
        <w:rPr>
          <w:rFonts w:hint="eastAsia"/>
          <w:lang w:val="en-US" w:eastAsia="zh-CN"/>
        </w:rPr>
        <w:t>0</w:t>
      </w:r>
      <w:r>
        <w:rPr>
          <w:rFonts w:hint="default"/>
        </w:rPr>
        <w:t>°</w:t>
      </w:r>
      <w:r>
        <w:rPr>
          <w:rFonts w:hint="eastAsia"/>
          <w:lang w:eastAsia="zh-CN"/>
        </w:rPr>
        <w:t>。</w:t>
      </w:r>
      <w:r>
        <w:rPr>
          <w:rFonts w:hint="eastAsia"/>
          <w:lang w:val="en-US" w:eastAsia="zh-CN"/>
        </w:rPr>
        <w:t>台阶边设有安全警示带</w:t>
      </w:r>
      <w:r>
        <w:rPr>
          <w:rFonts w:hint="eastAsia"/>
          <w:lang w:eastAsia="zh-CN"/>
        </w:rPr>
        <w:t>，</w:t>
      </w:r>
      <w:r>
        <w:rPr>
          <w:rFonts w:hint="eastAsia"/>
          <w:lang w:val="en-US" w:eastAsia="zh-CN"/>
        </w:rPr>
        <w:t>内侧设有倒梯形排水沟，</w:t>
      </w:r>
      <w:r>
        <w:rPr>
          <w:rFonts w:hint="eastAsia"/>
        </w:rPr>
        <w:t>断面尺寸</w:t>
      </w:r>
      <w:r>
        <w:rPr>
          <w:rFonts w:hint="eastAsia"/>
          <w:lang w:val="en-US" w:eastAsia="zh-CN"/>
        </w:rPr>
        <w:t>为</w:t>
      </w:r>
      <w:r>
        <w:rPr>
          <w:rFonts w:hint="eastAsia"/>
          <w:lang w:eastAsia="zh-CN"/>
        </w:rPr>
        <w:t>（</w:t>
      </w:r>
      <w:r>
        <w:rPr>
          <w:rFonts w:hint="eastAsia"/>
        </w:rPr>
        <w:t>0.4m</w:t>
      </w:r>
      <w:r>
        <w:rPr>
          <w:rFonts w:hint="eastAsia"/>
          <w:lang w:val="en-US" w:eastAsia="zh-CN"/>
        </w:rPr>
        <w:t>+</w:t>
      </w:r>
      <w:r>
        <w:rPr>
          <w:rFonts w:hint="eastAsia"/>
        </w:rPr>
        <w:t>0.3m</w:t>
      </w:r>
      <w:r>
        <w:rPr>
          <w:rFonts w:hint="eastAsia"/>
          <w:lang w:eastAsia="zh-CN"/>
        </w:rPr>
        <w:t>）×</w:t>
      </w:r>
      <w:r>
        <w:rPr>
          <w:rFonts w:hint="eastAsia"/>
        </w:rPr>
        <w:t>0.3m，</w:t>
      </w:r>
      <w:r>
        <w:rPr>
          <w:rFonts w:hint="eastAsia"/>
          <w:lang w:val="en-US" w:eastAsia="zh-CN"/>
        </w:rPr>
        <w:t>夯实毛沟，已经建设完成并完成复垦</w:t>
      </w:r>
      <w:r>
        <w:rPr>
          <w:rFonts w:hint="eastAsia"/>
          <w:lang w:eastAsia="zh-CN"/>
        </w:rPr>
        <w:t>。</w:t>
      </w:r>
    </w:p>
    <w:p w14:paraId="39645736">
      <w:pPr>
        <w:bidi w:val="0"/>
        <w:rPr>
          <w:rFonts w:hint="eastAsia"/>
          <w:lang w:eastAsia="zh-CN"/>
        </w:rPr>
      </w:pPr>
      <w:r>
        <w:rPr>
          <w:rFonts w:hint="eastAsia"/>
          <w:lang w:eastAsia="zh-CN"/>
        </w:rPr>
        <w:t>（</w:t>
      </w:r>
      <w:r>
        <w:rPr>
          <w:rFonts w:hint="eastAsia"/>
          <w:lang w:val="en-US" w:eastAsia="zh-CN"/>
        </w:rPr>
        <w:t>4）1660</w:t>
      </w:r>
      <w:r>
        <w:t>m</w:t>
      </w:r>
      <w:r>
        <w:rPr>
          <w:rFonts w:hint="eastAsia"/>
          <w:lang w:val="en-US" w:eastAsia="zh-CN"/>
        </w:rPr>
        <w:t>基建平台设计为采矿平台</w:t>
      </w:r>
      <w:r>
        <w:rPr>
          <w:rFonts w:hint="eastAsia"/>
          <w:lang w:eastAsia="zh-CN"/>
        </w:rPr>
        <w:t>。</w:t>
      </w:r>
      <w:r>
        <w:t>边坡高约1</w:t>
      </w:r>
      <w:r>
        <w:rPr>
          <w:rFonts w:hint="eastAsia"/>
          <w:lang w:val="en-US" w:eastAsia="zh-CN"/>
        </w:rPr>
        <w:t>5</w:t>
      </w:r>
      <w:r>
        <w:t>m，边坡角约</w:t>
      </w:r>
      <w:r>
        <w:rPr>
          <w:rFonts w:hint="eastAsia"/>
          <w:lang w:val="en-US" w:eastAsia="zh-CN"/>
        </w:rPr>
        <w:t>60</w:t>
      </w:r>
      <w:r>
        <w:t>°</w:t>
      </w:r>
      <w:r>
        <w:rPr>
          <w:rFonts w:hint="eastAsia"/>
          <w:lang w:eastAsia="zh-CN"/>
        </w:rPr>
        <w:t>，</w:t>
      </w:r>
      <w:r>
        <w:t>长约</w:t>
      </w:r>
      <w:r>
        <w:rPr>
          <w:rFonts w:hint="eastAsia"/>
          <w:lang w:val="en-US" w:eastAsia="zh-CN"/>
        </w:rPr>
        <w:t>115</w:t>
      </w:r>
      <w:r>
        <w:t>m，宽</w:t>
      </w:r>
      <w:r>
        <w:rPr>
          <w:rFonts w:hint="eastAsia"/>
          <w:lang w:val="en-US" w:eastAsia="zh-CN"/>
        </w:rPr>
        <w:t>40</w:t>
      </w:r>
      <w:r>
        <w:t>m。</w:t>
      </w:r>
      <w:r>
        <w:rPr>
          <w:rFonts w:hint="eastAsia"/>
          <w:lang w:val="en-US" w:eastAsia="zh-CN"/>
        </w:rPr>
        <w:t>平台边坡侧边布土质挡墙，挡墙梯形截面规格：（上顶宽0.6m+下底宽1.2m）</w:t>
      </w:r>
      <w:r>
        <w:rPr>
          <w:rFonts w:hint="eastAsia"/>
          <w:lang w:eastAsia="zh-CN"/>
        </w:rPr>
        <w:t>×</w:t>
      </w:r>
      <w:r>
        <w:rPr>
          <w:rFonts w:hint="eastAsia"/>
          <w:lang w:val="en-US" w:eastAsia="zh-CN"/>
        </w:rPr>
        <w:t>高1m；</w:t>
      </w:r>
      <w:r>
        <w:t>长约</w:t>
      </w:r>
      <w:r>
        <w:rPr>
          <w:rFonts w:hint="eastAsia"/>
          <w:lang w:val="en-US" w:eastAsia="zh-CN"/>
        </w:rPr>
        <w:t>110</w:t>
      </w:r>
      <w:r>
        <w:t>m</w:t>
      </w:r>
      <w:r>
        <w:rPr>
          <w:rFonts w:hint="eastAsia"/>
          <w:lang w:eastAsia="zh-CN"/>
        </w:rPr>
        <w:t>；</w:t>
      </w:r>
    </w:p>
    <w:p w14:paraId="7844021C">
      <w:pPr>
        <w:bidi w:val="0"/>
        <w:rPr>
          <w:rFonts w:hint="default"/>
          <w:lang w:val="en-US" w:eastAsia="zh-CN"/>
        </w:rPr>
      </w:pPr>
      <w:r>
        <w:rPr>
          <w:rFonts w:hint="eastAsia"/>
          <w:lang w:eastAsia="zh-CN"/>
        </w:rPr>
        <w:t>（</w:t>
      </w:r>
      <w:r>
        <w:rPr>
          <w:rFonts w:hint="eastAsia"/>
          <w:lang w:val="en-US" w:eastAsia="zh-CN"/>
        </w:rPr>
        <w:t>5）</w:t>
      </w:r>
      <w:r>
        <w:t>1</w:t>
      </w:r>
      <w:r>
        <w:rPr>
          <w:rFonts w:hint="eastAsia"/>
          <w:lang w:val="en-US" w:eastAsia="zh-CN"/>
        </w:rPr>
        <w:t>645</w:t>
      </w:r>
      <w:r>
        <w:t>m平台</w:t>
      </w:r>
      <w:r>
        <w:rPr>
          <w:rFonts w:hint="eastAsia"/>
          <w:lang w:val="en-US" w:eastAsia="zh-CN"/>
        </w:rPr>
        <w:t>为铲装平台</w:t>
      </w:r>
      <w:r>
        <w:rPr>
          <w:rFonts w:hint="eastAsia"/>
          <w:lang w:eastAsia="zh-CN"/>
        </w:rPr>
        <w:t>。</w:t>
      </w:r>
      <w:r>
        <w:rPr>
          <w:rFonts w:hint="eastAsia"/>
          <w:lang w:val="en-US" w:eastAsia="zh-CN"/>
        </w:rPr>
        <w:t>长约40m，宽30m。</w:t>
      </w:r>
    </w:p>
    <w:p w14:paraId="7FC797CC">
      <w:pPr>
        <w:bidi w:val="0"/>
      </w:pPr>
      <w:r>
        <w:t>结论：矿山已按照设计完成基建平台建设，后期严格按照设计推进方向及台阶标高进行开采。</w:t>
      </w:r>
    </w:p>
    <w:p w14:paraId="5AC9118F">
      <w:pPr>
        <w:pStyle w:val="5"/>
        <w:bidi w:val="0"/>
        <w:rPr>
          <w:lang w:val="en-US" w:eastAsia="en-US"/>
        </w:rPr>
      </w:pPr>
      <w:bookmarkStart w:id="201" w:name="_Toc16673"/>
      <w:r>
        <w:rPr>
          <w:lang w:val="en-US" w:eastAsia="en-US"/>
        </w:rPr>
        <w:t>2.4.5.2采剥方法</w:t>
      </w:r>
      <w:bookmarkEnd w:id="201"/>
    </w:p>
    <w:p w14:paraId="483E6D5E">
      <w:pPr>
        <w:bidi w:val="0"/>
        <w:rPr>
          <w:lang w:val="en-US" w:eastAsia="en-US"/>
        </w:rPr>
      </w:pPr>
      <w:r>
        <w:rPr>
          <w:lang w:val="en-US" w:eastAsia="en-US"/>
        </w:rPr>
        <w:t>1、设计情况</w:t>
      </w:r>
    </w:p>
    <w:p w14:paraId="203A095E">
      <w:pPr>
        <w:bidi w:val="0"/>
        <w:rPr>
          <w:rFonts w:hint="eastAsia"/>
          <w:lang w:eastAsia="zh-CN"/>
        </w:rPr>
      </w:pPr>
      <w:r>
        <w:rPr>
          <w:rFonts w:hint="eastAsia"/>
          <w:lang w:eastAsia="zh-CN"/>
        </w:rPr>
        <w:t>（</w:t>
      </w:r>
      <w:r>
        <w:rPr>
          <w:rFonts w:hint="eastAsia"/>
          <w:lang w:val="en-US" w:eastAsia="zh-CN"/>
        </w:rPr>
        <w:t>1）</w:t>
      </w:r>
      <w:r>
        <w:rPr>
          <w:rFonts w:hint="eastAsia"/>
        </w:rPr>
        <w:t>采剥</w:t>
      </w:r>
      <w:r>
        <w:rPr>
          <w:rFonts w:hint="eastAsia"/>
          <w:lang w:val="en-US" w:eastAsia="zh-CN"/>
        </w:rPr>
        <w:t>工艺</w:t>
      </w:r>
    </w:p>
    <w:p w14:paraId="3E17940F">
      <w:pPr>
        <w:bidi w:val="0"/>
      </w:pPr>
      <w:r>
        <w:rPr>
          <w:rFonts w:hint="eastAsia"/>
          <w:color w:val="C00000"/>
        </w:rPr>
        <w:t>采用单</w:t>
      </w:r>
      <w:r>
        <w:rPr>
          <w:rFonts w:hint="eastAsia"/>
        </w:rPr>
        <w:t>斗挖掘机采剥法，参照矿山实际选用的采剥工艺，采用缓帮剥离、陡帮采矿工艺。</w:t>
      </w:r>
    </w:p>
    <w:p w14:paraId="32402866">
      <w:pPr>
        <w:bidi w:val="0"/>
      </w:pPr>
      <w:r>
        <w:rPr>
          <w:rFonts w:hint="eastAsia"/>
          <w:lang w:eastAsia="zh-CN"/>
        </w:rPr>
        <w:t>（</w:t>
      </w:r>
      <w:r>
        <w:rPr>
          <w:rFonts w:hint="eastAsia"/>
        </w:rPr>
        <w:t>2</w:t>
      </w:r>
      <w:r>
        <w:rPr>
          <w:rFonts w:hint="eastAsia"/>
          <w:lang w:val="en-US" w:eastAsia="zh-CN"/>
        </w:rPr>
        <w:t>）</w:t>
      </w:r>
      <w:r>
        <w:rPr>
          <w:rFonts w:hint="eastAsia"/>
        </w:rPr>
        <w:t>采剥工作面的主要结构要素</w:t>
      </w:r>
    </w:p>
    <w:p w14:paraId="10B89B88">
      <w:pPr>
        <w:bidi w:val="0"/>
        <w:rPr>
          <w:rFonts w:hint="eastAsia"/>
        </w:rPr>
      </w:pPr>
      <w:r>
        <w:rPr>
          <w:rFonts w:hint="eastAsia"/>
        </w:rPr>
        <w:t>矿山露天采场共布置</w:t>
      </w:r>
      <w:r>
        <w:rPr>
          <w:rFonts w:hint="eastAsia"/>
          <w:lang w:val="en-US" w:eastAsia="zh-CN"/>
        </w:rPr>
        <w:t>1</w:t>
      </w:r>
      <w:r>
        <w:rPr>
          <w:rFonts w:hint="eastAsia"/>
        </w:rPr>
        <w:t>个采剥作业面，采剥作业台阶高度1</w:t>
      </w:r>
      <w:r>
        <w:rPr>
          <w:rFonts w:hint="eastAsia"/>
          <w:lang w:val="en-US" w:eastAsia="zh-CN"/>
        </w:rPr>
        <w:t>5</w:t>
      </w:r>
      <w:r>
        <w:rPr>
          <w:rFonts w:hint="eastAsia"/>
        </w:rPr>
        <w:t>m，采场靠帮时按照每隔</w:t>
      </w:r>
      <w:r>
        <w:rPr>
          <w:rFonts w:hint="eastAsia"/>
          <w:lang w:val="en-US" w:eastAsia="zh-CN"/>
        </w:rPr>
        <w:t>两</w:t>
      </w:r>
      <w:r>
        <w:rPr>
          <w:rFonts w:hint="eastAsia"/>
        </w:rPr>
        <w:t>个安全平台设置一个清扫平台布置，安全平台宽度为</w:t>
      </w:r>
      <w:r>
        <w:rPr>
          <w:rFonts w:hint="eastAsia"/>
          <w:lang w:val="en-US" w:eastAsia="zh-CN"/>
        </w:rPr>
        <w:t>5</w:t>
      </w:r>
      <w:r>
        <w:rPr>
          <w:rFonts w:hint="eastAsia"/>
        </w:rPr>
        <w:t>m，清扫平台宽度为</w:t>
      </w:r>
      <w:r>
        <w:rPr>
          <w:rFonts w:hint="eastAsia"/>
          <w:lang w:val="en-US" w:eastAsia="zh-CN"/>
        </w:rPr>
        <w:t>8</w:t>
      </w:r>
      <w:r>
        <w:rPr>
          <w:rFonts w:hint="eastAsia"/>
        </w:rPr>
        <w:t>m。</w:t>
      </w:r>
      <w:r>
        <w:rPr>
          <w:rFonts w:hint="eastAsia"/>
          <w:lang w:eastAsia="zh-CN"/>
        </w:rPr>
        <w:t>爆破开采工艺</w:t>
      </w:r>
      <w:r>
        <w:rPr>
          <w:rFonts w:hint="eastAsia"/>
        </w:rPr>
        <w:t>工作面构成要素如下：</w:t>
      </w:r>
    </w:p>
    <w:p w14:paraId="1D4D9B48">
      <w:pPr>
        <w:bidi w:val="0"/>
        <w:rPr>
          <w:rFonts w:hint="eastAsia"/>
        </w:rPr>
      </w:pPr>
      <w:r>
        <w:rPr>
          <w:rFonts w:hint="eastAsia"/>
          <w:lang w:eastAsia="zh-CN"/>
        </w:rPr>
        <w:t>工作</w:t>
      </w:r>
      <w:r>
        <w:rPr>
          <w:rFonts w:hint="eastAsia"/>
        </w:rPr>
        <w:t>台阶高度                1</w:t>
      </w:r>
      <w:r>
        <w:rPr>
          <w:rFonts w:hint="eastAsia"/>
          <w:lang w:val="en-US" w:eastAsia="zh-CN"/>
        </w:rPr>
        <w:t>5</w:t>
      </w:r>
      <w:r>
        <w:rPr>
          <w:rFonts w:hint="eastAsia"/>
        </w:rPr>
        <w:t>m；</w:t>
      </w:r>
    </w:p>
    <w:p w14:paraId="0EAD626C">
      <w:pPr>
        <w:bidi w:val="0"/>
        <w:rPr>
          <w:rFonts w:hint="eastAsia"/>
        </w:rPr>
      </w:pPr>
      <w:r>
        <w:rPr>
          <w:rFonts w:hint="eastAsia"/>
        </w:rPr>
        <w:t xml:space="preserve">剥离工作台阶坡面角          </w:t>
      </w:r>
      <w:r>
        <w:rPr>
          <w:rFonts w:hint="eastAsia"/>
          <w:lang w:val="en-US" w:eastAsia="zh-CN"/>
        </w:rPr>
        <w:t>50</w:t>
      </w:r>
      <w:r>
        <w:rPr>
          <w:rFonts w:hint="eastAsia"/>
        </w:rPr>
        <w:t>°；</w:t>
      </w:r>
    </w:p>
    <w:p w14:paraId="0F5CDC68">
      <w:pPr>
        <w:bidi w:val="0"/>
        <w:rPr>
          <w:rFonts w:hint="eastAsia"/>
        </w:rPr>
      </w:pPr>
      <w:r>
        <w:rPr>
          <w:rFonts w:hint="eastAsia"/>
          <w:lang w:eastAsia="zh-CN"/>
        </w:rPr>
        <w:t>采矿</w:t>
      </w:r>
      <w:r>
        <w:rPr>
          <w:rFonts w:hint="eastAsia"/>
        </w:rPr>
        <w:t xml:space="preserve">工作台阶坡面角         </w:t>
      </w:r>
      <w:r>
        <w:rPr>
          <w:rFonts w:hint="eastAsia"/>
          <w:lang w:eastAsia="zh-CN"/>
        </w:rPr>
        <w:t xml:space="preserve"> 75°</w:t>
      </w:r>
      <w:r>
        <w:rPr>
          <w:rFonts w:hint="eastAsia"/>
        </w:rPr>
        <w:t>；</w:t>
      </w:r>
    </w:p>
    <w:p w14:paraId="114D33A6">
      <w:pPr>
        <w:bidi w:val="0"/>
        <w:rPr>
          <w:rFonts w:hint="eastAsia"/>
        </w:rPr>
      </w:pPr>
      <w:r>
        <w:rPr>
          <w:rFonts w:hint="eastAsia"/>
          <w:lang w:eastAsia="zh-CN"/>
        </w:rPr>
        <w:t>采矿靠帮</w:t>
      </w:r>
      <w:r>
        <w:rPr>
          <w:rFonts w:hint="eastAsia"/>
        </w:rPr>
        <w:t xml:space="preserve">台阶坡面角          </w:t>
      </w:r>
      <w:r>
        <w:rPr>
          <w:rFonts w:hint="eastAsia"/>
          <w:lang w:val="en-US" w:eastAsia="zh-CN"/>
        </w:rPr>
        <w:t>60</w:t>
      </w:r>
      <w:r>
        <w:rPr>
          <w:rFonts w:hint="eastAsia"/>
        </w:rPr>
        <w:t>°；</w:t>
      </w:r>
    </w:p>
    <w:p w14:paraId="41431B85">
      <w:pPr>
        <w:bidi w:val="0"/>
        <w:rPr>
          <w:rFonts w:hint="eastAsia"/>
          <w:lang w:val="en-US" w:eastAsia="zh-CN"/>
        </w:rPr>
      </w:pPr>
      <w:r>
        <w:rPr>
          <w:rFonts w:hint="eastAsia"/>
        </w:rPr>
        <w:t xml:space="preserve">最小工作平台宽度     </w:t>
      </w:r>
      <w:r>
        <w:rPr>
          <w:rFonts w:hint="eastAsia"/>
          <w:lang w:val="en-US" w:eastAsia="zh-CN"/>
        </w:rPr>
        <w:t xml:space="preserve">   </w:t>
      </w:r>
      <w:r>
        <w:rPr>
          <w:rFonts w:hint="eastAsia"/>
        </w:rPr>
        <w:t xml:space="preserve">   </w:t>
      </w:r>
      <w:r>
        <w:rPr>
          <w:rFonts w:hint="eastAsia"/>
          <w:lang w:val="en-US" w:eastAsia="zh-CN"/>
        </w:rPr>
        <w:t>22m。</w:t>
      </w:r>
    </w:p>
    <w:p w14:paraId="728CFB50">
      <w:pPr>
        <w:bidi w:val="0"/>
        <w:rPr>
          <w:rFonts w:hint="eastAsia"/>
        </w:rPr>
      </w:pPr>
      <w:r>
        <w:rPr>
          <w:rFonts w:hint="eastAsia"/>
          <w:lang w:val="en-US" w:eastAsia="zh-CN"/>
        </w:rPr>
        <w:t>（3）</w:t>
      </w:r>
      <w:r>
        <w:rPr>
          <w:rFonts w:hint="eastAsia"/>
        </w:rPr>
        <w:t>挖机工作线长度</w:t>
      </w:r>
    </w:p>
    <w:p w14:paraId="717884A3">
      <w:pPr>
        <w:bidi w:val="0"/>
        <w:rPr>
          <w:color w:val="auto"/>
        </w:rPr>
      </w:pPr>
      <w:r>
        <w:rPr>
          <w:rFonts w:hint="eastAsia"/>
          <w:color w:val="auto"/>
        </w:rPr>
        <w:t>挖机工作线长度一般分为穿孔段、爆破段以及采装段，一般与挖机的斗容、运输方式以及矿体的赋存条件有关，选用</w:t>
      </w:r>
      <w:r>
        <w:rPr>
          <w:rFonts w:hint="eastAsia"/>
          <w:color w:val="auto"/>
          <w:lang w:eastAsia="zh-CN"/>
        </w:rPr>
        <w:t>CAT336</w:t>
      </w:r>
      <w:r>
        <w:rPr>
          <w:rFonts w:hint="default"/>
          <w:color w:val="auto"/>
        </w:rPr>
        <w:t>液压履带式挖掘机</w:t>
      </w:r>
      <w:r>
        <w:rPr>
          <w:rFonts w:hint="eastAsia"/>
          <w:color w:val="auto"/>
        </w:rPr>
        <w:t>斗容</w:t>
      </w:r>
      <w:r>
        <w:rPr>
          <w:rFonts w:hint="eastAsia"/>
          <w:color w:val="auto"/>
          <w:lang w:val="en-US" w:eastAsia="zh-CN"/>
        </w:rPr>
        <w:t>2.12</w:t>
      </w:r>
      <w:r>
        <w:rPr>
          <w:rFonts w:hint="eastAsia"/>
          <w:color w:val="auto"/>
        </w:rPr>
        <w:t>m</w:t>
      </w:r>
      <w:r>
        <w:rPr>
          <w:rFonts w:hint="eastAsia"/>
          <w:color w:val="auto"/>
          <w:vertAlign w:val="superscript"/>
        </w:rPr>
        <w:t>3</w:t>
      </w:r>
      <w:r>
        <w:rPr>
          <w:rFonts w:hint="eastAsia"/>
          <w:color w:val="auto"/>
        </w:rPr>
        <w:t>，挖机最小工作线长度为</w:t>
      </w:r>
      <w:r>
        <w:rPr>
          <w:rFonts w:hint="eastAsia"/>
          <w:color w:val="auto"/>
          <w:lang w:val="en-US" w:eastAsia="zh-CN"/>
        </w:rPr>
        <w:t>1</w:t>
      </w:r>
      <w:r>
        <w:rPr>
          <w:rFonts w:hint="eastAsia"/>
          <w:color w:val="auto"/>
        </w:rPr>
        <w:t>00m。</w:t>
      </w:r>
    </w:p>
    <w:p w14:paraId="204C2A59">
      <w:pPr>
        <w:bidi w:val="0"/>
        <w:rPr>
          <w:rFonts w:hint="eastAsia"/>
          <w:lang w:eastAsia="zh-CN"/>
        </w:rPr>
      </w:pPr>
      <w:r>
        <w:rPr>
          <w:rFonts w:hint="eastAsia"/>
          <w:lang w:val="en-US" w:eastAsia="zh-CN"/>
        </w:rPr>
        <w:t>（4）采矿工艺</w:t>
      </w:r>
    </w:p>
    <w:p w14:paraId="229AA75A">
      <w:pPr>
        <w:bidi w:val="0"/>
        <w:rPr>
          <w:rFonts w:hint="default"/>
        </w:rPr>
      </w:pPr>
      <w:r>
        <w:rPr>
          <w:rFonts w:hint="default"/>
        </w:rPr>
        <w:t>根据矿区的地形地貌特征、矿体的赋存状况和选定的开拓运输方式等因素，</w:t>
      </w:r>
      <w:r>
        <w:rPr>
          <w:rFonts w:hint="eastAsia"/>
          <w:lang w:eastAsia="zh-CN"/>
        </w:rPr>
        <w:t>爆破开采工艺</w:t>
      </w:r>
      <w:r>
        <w:rPr>
          <w:rFonts w:hint="default"/>
        </w:rPr>
        <w:t>采用</w:t>
      </w:r>
      <w:r>
        <w:rPr>
          <w:rFonts w:hint="default"/>
          <w:lang w:eastAsia="zh-CN"/>
        </w:rPr>
        <w:t>自</w:t>
      </w:r>
      <w:r>
        <w:rPr>
          <w:rFonts w:hint="default"/>
        </w:rPr>
        <w:t>上而下分台阶开采，垂直矿体走向布置采剥工作面，总体由</w:t>
      </w:r>
      <w:r>
        <w:rPr>
          <w:rFonts w:hint="eastAsia"/>
          <w:lang w:eastAsia="zh-CN"/>
        </w:rPr>
        <w:t>南</w:t>
      </w:r>
      <w:r>
        <w:rPr>
          <w:rFonts w:hint="default"/>
        </w:rPr>
        <w:t>向</w:t>
      </w:r>
      <w:r>
        <w:rPr>
          <w:rFonts w:hint="eastAsia"/>
          <w:lang w:eastAsia="zh-CN"/>
        </w:rPr>
        <w:t>北</w:t>
      </w:r>
      <w:r>
        <w:rPr>
          <w:rFonts w:hint="default"/>
        </w:rPr>
        <w:t>推进。采场作业从最上部台阶开始，逐</w:t>
      </w:r>
      <w:r>
        <w:rPr>
          <w:rFonts w:hint="eastAsia"/>
          <w:lang w:eastAsia="zh-CN"/>
        </w:rPr>
        <w:t>台</w:t>
      </w:r>
      <w:r>
        <w:rPr>
          <w:rFonts w:hint="default"/>
        </w:rPr>
        <w:t>向下进行。将沿地形等高线高差1</w:t>
      </w:r>
      <w:r>
        <w:rPr>
          <w:rFonts w:hint="eastAsia"/>
          <w:lang w:val="en-US" w:eastAsia="zh-CN"/>
        </w:rPr>
        <w:t>5</w:t>
      </w:r>
      <w:r>
        <w:rPr>
          <w:rFonts w:hint="default"/>
        </w:rPr>
        <w:t>m</w:t>
      </w:r>
      <w:r>
        <w:rPr>
          <w:rFonts w:hint="eastAsia"/>
          <w:lang w:eastAsia="zh-CN"/>
        </w:rPr>
        <w:t>设置</w:t>
      </w:r>
      <w:r>
        <w:rPr>
          <w:rFonts w:hint="default"/>
        </w:rPr>
        <w:t>一个</w:t>
      </w:r>
      <w:r>
        <w:rPr>
          <w:rFonts w:hint="default"/>
          <w:lang w:eastAsia="zh-CN"/>
        </w:rPr>
        <w:t>工作台阶</w:t>
      </w:r>
      <w:r>
        <w:rPr>
          <w:rFonts w:hint="default"/>
        </w:rPr>
        <w:t>，台阶工作面的推进由掘沟后形成的工作面向采区一侧和前方推进，推进到最终帮位置后预留</w:t>
      </w:r>
      <w:r>
        <w:rPr>
          <w:rFonts w:hint="eastAsia"/>
          <w:lang w:val="en-US" w:eastAsia="zh-CN"/>
        </w:rPr>
        <w:t>5</w:t>
      </w:r>
      <w:r>
        <w:rPr>
          <w:rFonts w:hint="default"/>
        </w:rPr>
        <w:t>m安全平台或</w:t>
      </w:r>
      <w:r>
        <w:rPr>
          <w:rFonts w:hint="eastAsia"/>
          <w:lang w:val="en-US" w:eastAsia="zh-CN"/>
        </w:rPr>
        <w:t>8</w:t>
      </w:r>
      <w:r>
        <w:rPr>
          <w:rFonts w:hint="default"/>
        </w:rPr>
        <w:t>m清扫平台。当上一台阶开采即将靠帮结束时，提前准备好下一台阶的工作面布置，以保证采矿工作的持续进行和新水平的延深。</w:t>
      </w:r>
    </w:p>
    <w:p w14:paraId="7899EBF9">
      <w:pPr>
        <w:bidi w:val="0"/>
      </w:pPr>
      <w:r>
        <w:rPr>
          <w:rFonts w:hint="eastAsia"/>
          <w:lang w:val="en-US" w:eastAsia="zh-CN"/>
        </w:rPr>
        <w:t>（5）</w:t>
      </w:r>
      <w:r>
        <w:rPr>
          <w:rFonts w:hint="eastAsia"/>
          <w:lang w:eastAsia="zh-CN"/>
        </w:rPr>
        <w:t>开段</w:t>
      </w:r>
      <w:r>
        <w:rPr>
          <w:rFonts w:hint="eastAsia"/>
        </w:rPr>
        <w:t>沟位置</w:t>
      </w:r>
    </w:p>
    <w:p w14:paraId="43F99A77">
      <w:pPr>
        <w:bidi w:val="0"/>
      </w:pPr>
      <w:r>
        <w:t>矿山</w:t>
      </w:r>
      <w:r>
        <w:rPr>
          <w:rFonts w:hint="eastAsia"/>
          <w:lang w:eastAsia="zh-CN"/>
        </w:rPr>
        <w:t>采用公路运输，</w:t>
      </w:r>
      <w:r>
        <w:t>沿地表山坡地形线</w:t>
      </w:r>
      <w:r>
        <w:rPr>
          <w:rFonts w:hint="eastAsia"/>
          <w:lang w:eastAsia="zh-CN"/>
        </w:rPr>
        <w:t>开挖</w:t>
      </w:r>
      <w:r>
        <w:t>新水平单壁沟，</w:t>
      </w:r>
      <w:r>
        <w:rPr>
          <w:rFonts w:hint="eastAsia"/>
          <w:lang w:eastAsia="zh-CN"/>
        </w:rPr>
        <w:t>推进</w:t>
      </w:r>
      <w:r>
        <w:t>一定长度之后，在沟的一侧布置工作面进行采剥扩帮。</w:t>
      </w:r>
    </w:p>
    <w:p w14:paraId="4606602F">
      <w:pPr>
        <w:bidi w:val="0"/>
      </w:pPr>
      <w:r>
        <w:rPr>
          <w:rFonts w:hint="eastAsia"/>
          <w:lang w:val="en-US" w:eastAsia="zh-CN"/>
        </w:rPr>
        <w:t>（6）</w:t>
      </w:r>
      <w:r>
        <w:rPr>
          <w:rFonts w:hint="eastAsia"/>
        </w:rPr>
        <w:t>工作面布置及推进方向</w:t>
      </w:r>
    </w:p>
    <w:p w14:paraId="7E5CF3DB">
      <w:pPr>
        <w:bidi w:val="0"/>
      </w:pPr>
      <w:r>
        <w:rPr>
          <w:rFonts w:hint="eastAsia"/>
        </w:rPr>
        <w:t>垂直矿体走向</w:t>
      </w:r>
      <w:r>
        <w:t>布置</w:t>
      </w:r>
      <w:r>
        <w:rPr>
          <w:rFonts w:hint="eastAsia"/>
        </w:rPr>
        <w:t>工作面</w:t>
      </w:r>
      <w:r>
        <w:t>，</w:t>
      </w:r>
      <w:r>
        <w:rPr>
          <w:rFonts w:hint="eastAsia"/>
        </w:rPr>
        <w:t>工作面总体</w:t>
      </w:r>
      <w:r>
        <w:rPr>
          <w:rFonts w:hint="eastAsia"/>
          <w:lang w:eastAsia="zh-CN"/>
        </w:rPr>
        <w:t>沿开拓运输道路方向由南向北方向</w:t>
      </w:r>
      <w:r>
        <w:t>推进。</w:t>
      </w:r>
    </w:p>
    <w:p w14:paraId="622DE96A">
      <w:pPr>
        <w:bidi w:val="0"/>
        <w:rPr>
          <w:rFonts w:hint="eastAsia"/>
          <w:color w:val="auto"/>
          <w:lang w:val="en-US" w:eastAsia="zh-CN"/>
        </w:rPr>
      </w:pPr>
      <w:r>
        <w:rPr>
          <w:rFonts w:hint="eastAsia"/>
          <w:color w:val="auto"/>
          <w:lang w:val="en-US" w:eastAsia="zh-CN"/>
        </w:rPr>
        <w:t>（7）矿山整体台阶开采顺序</w:t>
      </w:r>
    </w:p>
    <w:p w14:paraId="10925ADA">
      <w:pPr>
        <w:bidi w:val="0"/>
        <w:rPr>
          <w:rFonts w:hint="default"/>
          <w:color w:val="auto"/>
        </w:rPr>
      </w:pPr>
      <w:r>
        <w:rPr>
          <w:rFonts w:hint="default"/>
          <w:color w:val="auto"/>
          <w:lang w:val="zh-CN"/>
        </w:rPr>
        <w:t>开采顺序</w:t>
      </w:r>
      <w:r>
        <w:rPr>
          <w:rFonts w:hint="eastAsia"/>
          <w:color w:val="auto"/>
          <w:lang w:val="zh-CN"/>
        </w:rPr>
        <w:t>自上而下</w:t>
      </w:r>
      <w:r>
        <w:rPr>
          <w:rFonts w:hint="default"/>
          <w:color w:val="auto"/>
          <w:lang w:val="zh-CN"/>
        </w:rPr>
        <w:t>分台阶开采，台阶高度</w:t>
      </w:r>
      <w:r>
        <w:rPr>
          <w:rFonts w:hint="default"/>
          <w:color w:val="auto"/>
        </w:rPr>
        <w:t>1</w:t>
      </w:r>
      <w:r>
        <w:rPr>
          <w:rFonts w:hint="eastAsia"/>
          <w:color w:val="auto"/>
          <w:lang w:val="en-US" w:eastAsia="zh-CN"/>
        </w:rPr>
        <w:t>5</w:t>
      </w:r>
      <w:r>
        <w:rPr>
          <w:rFonts w:hint="default"/>
          <w:color w:val="auto"/>
          <w:lang w:val="zh-CN"/>
        </w:rPr>
        <w:t>m，安全平台宽</w:t>
      </w:r>
      <w:r>
        <w:rPr>
          <w:rFonts w:hint="eastAsia"/>
          <w:color w:val="auto"/>
          <w:lang w:val="en-US" w:eastAsia="zh-CN"/>
        </w:rPr>
        <w:t>5</w:t>
      </w:r>
      <w:r>
        <w:rPr>
          <w:rFonts w:hint="default"/>
          <w:color w:val="auto"/>
          <w:lang w:val="zh-CN"/>
        </w:rPr>
        <w:t>m，清扫平台宽</w:t>
      </w:r>
      <w:r>
        <w:rPr>
          <w:rFonts w:hint="eastAsia"/>
          <w:color w:val="auto"/>
          <w:lang w:val="en-US" w:eastAsia="zh-CN"/>
        </w:rPr>
        <w:t>8</w:t>
      </w:r>
      <w:r>
        <w:rPr>
          <w:rFonts w:hint="default"/>
          <w:color w:val="auto"/>
          <w:lang w:val="zh-CN"/>
        </w:rPr>
        <w:t>m</w:t>
      </w:r>
      <w:r>
        <w:rPr>
          <w:rFonts w:hint="default"/>
          <w:color w:val="auto"/>
        </w:rPr>
        <w:t>：</w:t>
      </w:r>
    </w:p>
    <w:p w14:paraId="59E073F4">
      <w:pPr>
        <w:bidi w:val="0"/>
      </w:pPr>
      <w:r>
        <w:rPr>
          <w:rFonts w:hint="eastAsia"/>
          <w:lang w:val="en-US" w:eastAsia="zh-CN"/>
        </w:rPr>
        <w:t>1705</w:t>
      </w:r>
      <w:r>
        <w:rPr>
          <w:rFonts w:hint="default"/>
          <w:lang w:val="en-US" w:eastAsia="zh-CN"/>
        </w:rPr>
        <w:t>m台阶（</w:t>
      </w:r>
      <w:r>
        <w:rPr>
          <w:rFonts w:hint="eastAsia"/>
          <w:lang w:val="en-US" w:eastAsia="zh-CN"/>
        </w:rPr>
        <w:t>5</w:t>
      </w:r>
      <w:r>
        <w:rPr>
          <w:rFonts w:hint="default"/>
          <w:lang w:val="en-US" w:eastAsia="zh-CN"/>
        </w:rPr>
        <w:t>m安全平</w:t>
      </w:r>
      <w:r>
        <w:rPr>
          <w:rFonts w:hint="eastAsia"/>
          <w:lang w:val="en-US" w:eastAsia="zh-CN"/>
        </w:rPr>
        <w:t>台</w:t>
      </w:r>
      <w:r>
        <w:rPr>
          <w:rFonts w:hint="default"/>
          <w:lang w:val="en-US" w:eastAsia="zh-CN"/>
        </w:rPr>
        <w:t>）→</w:t>
      </w:r>
      <w:r>
        <w:rPr>
          <w:rFonts w:hint="eastAsia"/>
          <w:lang w:val="en-US" w:eastAsia="zh-CN"/>
        </w:rPr>
        <w:t>1690</w:t>
      </w:r>
      <w:r>
        <w:rPr>
          <w:rFonts w:hint="default"/>
          <w:lang w:val="en-US" w:eastAsia="zh-CN"/>
        </w:rPr>
        <w:t>m台阶（</w:t>
      </w:r>
      <w:r>
        <w:rPr>
          <w:rFonts w:hint="eastAsia"/>
          <w:lang w:val="en-US" w:eastAsia="zh-CN"/>
        </w:rPr>
        <w:t>5</w:t>
      </w:r>
      <w:r>
        <w:rPr>
          <w:rFonts w:hint="default"/>
          <w:lang w:val="en-US" w:eastAsia="zh-CN"/>
        </w:rPr>
        <w:t>m安全平</w:t>
      </w:r>
      <w:r>
        <w:rPr>
          <w:rFonts w:hint="eastAsia"/>
          <w:lang w:val="en-US" w:eastAsia="zh-CN"/>
        </w:rPr>
        <w:t>台</w:t>
      </w:r>
      <w:r>
        <w:rPr>
          <w:rFonts w:hint="default"/>
          <w:lang w:val="en-US" w:eastAsia="zh-CN"/>
        </w:rPr>
        <w:t>）→</w:t>
      </w:r>
      <w:r>
        <w:rPr>
          <w:rFonts w:hint="eastAsia"/>
          <w:lang w:val="en-US" w:eastAsia="zh-CN"/>
        </w:rPr>
        <w:t>1675</w:t>
      </w:r>
      <w:r>
        <w:rPr>
          <w:rFonts w:hint="default"/>
          <w:lang w:val="en-US" w:eastAsia="zh-CN"/>
        </w:rPr>
        <w:t>m台阶（</w:t>
      </w:r>
      <w:r>
        <w:rPr>
          <w:rFonts w:hint="eastAsia"/>
          <w:lang w:val="en-US" w:eastAsia="zh-CN"/>
        </w:rPr>
        <w:t>8</w:t>
      </w:r>
      <w:r>
        <w:rPr>
          <w:rFonts w:hint="default"/>
          <w:lang w:val="en-US" w:eastAsia="zh-CN"/>
        </w:rPr>
        <w:t>m清扫平台）→</w:t>
      </w:r>
      <w:r>
        <w:rPr>
          <w:rFonts w:hint="eastAsia"/>
          <w:lang w:val="en-US" w:eastAsia="zh-CN"/>
        </w:rPr>
        <w:t>1660</w:t>
      </w:r>
      <w:r>
        <w:rPr>
          <w:rFonts w:hint="default"/>
          <w:lang w:val="en-US" w:eastAsia="zh-CN"/>
        </w:rPr>
        <w:t>m台阶（</w:t>
      </w:r>
      <w:r>
        <w:rPr>
          <w:rFonts w:hint="eastAsia"/>
          <w:lang w:val="en-US" w:eastAsia="zh-CN"/>
        </w:rPr>
        <w:t>5</w:t>
      </w:r>
      <w:r>
        <w:rPr>
          <w:rFonts w:hint="default"/>
          <w:lang w:val="en-US" w:eastAsia="zh-CN"/>
        </w:rPr>
        <w:t>m安全平</w:t>
      </w:r>
      <w:r>
        <w:rPr>
          <w:rFonts w:hint="eastAsia"/>
          <w:lang w:val="en-US" w:eastAsia="zh-CN"/>
        </w:rPr>
        <w:t>台</w:t>
      </w:r>
      <w:r>
        <w:rPr>
          <w:rFonts w:hint="default"/>
          <w:lang w:val="en-US" w:eastAsia="zh-CN"/>
        </w:rPr>
        <w:t>）→</w:t>
      </w:r>
      <w:r>
        <w:rPr>
          <w:rFonts w:hint="eastAsia"/>
          <w:lang w:val="en-US" w:eastAsia="zh-CN"/>
        </w:rPr>
        <w:t>1645</w:t>
      </w:r>
      <w:r>
        <w:rPr>
          <w:rFonts w:hint="default"/>
          <w:lang w:val="en-US" w:eastAsia="zh-CN"/>
        </w:rPr>
        <w:t>m台阶（</w:t>
      </w:r>
      <w:r>
        <w:rPr>
          <w:rFonts w:hint="eastAsia"/>
          <w:lang w:val="en-US" w:eastAsia="zh-CN"/>
        </w:rPr>
        <w:t>5</w:t>
      </w:r>
      <w:r>
        <w:rPr>
          <w:rFonts w:hint="default"/>
          <w:lang w:val="en-US" w:eastAsia="zh-CN"/>
        </w:rPr>
        <w:t>m安全平</w:t>
      </w:r>
      <w:r>
        <w:rPr>
          <w:rFonts w:hint="eastAsia"/>
          <w:lang w:val="en-US" w:eastAsia="zh-CN"/>
        </w:rPr>
        <w:t>台</w:t>
      </w:r>
      <w:r>
        <w:rPr>
          <w:rFonts w:hint="default"/>
          <w:lang w:val="en-US" w:eastAsia="zh-CN"/>
        </w:rPr>
        <w:t>）→</w:t>
      </w:r>
      <w:r>
        <w:rPr>
          <w:rFonts w:hint="eastAsia"/>
          <w:lang w:val="en-US" w:eastAsia="zh-CN"/>
        </w:rPr>
        <w:t>1630</w:t>
      </w:r>
      <w:r>
        <w:rPr>
          <w:rFonts w:hint="default"/>
          <w:lang w:val="en-US" w:eastAsia="zh-CN"/>
        </w:rPr>
        <w:t>m台阶（</w:t>
      </w:r>
      <w:r>
        <w:rPr>
          <w:rFonts w:hint="eastAsia"/>
          <w:lang w:val="en-US" w:eastAsia="zh-CN"/>
        </w:rPr>
        <w:t>8</w:t>
      </w:r>
      <w:r>
        <w:rPr>
          <w:rFonts w:hint="default"/>
          <w:lang w:val="en-US" w:eastAsia="zh-CN"/>
        </w:rPr>
        <w:t>m清扫平台）→</w:t>
      </w:r>
      <w:r>
        <w:rPr>
          <w:rFonts w:hint="eastAsia"/>
          <w:lang w:val="en-US" w:eastAsia="zh-CN"/>
        </w:rPr>
        <w:t>1615</w:t>
      </w:r>
      <w:r>
        <w:rPr>
          <w:rFonts w:hint="default"/>
          <w:lang w:val="en-US" w:eastAsia="zh-CN"/>
        </w:rPr>
        <w:t>m台阶（</w:t>
      </w:r>
      <w:r>
        <w:rPr>
          <w:rFonts w:hint="eastAsia"/>
          <w:lang w:val="en-US" w:eastAsia="zh-CN"/>
        </w:rPr>
        <w:t>6</w:t>
      </w:r>
      <w:r>
        <w:rPr>
          <w:rFonts w:hint="default"/>
          <w:lang w:val="en-US" w:eastAsia="zh-CN"/>
        </w:rPr>
        <w:t>m安全平</w:t>
      </w:r>
      <w:r>
        <w:rPr>
          <w:rFonts w:hint="eastAsia"/>
          <w:lang w:val="en-US" w:eastAsia="zh-CN"/>
        </w:rPr>
        <w:t>台</w:t>
      </w:r>
      <w:r>
        <w:rPr>
          <w:rFonts w:hint="default"/>
          <w:lang w:val="en-US" w:eastAsia="zh-CN"/>
        </w:rPr>
        <w:t>）→</w:t>
      </w:r>
      <w:r>
        <w:rPr>
          <w:rFonts w:hint="eastAsia"/>
          <w:lang w:val="en-US" w:eastAsia="zh-CN"/>
        </w:rPr>
        <w:t>1607</w:t>
      </w:r>
      <w:r>
        <w:rPr>
          <w:rFonts w:hint="default"/>
          <w:lang w:val="en-US" w:eastAsia="zh-CN"/>
        </w:rPr>
        <w:t>m台阶（底部平台</w:t>
      </w:r>
      <w:r>
        <w:rPr>
          <w:rFonts w:hint="eastAsia"/>
          <w:lang w:val="en-US" w:eastAsia="zh-CN"/>
        </w:rPr>
        <w:t>）</w:t>
      </w:r>
      <w:r>
        <w:t>。</w:t>
      </w:r>
    </w:p>
    <w:p w14:paraId="1A9E8CA2">
      <w:pPr>
        <w:bidi w:val="0"/>
        <w:rPr>
          <w:lang w:val="en-US" w:eastAsia="en-US"/>
        </w:rPr>
      </w:pPr>
      <w:r>
        <w:rPr>
          <w:lang w:val="en-US" w:eastAsia="en-US"/>
        </w:rPr>
        <w:t>2、建设情况</w:t>
      </w:r>
    </w:p>
    <w:p w14:paraId="1391E14E">
      <w:pPr>
        <w:bidi w:val="0"/>
        <w:rPr>
          <w:lang w:val="en-US" w:eastAsia="en-US"/>
        </w:rPr>
      </w:pPr>
      <w:r>
        <w:rPr>
          <w:lang w:val="en-US" w:eastAsia="en-US"/>
        </w:rPr>
        <w:t>矿山采用山坡露天开采，矿体直接出露地表，矿区顶部少量残坡积层由履带式挖掘机进行剥离，目前开采形成</w:t>
      </w:r>
      <w:r>
        <w:rPr>
          <w:rFonts w:hint="eastAsia"/>
          <w:lang w:val="en-US" w:eastAsia="zh-CN"/>
        </w:rPr>
        <w:t>1705m安全</w:t>
      </w:r>
      <w:r>
        <w:rPr>
          <w:rFonts w:hint="default"/>
          <w:lang w:val="en-US" w:eastAsia="zh-CN"/>
        </w:rPr>
        <w:t>平台</w:t>
      </w:r>
      <w:r>
        <w:rPr>
          <w:rFonts w:hint="eastAsia"/>
          <w:lang w:val="en-US" w:eastAsia="zh-CN"/>
        </w:rPr>
        <w:t>、1690m安全</w:t>
      </w:r>
      <w:r>
        <w:rPr>
          <w:rFonts w:hint="default"/>
          <w:lang w:val="en-US" w:eastAsia="zh-CN"/>
        </w:rPr>
        <w:t>平台</w:t>
      </w:r>
      <w:r>
        <w:rPr>
          <w:rFonts w:hint="eastAsia"/>
          <w:lang w:val="en-US" w:eastAsia="zh-CN"/>
        </w:rPr>
        <w:t>、1675m清扫</w:t>
      </w:r>
      <w:r>
        <w:rPr>
          <w:rFonts w:hint="default"/>
          <w:lang w:val="en-US" w:eastAsia="zh-CN"/>
        </w:rPr>
        <w:t>平台</w:t>
      </w:r>
      <w:r>
        <w:rPr>
          <w:rFonts w:hint="eastAsia"/>
          <w:lang w:val="en-US" w:eastAsia="zh-CN"/>
        </w:rPr>
        <w:t>、</w:t>
      </w:r>
      <w:r>
        <w:t>1</w:t>
      </w:r>
      <w:r>
        <w:rPr>
          <w:rFonts w:hint="eastAsia"/>
          <w:lang w:val="en-US" w:eastAsia="zh-CN"/>
        </w:rPr>
        <w:t>660</w:t>
      </w:r>
      <w:r>
        <w:t>m</w:t>
      </w:r>
      <w:r>
        <w:rPr>
          <w:rFonts w:hint="eastAsia"/>
          <w:lang w:val="en-US" w:eastAsia="zh-CN"/>
        </w:rPr>
        <w:t>采矿</w:t>
      </w:r>
      <w:r>
        <w:t>平台</w:t>
      </w:r>
      <w:r>
        <w:rPr>
          <w:lang w:val="en-US" w:eastAsia="en-US"/>
        </w:rPr>
        <w:t>，</w:t>
      </w:r>
      <w:r>
        <w:rPr>
          <w:rFonts w:hint="eastAsia"/>
          <w:lang w:val="en-US" w:eastAsia="zh-CN"/>
        </w:rPr>
        <w:t>1645m铲装平台。</w:t>
      </w:r>
      <w:r>
        <w:rPr>
          <w:lang w:val="en-US" w:eastAsia="en-US"/>
        </w:rPr>
        <w:t>开采顺序由上</w:t>
      </w:r>
      <w:r>
        <w:rPr>
          <w:rFonts w:hint="eastAsia"/>
          <w:lang w:val="en-US" w:eastAsia="zh-CN"/>
        </w:rPr>
        <w:t>至</w:t>
      </w:r>
      <w:r>
        <w:rPr>
          <w:lang w:val="en-US" w:eastAsia="en-US"/>
        </w:rPr>
        <w:t>下分台阶开采，台阶内沿山体走向进行开采。</w:t>
      </w:r>
    </w:p>
    <w:p w14:paraId="365032F3">
      <w:pPr>
        <w:bidi w:val="0"/>
        <w:rPr>
          <w:rFonts w:ascii="宋体" w:hAnsi="宋体" w:eastAsia="宋体" w:cs="宋体"/>
          <w:snapToGrid w:val="0"/>
          <w:color w:val="000000"/>
          <w:kern w:val="0"/>
          <w:szCs w:val="28"/>
          <w:lang w:val="en-US" w:eastAsia="en-US" w:bidi="ar-SA"/>
        </w:rPr>
      </w:pPr>
      <w:r>
        <w:rPr>
          <w:rFonts w:hint="eastAsia"/>
          <w:lang w:val="en-US" w:eastAsia="zh-CN"/>
        </w:rPr>
        <w:t>3、</w:t>
      </w:r>
      <w:r>
        <w:rPr>
          <w:lang w:val="en-US" w:eastAsia="en-US"/>
        </w:rPr>
        <w:t>结论：采矿方法与设计一致。</w:t>
      </w:r>
    </w:p>
    <w:p w14:paraId="77F4962B">
      <w:pPr>
        <w:pStyle w:val="5"/>
        <w:bidi w:val="0"/>
        <w:rPr>
          <w:lang w:val="en-US" w:eastAsia="en-US"/>
        </w:rPr>
      </w:pPr>
      <w:bookmarkStart w:id="202" w:name="_Toc24782"/>
      <w:r>
        <w:rPr>
          <w:lang w:val="en-US" w:eastAsia="en-US"/>
        </w:rPr>
        <w:t>2.4.5.3穿孔爆破</w:t>
      </w:r>
      <w:bookmarkEnd w:id="202"/>
    </w:p>
    <w:p w14:paraId="1F5677A9">
      <w:pPr>
        <w:bidi w:val="0"/>
        <w:rPr>
          <w:lang w:val="en-US" w:eastAsia="en-US"/>
        </w:rPr>
      </w:pPr>
      <w:r>
        <w:rPr>
          <w:rFonts w:hint="eastAsia"/>
          <w:lang w:val="en-US" w:eastAsia="zh-CN"/>
        </w:rPr>
        <w:t>1、</w:t>
      </w:r>
      <w:r>
        <w:rPr>
          <w:lang w:val="en-US" w:eastAsia="en-US"/>
        </w:rPr>
        <w:t>设计情况</w:t>
      </w:r>
    </w:p>
    <w:p w14:paraId="1F0BEFB5">
      <w:pPr>
        <w:bidi w:val="0"/>
        <w:rPr>
          <w:rFonts w:hint="default" w:ascii="Times New Roman" w:hAnsi="Times New Roman" w:eastAsia="宋体" w:cs="Times New Roman"/>
          <w:color w:val="auto"/>
          <w:szCs w:val="28"/>
          <w:lang w:val="zh-TW"/>
        </w:rPr>
      </w:pPr>
      <w:r>
        <w:rPr>
          <w:rFonts w:hint="default"/>
          <w:color w:val="auto"/>
          <w:lang w:val="en-US" w:eastAsia="zh-CN"/>
        </w:rPr>
        <w:t>使用矿山</w:t>
      </w:r>
      <w:r>
        <w:rPr>
          <w:rFonts w:hint="eastAsia"/>
          <w:color w:val="auto"/>
          <w:lang w:val="en-US" w:eastAsia="zh-CN"/>
        </w:rPr>
        <w:t>现</w:t>
      </w:r>
      <w:r>
        <w:rPr>
          <w:rFonts w:hint="default"/>
          <w:color w:val="auto"/>
          <w:lang w:val="en-US" w:eastAsia="zh-CN"/>
        </w:rPr>
        <w:t>有设备</w:t>
      </w:r>
      <w:r>
        <w:rPr>
          <w:rFonts w:hint="default" w:ascii="Times New Roman" w:hAnsi="Times New Roman" w:eastAsia="宋体" w:cs="Times New Roman"/>
          <w:color w:val="auto"/>
          <w:szCs w:val="28"/>
          <w:lang w:eastAsia="zh-CN"/>
        </w:rPr>
        <w:t>普瑞阿斯BK37-86（8m³/min）空压机为</w:t>
      </w:r>
      <w:r>
        <w:rPr>
          <w:rFonts w:hint="default" w:ascii="Times New Roman" w:hAnsi="Times New Roman" w:eastAsia="宋体" w:cs="Times New Roman"/>
          <w:color w:val="auto"/>
          <w:szCs w:val="21"/>
          <w:lang w:eastAsia="zh-CN"/>
        </w:rPr>
        <w:t>KG910B露天潜孔钻车</w:t>
      </w:r>
      <w:r>
        <w:rPr>
          <w:rFonts w:hint="default" w:ascii="Times New Roman" w:hAnsi="Times New Roman" w:eastAsia="宋体" w:cs="Times New Roman"/>
          <w:color w:val="auto"/>
          <w:szCs w:val="28"/>
        </w:rPr>
        <w:t>供气</w:t>
      </w:r>
      <w:r>
        <w:rPr>
          <w:rFonts w:hint="default" w:ascii="Times New Roman" w:hAnsi="Times New Roman" w:eastAsia="宋体" w:cs="Times New Roman"/>
          <w:color w:val="auto"/>
          <w:szCs w:val="28"/>
          <w:lang w:val="zh-TW"/>
        </w:rPr>
        <w:t>。</w:t>
      </w:r>
    </w:p>
    <w:p w14:paraId="7199975F">
      <w:pPr>
        <w:keepNext w:val="0"/>
        <w:keepLines w:val="0"/>
        <w:pageBreakBefore w:val="0"/>
        <w:widowControl w:val="0"/>
        <w:kinsoku/>
        <w:wordWrap/>
        <w:overflowPunct/>
        <w:topLinePunct w:val="0"/>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default" w:ascii="Times New Roman" w:hAnsi="Times New Roman" w:eastAsia="宋体" w:cs="Times New Roman"/>
          <w:b w:val="0"/>
          <w:bCs w:val="0"/>
          <w:i w:val="0"/>
          <w:iCs w:val="0"/>
          <w:smallCaps w:val="0"/>
          <w:strike w:val="0"/>
          <w:color w:val="auto"/>
          <w:kern w:val="2"/>
          <w:sz w:val="28"/>
          <w:szCs w:val="28"/>
          <w:u w:val="none"/>
          <w:lang w:val="en-US" w:eastAsia="zh-CN" w:bidi="ar-SA"/>
        </w:rPr>
      </w:pPr>
      <w:r>
        <w:rPr>
          <w:rFonts w:hint="eastAsia" w:ascii="Times New Roman" w:hAnsi="Times New Roman" w:eastAsia="宋体" w:cs="Times New Roman"/>
          <w:b w:val="0"/>
          <w:bCs w:val="0"/>
          <w:i w:val="0"/>
          <w:iCs w:val="0"/>
          <w:smallCaps w:val="0"/>
          <w:strike w:val="0"/>
          <w:color w:val="auto"/>
          <w:kern w:val="2"/>
          <w:sz w:val="28"/>
          <w:szCs w:val="28"/>
          <w:u w:val="none"/>
          <w:lang w:val="en-US" w:eastAsia="zh-CN" w:bidi="ar-SA"/>
        </w:rPr>
        <w:t>（</w:t>
      </w:r>
      <w:r>
        <w:rPr>
          <w:rFonts w:hint="default" w:ascii="Times New Roman" w:hAnsi="Times New Roman" w:eastAsia="宋体" w:cs="Times New Roman"/>
          <w:b w:val="0"/>
          <w:bCs w:val="0"/>
          <w:i w:val="0"/>
          <w:iCs w:val="0"/>
          <w:smallCaps w:val="0"/>
          <w:strike w:val="0"/>
          <w:color w:val="auto"/>
          <w:kern w:val="2"/>
          <w:sz w:val="28"/>
          <w:szCs w:val="28"/>
          <w:u w:val="none"/>
          <w:lang w:val="en-US" w:eastAsia="zh-CN" w:bidi="ar-SA"/>
        </w:rPr>
        <w:t>1</w:t>
      </w:r>
      <w:r>
        <w:rPr>
          <w:rFonts w:hint="eastAsia" w:ascii="Times New Roman" w:hAnsi="Times New Roman" w:eastAsia="宋体" w:cs="Times New Roman"/>
          <w:b w:val="0"/>
          <w:bCs w:val="0"/>
          <w:i w:val="0"/>
          <w:iCs w:val="0"/>
          <w:smallCaps w:val="0"/>
          <w:strike w:val="0"/>
          <w:color w:val="auto"/>
          <w:kern w:val="2"/>
          <w:sz w:val="28"/>
          <w:szCs w:val="28"/>
          <w:u w:val="none"/>
          <w:lang w:val="en-US" w:eastAsia="zh-CN" w:bidi="ar-SA"/>
        </w:rPr>
        <w:t>）</w:t>
      </w:r>
      <w:r>
        <w:rPr>
          <w:rFonts w:hint="default" w:ascii="Times New Roman" w:hAnsi="Times New Roman" w:eastAsia="宋体" w:cs="Times New Roman"/>
          <w:b w:val="0"/>
          <w:bCs w:val="0"/>
          <w:i w:val="0"/>
          <w:iCs w:val="0"/>
          <w:smallCaps w:val="0"/>
          <w:strike w:val="0"/>
          <w:color w:val="auto"/>
          <w:kern w:val="2"/>
          <w:sz w:val="28"/>
          <w:szCs w:val="28"/>
          <w:u w:val="none"/>
          <w:lang w:val="en-US" w:eastAsia="zh-CN" w:bidi="ar-SA"/>
        </w:rPr>
        <w:t>炮孔布置形式</w:t>
      </w:r>
    </w:p>
    <w:p w14:paraId="6789D4D8">
      <w:pPr>
        <w:pStyle w:val="15"/>
        <w:keepNext w:val="0"/>
        <w:keepLines w:val="0"/>
        <w:pageBreakBefore w:val="0"/>
        <w:widowControl w:val="0"/>
        <w:kinsoku/>
        <w:wordWrap/>
        <w:overflowPunct/>
        <w:topLinePunct w:val="0"/>
        <w:bidi w:val="0"/>
        <w:adjustRightInd w:val="0"/>
        <w:snapToGrid w:val="0"/>
        <w:spacing w:before="0" w:beforeLines="0" w:after="0" w:afterLines="0" w:line="360" w:lineRule="auto"/>
        <w:ind w:left="0" w:leftChars="0" w:right="0" w:rightChars="0" w:firstLine="552" w:firstLineChars="200"/>
        <w:jc w:val="both"/>
        <w:outlineLvl w:val="9"/>
        <w:rPr>
          <w:rFonts w:hint="default" w:ascii="Times New Roman" w:hAnsi="Times New Roman" w:eastAsia="宋体" w:cs="Times New Roman"/>
          <w:color w:val="auto"/>
          <w:sz w:val="28"/>
          <w:szCs w:val="28"/>
          <w:highlight w:val="none"/>
        </w:rPr>
      </w:pPr>
      <w:r>
        <w:rPr>
          <w:rFonts w:hint="default" w:ascii="Times New Roman" w:hAnsi="Times New Roman" w:eastAsia="宋体" w:cs="Times New Roman"/>
          <w:color w:val="auto"/>
          <w:sz w:val="28"/>
          <w:szCs w:val="28"/>
          <w:lang w:val="en-US" w:eastAsia="zh-CN"/>
        </w:rPr>
        <w:t>生产时布置垂直孔，</w:t>
      </w:r>
      <w:r>
        <w:rPr>
          <w:rFonts w:hint="default" w:ascii="Times New Roman" w:hAnsi="Times New Roman" w:eastAsia="宋体" w:cs="Times New Roman"/>
          <w:color w:val="auto"/>
          <w:sz w:val="28"/>
          <w:szCs w:val="28"/>
        </w:rPr>
        <w:t>采用多排梅花形布孔方式</w:t>
      </w:r>
      <w:r>
        <w:rPr>
          <w:rFonts w:hint="default" w:ascii="Times New Roman" w:hAnsi="Times New Roman" w:eastAsia="宋体" w:cs="Times New Roman"/>
          <w:color w:val="auto"/>
          <w:sz w:val="28"/>
          <w:szCs w:val="28"/>
          <w:highlight w:val="none"/>
          <w:lang w:eastAsia="zh-CN"/>
        </w:rPr>
        <w:t>。</w:t>
      </w:r>
    </w:p>
    <w:p w14:paraId="494118C0">
      <w:pPr>
        <w:bidi w:val="0"/>
        <w:rPr>
          <w:rFonts w:hint="default"/>
          <w:lang w:val="en-US" w:eastAsia="zh-CN"/>
        </w:rPr>
      </w:pPr>
      <w:r>
        <w:rPr>
          <w:rFonts w:hint="eastAsia"/>
          <w:lang w:val="en-US" w:eastAsia="zh-CN"/>
        </w:rPr>
        <w:t>（2）</w:t>
      </w:r>
      <w:r>
        <w:rPr>
          <w:rFonts w:hint="default"/>
          <w:lang w:val="en-US" w:eastAsia="zh-CN"/>
        </w:rPr>
        <w:t>爆破参数</w:t>
      </w:r>
    </w:p>
    <w:p w14:paraId="5296EF35">
      <w:pPr>
        <w:bidi w:val="0"/>
        <w:rPr>
          <w:rFonts w:hint="default"/>
          <w:lang w:val="en-US" w:eastAsia="zh-CN"/>
        </w:rPr>
      </w:pPr>
      <w:r>
        <w:rPr>
          <w:rFonts w:hint="eastAsia" w:ascii="微软雅黑" w:hAnsi="微软雅黑" w:eastAsia="微软雅黑" w:cs="微软雅黑"/>
          <w:lang w:val="en-US" w:eastAsia="zh-CN"/>
        </w:rPr>
        <w:t>①</w:t>
      </w:r>
      <w:r>
        <w:rPr>
          <w:rFonts w:hint="eastAsia"/>
          <w:lang w:val="en-US" w:eastAsia="zh-CN"/>
        </w:rPr>
        <w:t>工作孔爆破参数（</w:t>
      </w:r>
      <w:r>
        <w:rPr>
          <w:rFonts w:hint="default"/>
        </w:rPr>
        <w:t>表</w:t>
      </w:r>
      <w:r>
        <w:rPr>
          <w:rFonts w:hint="eastAsia"/>
          <w:lang w:val="en-US" w:eastAsia="zh-CN"/>
        </w:rPr>
        <w:t>2.4-4）。</w:t>
      </w:r>
    </w:p>
    <w:p w14:paraId="715A29BB">
      <w:pPr>
        <w:widowControl w:val="0"/>
        <w:wordWrap/>
        <w:adjustRightInd w:val="0"/>
        <w:snapToGrid w:val="0"/>
        <w:spacing w:before="0" w:beforeLines="0" w:after="0" w:afterLines="0" w:line="240" w:lineRule="auto"/>
        <w:ind w:left="0" w:leftChars="0" w:right="0" w:firstLine="474" w:firstLineChars="200"/>
        <w:jc w:val="center"/>
        <w:textAlignment w:val="auto"/>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eastAsia" w:cs="Times New Roman"/>
          <w:b/>
          <w:bCs/>
          <w:color w:val="auto"/>
          <w:sz w:val="24"/>
          <w:szCs w:val="24"/>
          <w:highlight w:val="none"/>
          <w:lang w:val="en-US" w:eastAsia="zh-CN"/>
        </w:rPr>
        <w:t>2.4-4</w:t>
      </w:r>
      <w:r>
        <w:rPr>
          <w:rFonts w:hint="default" w:ascii="Times New Roman" w:hAnsi="Times New Roman" w:eastAsia="宋体" w:cs="Times New Roman"/>
          <w:b/>
          <w:bCs/>
          <w:color w:val="auto"/>
          <w:sz w:val="24"/>
          <w:szCs w:val="24"/>
          <w:highlight w:val="none"/>
          <w:lang w:val="en-US" w:eastAsia="zh-CN"/>
        </w:rPr>
        <w:t xml:space="preserve"> </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垂直孔（工作）爆破作</w:t>
      </w:r>
      <w:r>
        <w:rPr>
          <w:rFonts w:hint="default" w:ascii="Times New Roman" w:hAnsi="Times New Roman" w:eastAsia="宋体" w:cs="Times New Roman"/>
          <w:b/>
          <w:bCs/>
          <w:color w:val="auto"/>
          <w:sz w:val="24"/>
          <w:szCs w:val="24"/>
          <w:highlight w:val="none"/>
        </w:rPr>
        <w:t>业参数表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898"/>
        <w:gridCol w:w="1931"/>
        <w:gridCol w:w="2608"/>
        <w:gridCol w:w="1546"/>
      </w:tblGrid>
      <w:tr w14:paraId="0CC65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tblHeader/>
          <w:jc w:val="center"/>
        </w:trPr>
        <w:tc>
          <w:tcPr>
            <w:tcW w:w="2898" w:type="dxa"/>
            <w:noWrap w:val="0"/>
            <w:vAlign w:val="center"/>
          </w:tcPr>
          <w:p w14:paraId="44BADAE0">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参数名称</w:t>
            </w:r>
          </w:p>
        </w:tc>
        <w:tc>
          <w:tcPr>
            <w:tcW w:w="1931" w:type="dxa"/>
            <w:noWrap w:val="0"/>
            <w:vAlign w:val="center"/>
          </w:tcPr>
          <w:p w14:paraId="75559080">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单</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位</w:t>
            </w:r>
          </w:p>
        </w:tc>
        <w:tc>
          <w:tcPr>
            <w:tcW w:w="2608" w:type="dxa"/>
            <w:noWrap w:val="0"/>
            <w:vAlign w:val="center"/>
          </w:tcPr>
          <w:p w14:paraId="0FA9142B">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数</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值</w:t>
            </w:r>
          </w:p>
        </w:tc>
        <w:tc>
          <w:tcPr>
            <w:tcW w:w="1546" w:type="dxa"/>
            <w:noWrap w:val="0"/>
            <w:vAlign w:val="center"/>
          </w:tcPr>
          <w:p w14:paraId="696A6EF1">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备</w:t>
            </w:r>
            <w:r>
              <w:rPr>
                <w:rFonts w:hint="eastAsia"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注</w:t>
            </w:r>
          </w:p>
        </w:tc>
      </w:tr>
      <w:tr w14:paraId="7E5429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40BB8FE0">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孔径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d</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7C23062B">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mm</w:t>
            </w:r>
          </w:p>
        </w:tc>
        <w:tc>
          <w:tcPr>
            <w:tcW w:w="2608" w:type="dxa"/>
            <w:noWrap w:val="0"/>
            <w:vAlign w:val="center"/>
          </w:tcPr>
          <w:p w14:paraId="66D6424E">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1</w:t>
            </w:r>
            <w:r>
              <w:rPr>
                <w:rFonts w:hint="eastAsia" w:ascii="Times New Roman" w:hAnsi="Times New Roman" w:eastAsia="宋体" w:cs="Times New Roman"/>
                <w:color w:val="auto"/>
                <w:sz w:val="21"/>
                <w:szCs w:val="21"/>
                <w:highlight w:val="none"/>
                <w:lang w:val="en-US" w:eastAsia="zh-CN"/>
              </w:rPr>
              <w:t>1</w:t>
            </w:r>
            <w:r>
              <w:rPr>
                <w:rFonts w:hint="default" w:ascii="Times New Roman" w:hAnsi="Times New Roman" w:eastAsia="宋体" w:cs="Times New Roman"/>
                <w:color w:val="auto"/>
                <w:sz w:val="21"/>
                <w:szCs w:val="21"/>
                <w:highlight w:val="none"/>
              </w:rPr>
              <w:t>0</w:t>
            </w:r>
          </w:p>
        </w:tc>
        <w:tc>
          <w:tcPr>
            <w:tcW w:w="1546" w:type="dxa"/>
            <w:noWrap w:val="0"/>
            <w:vAlign w:val="center"/>
          </w:tcPr>
          <w:p w14:paraId="5367AD0E">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23D8DF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644B983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台阶高度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78909835">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26E9D2BD">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5</w:t>
            </w:r>
          </w:p>
        </w:tc>
        <w:tc>
          <w:tcPr>
            <w:tcW w:w="1546" w:type="dxa"/>
            <w:noWrap w:val="0"/>
            <w:vAlign w:val="center"/>
          </w:tcPr>
          <w:p w14:paraId="735D33A1">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4B44F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27C2293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最小抵抗线</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W</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0DDA01BF">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66B8E045">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rPr>
              <w:t>3</w:t>
            </w:r>
            <w:r>
              <w:rPr>
                <w:rFonts w:hint="eastAsia" w:ascii="Times New Roman" w:hAnsi="Times New Roman" w:eastAsia="宋体" w:cs="Times New Roman"/>
                <w:color w:val="auto"/>
                <w:sz w:val="21"/>
                <w:szCs w:val="21"/>
                <w:lang w:val="en-US" w:eastAsia="zh-CN"/>
              </w:rPr>
              <w:t>.5</w:t>
            </w:r>
          </w:p>
        </w:tc>
        <w:tc>
          <w:tcPr>
            <w:tcW w:w="1546" w:type="dxa"/>
            <w:noWrap w:val="0"/>
            <w:vAlign w:val="center"/>
          </w:tcPr>
          <w:p w14:paraId="6C868978">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27B503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170A9A14">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孔距</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7A1349A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41BF0D7A">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lang w:val="en-US" w:eastAsia="zh-CN"/>
              </w:rPr>
              <w:t>4.</w:t>
            </w:r>
            <w:r>
              <w:rPr>
                <w:rFonts w:hint="eastAsia" w:ascii="Times New Roman" w:hAnsi="Times New Roman" w:eastAsia="宋体" w:cs="Times New Roman"/>
                <w:color w:val="auto"/>
                <w:sz w:val="21"/>
                <w:szCs w:val="21"/>
                <w:lang w:val="en-US" w:eastAsia="zh-CN"/>
              </w:rPr>
              <w:t>0</w:t>
            </w:r>
          </w:p>
        </w:tc>
        <w:tc>
          <w:tcPr>
            <w:tcW w:w="1546" w:type="dxa"/>
            <w:noWrap w:val="0"/>
            <w:vAlign w:val="center"/>
          </w:tcPr>
          <w:p w14:paraId="4426972A">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149213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0F49BD3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排距</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b</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4C41020D">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63F11B3A">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lang w:val="en-US" w:eastAsia="zh-CN"/>
              </w:rPr>
              <w:t>5.0</w:t>
            </w:r>
          </w:p>
        </w:tc>
        <w:tc>
          <w:tcPr>
            <w:tcW w:w="1546" w:type="dxa"/>
            <w:noWrap w:val="0"/>
            <w:vAlign w:val="center"/>
          </w:tcPr>
          <w:p w14:paraId="3C981A44">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4AA90E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63040224">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超深</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68C314C7">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54F1E718">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1.</w:t>
            </w:r>
            <w:r>
              <w:rPr>
                <w:rFonts w:hint="eastAsia" w:ascii="Times New Roman" w:hAnsi="Times New Roman" w:eastAsia="宋体" w:cs="Times New Roman"/>
                <w:color w:val="auto"/>
                <w:sz w:val="21"/>
                <w:szCs w:val="21"/>
                <w:lang w:val="en-US" w:eastAsia="zh-CN"/>
              </w:rPr>
              <w:t>5</w:t>
            </w:r>
          </w:p>
        </w:tc>
        <w:tc>
          <w:tcPr>
            <w:tcW w:w="1546" w:type="dxa"/>
            <w:noWrap w:val="0"/>
            <w:vAlign w:val="center"/>
          </w:tcPr>
          <w:p w14:paraId="6E84F5C4">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449B56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1EB8FB8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孔深</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L</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07188F5C">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2B5F6A2E">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6.5</w:t>
            </w:r>
          </w:p>
        </w:tc>
        <w:tc>
          <w:tcPr>
            <w:tcW w:w="1546" w:type="dxa"/>
            <w:noWrap w:val="0"/>
            <w:vAlign w:val="center"/>
          </w:tcPr>
          <w:p w14:paraId="0FCCA56F">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47BF49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72DAE46F">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每米炮孔装药量</w:t>
            </w:r>
          </w:p>
        </w:tc>
        <w:tc>
          <w:tcPr>
            <w:tcW w:w="1931" w:type="dxa"/>
            <w:noWrap w:val="0"/>
            <w:vAlign w:val="center"/>
          </w:tcPr>
          <w:p w14:paraId="32FE1B73">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kg/m</w:t>
            </w:r>
          </w:p>
        </w:tc>
        <w:tc>
          <w:tcPr>
            <w:tcW w:w="2608" w:type="dxa"/>
            <w:noWrap w:val="0"/>
            <w:vAlign w:val="center"/>
          </w:tcPr>
          <w:p w14:paraId="3024127B">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7.46</w:t>
            </w:r>
          </w:p>
        </w:tc>
        <w:tc>
          <w:tcPr>
            <w:tcW w:w="1546" w:type="dxa"/>
            <w:noWrap w:val="0"/>
            <w:vAlign w:val="center"/>
          </w:tcPr>
          <w:p w14:paraId="290FD053">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0152D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3ECD9449">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单位炸药消耗量</w:t>
            </w:r>
          </w:p>
        </w:tc>
        <w:tc>
          <w:tcPr>
            <w:tcW w:w="1931" w:type="dxa"/>
            <w:noWrap w:val="0"/>
            <w:vAlign w:val="center"/>
          </w:tcPr>
          <w:p w14:paraId="2EEFCB5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kg/m</w:t>
            </w:r>
            <w:r>
              <w:rPr>
                <w:rFonts w:hint="default" w:ascii="Times New Roman" w:hAnsi="Times New Roman" w:eastAsia="宋体" w:cs="Times New Roman"/>
                <w:color w:val="auto"/>
                <w:sz w:val="21"/>
                <w:szCs w:val="21"/>
                <w:highlight w:val="none"/>
                <w:vertAlign w:val="superscript"/>
                <w:lang w:val="en-US" w:eastAsia="zh-CN"/>
              </w:rPr>
              <w:t>3</w:t>
            </w:r>
          </w:p>
        </w:tc>
        <w:tc>
          <w:tcPr>
            <w:tcW w:w="2608" w:type="dxa"/>
            <w:noWrap w:val="0"/>
            <w:vAlign w:val="center"/>
          </w:tcPr>
          <w:p w14:paraId="066D3637">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0.</w:t>
            </w:r>
            <w:r>
              <w:rPr>
                <w:rFonts w:hint="eastAsia" w:cs="Times New Roman"/>
                <w:color w:val="auto"/>
                <w:sz w:val="21"/>
                <w:szCs w:val="21"/>
                <w:lang w:val="en-US" w:eastAsia="zh-CN"/>
              </w:rPr>
              <w:t>32</w:t>
            </w:r>
          </w:p>
        </w:tc>
        <w:tc>
          <w:tcPr>
            <w:tcW w:w="1546" w:type="dxa"/>
            <w:noWrap w:val="0"/>
            <w:vAlign w:val="center"/>
          </w:tcPr>
          <w:p w14:paraId="30969AE0">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4575F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77723F7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单孔装药量Q</w:t>
            </w:r>
            <w:r>
              <w:rPr>
                <w:rFonts w:hint="default" w:ascii="Times New Roman" w:hAnsi="Times New Roman" w:eastAsia="宋体" w:cs="Times New Roman"/>
                <w:color w:val="auto"/>
                <w:sz w:val="21"/>
                <w:szCs w:val="21"/>
                <w:highlight w:val="none"/>
                <w:vertAlign w:val="subscript"/>
                <w:lang w:val="en-US" w:eastAsia="zh-CN"/>
              </w:rPr>
              <w:t>1（</w:t>
            </w:r>
            <w:r>
              <w:rPr>
                <w:rFonts w:hint="default" w:ascii="Times New Roman" w:hAnsi="Times New Roman" w:eastAsia="宋体" w:cs="Times New Roman"/>
                <w:color w:val="auto"/>
                <w:sz w:val="21"/>
                <w:szCs w:val="21"/>
                <w:highlight w:val="none"/>
                <w:vertAlign w:val="subscript"/>
                <w:lang w:eastAsia="zh-CN"/>
              </w:rPr>
              <w:t>单孔</w:t>
            </w:r>
            <w:r>
              <w:rPr>
                <w:rFonts w:hint="default" w:ascii="Times New Roman" w:hAnsi="Times New Roman" w:eastAsia="宋体" w:cs="Times New Roman"/>
                <w:color w:val="auto"/>
                <w:sz w:val="21"/>
                <w:szCs w:val="21"/>
                <w:highlight w:val="none"/>
                <w:vertAlign w:val="subscript"/>
                <w:lang w:val="en-US" w:eastAsia="zh-CN"/>
              </w:rPr>
              <w:t>）</w:t>
            </w:r>
          </w:p>
        </w:tc>
        <w:tc>
          <w:tcPr>
            <w:tcW w:w="1931" w:type="dxa"/>
            <w:noWrap w:val="0"/>
            <w:vAlign w:val="center"/>
          </w:tcPr>
          <w:p w14:paraId="7BA1C670">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kg</w:t>
            </w:r>
          </w:p>
        </w:tc>
        <w:tc>
          <w:tcPr>
            <w:tcW w:w="2608" w:type="dxa"/>
            <w:noWrap w:val="0"/>
            <w:vAlign w:val="center"/>
          </w:tcPr>
          <w:p w14:paraId="59D09318">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96</w:t>
            </w:r>
          </w:p>
        </w:tc>
        <w:tc>
          <w:tcPr>
            <w:tcW w:w="1546" w:type="dxa"/>
            <w:noWrap w:val="0"/>
            <w:vAlign w:val="center"/>
          </w:tcPr>
          <w:p w14:paraId="3747E7FB">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67D68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1C4BCBC7">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装药长度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L</w:t>
            </w:r>
            <w:r>
              <w:rPr>
                <w:rFonts w:hint="default" w:ascii="Times New Roman" w:hAnsi="Times New Roman" w:eastAsia="宋体" w:cs="Times New Roman"/>
                <w:color w:val="auto"/>
                <w:sz w:val="21"/>
                <w:szCs w:val="21"/>
                <w:highlight w:val="none"/>
                <w:vertAlign w:val="subscript"/>
              </w:rPr>
              <w:t>1</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4FE300E0">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3CFE111B">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lang w:val="en-US" w:eastAsia="zh-CN"/>
              </w:rPr>
              <w:t>12.0</w:t>
            </w:r>
          </w:p>
        </w:tc>
        <w:tc>
          <w:tcPr>
            <w:tcW w:w="1546" w:type="dxa"/>
            <w:noWrap w:val="0"/>
            <w:vAlign w:val="center"/>
          </w:tcPr>
          <w:p w14:paraId="1B68C4B9">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17EF0B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1FE16E07">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填塞长度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L</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70FEFC7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608" w:type="dxa"/>
            <w:noWrap w:val="0"/>
            <w:vAlign w:val="center"/>
          </w:tcPr>
          <w:p w14:paraId="53CFFB26">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rPr>
            </w:pPr>
            <w:r>
              <w:rPr>
                <w:rFonts w:hint="eastAsia" w:ascii="Times New Roman" w:hAnsi="Times New Roman" w:eastAsia="宋体" w:cs="Times New Roman"/>
                <w:color w:val="auto"/>
                <w:sz w:val="21"/>
                <w:szCs w:val="21"/>
                <w:lang w:val="en-US" w:eastAsia="zh-CN"/>
              </w:rPr>
              <w:t>4.5</w:t>
            </w:r>
          </w:p>
        </w:tc>
        <w:tc>
          <w:tcPr>
            <w:tcW w:w="1546" w:type="dxa"/>
            <w:noWrap w:val="0"/>
            <w:vAlign w:val="center"/>
          </w:tcPr>
          <w:p w14:paraId="2238059E">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0B6F7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9" w:hRule="atLeast"/>
          <w:jc w:val="center"/>
        </w:trPr>
        <w:tc>
          <w:tcPr>
            <w:tcW w:w="2898" w:type="dxa"/>
            <w:noWrap w:val="0"/>
            <w:vAlign w:val="center"/>
          </w:tcPr>
          <w:p w14:paraId="769CE12A">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钻孔角度（</w:t>
            </w:r>
            <w:r>
              <w:rPr>
                <w:rFonts w:hint="default" w:ascii="Times New Roman" w:hAnsi="Times New Roman" w:eastAsia="宋体" w:cs="Times New Roman"/>
                <w:color w:val="auto"/>
                <w:sz w:val="21"/>
                <w:szCs w:val="21"/>
                <w:highlight w:val="none"/>
              </w:rPr>
              <w:t>α</w:t>
            </w:r>
            <w:r>
              <w:rPr>
                <w:rFonts w:hint="default" w:ascii="Times New Roman" w:hAnsi="Times New Roman" w:eastAsia="宋体" w:cs="Times New Roman"/>
                <w:color w:val="auto"/>
                <w:sz w:val="21"/>
                <w:szCs w:val="21"/>
                <w:highlight w:val="none"/>
                <w:lang w:eastAsia="zh-CN"/>
              </w:rPr>
              <w:t>）</w:t>
            </w:r>
          </w:p>
        </w:tc>
        <w:tc>
          <w:tcPr>
            <w:tcW w:w="1931" w:type="dxa"/>
            <w:noWrap w:val="0"/>
            <w:vAlign w:val="center"/>
          </w:tcPr>
          <w:p w14:paraId="51EDB940">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º</w:t>
            </w:r>
          </w:p>
        </w:tc>
        <w:tc>
          <w:tcPr>
            <w:tcW w:w="2608" w:type="dxa"/>
            <w:noWrap w:val="0"/>
            <w:vAlign w:val="center"/>
          </w:tcPr>
          <w:p w14:paraId="3E8CA298">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90</w:t>
            </w:r>
          </w:p>
        </w:tc>
        <w:tc>
          <w:tcPr>
            <w:tcW w:w="1546" w:type="dxa"/>
            <w:noWrap w:val="0"/>
            <w:vAlign w:val="center"/>
          </w:tcPr>
          <w:p w14:paraId="0DD48312">
            <w:pPr>
              <w:keepNext w:val="0"/>
              <w:keepLines w:val="0"/>
              <w:pageBreakBefore w:val="0"/>
              <w:widowControl w:val="0"/>
              <w:kinsoku/>
              <w:wordWrap/>
              <w:overflowPunct/>
              <w:topLinePunct w:val="0"/>
              <w:autoSpaceDE/>
              <w:autoSpaceDN/>
              <w:bidi w:val="0"/>
              <w:adjustRightInd w:val="0"/>
              <w:snapToGrid w:val="0"/>
              <w:spacing w:before="0" w:beforeLines="0" w:after="0" w:afterLines="0" w:line="240" w:lineRule="auto"/>
              <w:ind w:left="0" w:leftChars="0" w:right="0" w:rightChars="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bl>
    <w:p w14:paraId="46CE1F70">
      <w:pPr>
        <w:widowControl w:val="0"/>
        <w:wordWrap/>
        <w:adjustRightInd w:val="0"/>
        <w:snapToGrid w:val="0"/>
        <w:spacing w:before="0" w:beforeLines="0" w:after="0" w:afterLines="0" w:line="360" w:lineRule="auto"/>
        <w:ind w:left="0" w:leftChars="0" w:right="0" w:firstLine="552" w:firstLineChars="200"/>
        <w:jc w:val="both"/>
        <w:outlineLvl w:val="9"/>
        <w:rPr>
          <w:rFonts w:hint="default" w:ascii="Times New Roman" w:hAnsi="Times New Roman" w:eastAsia="宋体" w:cs="Times New Roman"/>
          <w:color w:val="auto"/>
          <w:sz w:val="28"/>
          <w:szCs w:val="28"/>
          <w:highlight w:val="none"/>
          <w:lang w:eastAsia="zh-CN"/>
        </w:rPr>
      </w:pPr>
      <w:r>
        <w:rPr>
          <w:rFonts w:hint="eastAsia" w:ascii="微软雅黑" w:hAnsi="微软雅黑" w:eastAsia="微软雅黑" w:cs="微软雅黑"/>
          <w:color w:val="auto"/>
          <w:sz w:val="28"/>
          <w:szCs w:val="28"/>
          <w:highlight w:val="none"/>
          <w:lang w:eastAsia="zh-CN"/>
        </w:rPr>
        <w:t>②</w:t>
      </w:r>
      <w:r>
        <w:rPr>
          <w:rFonts w:hint="default" w:ascii="Times New Roman" w:hAnsi="Times New Roman" w:eastAsia="宋体" w:cs="Times New Roman"/>
          <w:color w:val="auto"/>
          <w:sz w:val="28"/>
          <w:szCs w:val="28"/>
          <w:highlight w:val="none"/>
          <w:lang w:eastAsia="zh-CN"/>
        </w:rPr>
        <w:t>靠帮时采用预裂爆破，减少永久边坡的爆破扰动</w:t>
      </w:r>
      <w:r>
        <w:rPr>
          <w:rFonts w:hint="eastAsia"/>
          <w:lang w:val="en-US" w:eastAsia="zh-CN"/>
        </w:rPr>
        <w:t>（</w:t>
      </w:r>
      <w:r>
        <w:rPr>
          <w:rFonts w:hint="default"/>
        </w:rPr>
        <w:t>表</w:t>
      </w:r>
      <w:r>
        <w:rPr>
          <w:rFonts w:hint="eastAsia"/>
          <w:lang w:val="en-US" w:eastAsia="zh-CN"/>
        </w:rPr>
        <w:t>2.4-5）</w:t>
      </w:r>
    </w:p>
    <w:p w14:paraId="71370CF7">
      <w:pPr>
        <w:widowControl w:val="0"/>
        <w:wordWrap/>
        <w:adjustRightInd w:val="0"/>
        <w:snapToGrid w:val="0"/>
        <w:spacing w:before="0" w:beforeLines="0" w:after="0" w:afterLines="0" w:line="240" w:lineRule="auto"/>
        <w:ind w:left="0" w:leftChars="0" w:right="0" w:firstLine="474" w:firstLineChars="200"/>
        <w:jc w:val="center"/>
        <w:textAlignment w:val="auto"/>
        <w:outlineLvl w:val="9"/>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eastAsia" w:cs="Times New Roman"/>
          <w:b/>
          <w:bCs/>
          <w:color w:val="auto"/>
          <w:sz w:val="24"/>
          <w:szCs w:val="24"/>
          <w:highlight w:val="none"/>
          <w:lang w:val="en-US" w:eastAsia="zh-CN"/>
        </w:rPr>
        <w:t>2.4-5</w:t>
      </w:r>
      <w:r>
        <w:rPr>
          <w:rFonts w:hint="default" w:ascii="Times New Roman" w:hAnsi="Times New Roman" w:eastAsia="宋体" w:cs="Times New Roman"/>
          <w:b/>
          <w:bCs/>
          <w:color w:val="auto"/>
          <w:sz w:val="24"/>
          <w:szCs w:val="24"/>
          <w:highlight w:val="none"/>
        </w:rPr>
        <w:t xml:space="preserve"> </w:t>
      </w:r>
      <w:r>
        <w:rPr>
          <w:rFonts w:hint="default" w:ascii="Times New Roman" w:hAnsi="Times New Roman" w:eastAsia="宋体" w:cs="Times New Roman"/>
          <w:b/>
          <w:bCs/>
          <w:color w:val="auto"/>
          <w:sz w:val="24"/>
          <w:szCs w:val="24"/>
          <w:highlight w:val="none"/>
          <w:lang w:val="en-US" w:eastAsia="zh-CN"/>
        </w:rPr>
        <w:t>靠帮作业</w:t>
      </w:r>
      <w:r>
        <w:rPr>
          <w:rFonts w:hint="default" w:ascii="Times New Roman" w:hAnsi="Times New Roman" w:eastAsia="宋体" w:cs="Times New Roman"/>
          <w:b/>
          <w:bCs/>
          <w:color w:val="auto"/>
          <w:sz w:val="24"/>
          <w:szCs w:val="24"/>
          <w:highlight w:val="none"/>
          <w:lang w:eastAsia="zh-CN"/>
        </w:rPr>
        <w:t>（预裂</w:t>
      </w:r>
      <w:r>
        <w:rPr>
          <w:rFonts w:hint="default" w:ascii="Times New Roman" w:hAnsi="Times New Roman" w:eastAsia="宋体" w:cs="Times New Roman"/>
          <w:b/>
          <w:bCs/>
          <w:color w:val="auto"/>
          <w:sz w:val="24"/>
          <w:szCs w:val="24"/>
          <w:highlight w:val="none"/>
        </w:rPr>
        <w:t>爆破</w:t>
      </w:r>
      <w:r>
        <w:rPr>
          <w:rFonts w:hint="default" w:ascii="Times New Roman" w:hAnsi="Times New Roman" w:eastAsia="宋体" w:cs="Times New Roman"/>
          <w:b/>
          <w:bCs/>
          <w:color w:val="auto"/>
          <w:sz w:val="24"/>
          <w:szCs w:val="24"/>
          <w:highlight w:val="none"/>
          <w:lang w:eastAsia="zh-CN"/>
        </w:rPr>
        <w:t>）</w:t>
      </w:r>
      <w:r>
        <w:rPr>
          <w:rFonts w:hint="default" w:ascii="Times New Roman" w:hAnsi="Times New Roman" w:eastAsia="宋体" w:cs="Times New Roman"/>
          <w:b/>
          <w:bCs/>
          <w:color w:val="auto"/>
          <w:sz w:val="24"/>
          <w:szCs w:val="24"/>
          <w:highlight w:val="none"/>
        </w:rPr>
        <w:t>参数表</w:t>
      </w:r>
    </w:p>
    <w:tbl>
      <w:tblPr>
        <w:tblStyle w:val="35"/>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090"/>
        <w:gridCol w:w="1753"/>
        <w:gridCol w:w="2402"/>
        <w:gridCol w:w="1929"/>
      </w:tblGrid>
      <w:tr w14:paraId="4DA4F9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jc w:val="center"/>
        </w:trPr>
        <w:tc>
          <w:tcPr>
            <w:tcW w:w="3090" w:type="dxa"/>
            <w:noWrap w:val="0"/>
            <w:vAlign w:val="center"/>
          </w:tcPr>
          <w:p w14:paraId="4B222D9D">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参数名称</w:t>
            </w:r>
          </w:p>
        </w:tc>
        <w:tc>
          <w:tcPr>
            <w:tcW w:w="1753" w:type="dxa"/>
            <w:noWrap w:val="0"/>
            <w:vAlign w:val="center"/>
          </w:tcPr>
          <w:p w14:paraId="617DC77D">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b/>
                <w:bCs/>
                <w:color w:val="auto"/>
                <w:sz w:val="21"/>
                <w:szCs w:val="21"/>
                <w:highlight w:val="none"/>
              </w:rPr>
            </w:pPr>
            <w:r>
              <w:rPr>
                <w:rFonts w:hint="default" w:ascii="Times New Roman" w:hAnsi="Times New Roman" w:eastAsia="宋体" w:cs="Times New Roman"/>
                <w:b/>
                <w:bCs/>
                <w:color w:val="auto"/>
                <w:sz w:val="21"/>
                <w:szCs w:val="21"/>
                <w:highlight w:val="none"/>
              </w:rPr>
              <w:t>单</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rPr>
              <w:t>位</w:t>
            </w:r>
          </w:p>
        </w:tc>
        <w:tc>
          <w:tcPr>
            <w:tcW w:w="2402" w:type="dxa"/>
            <w:noWrap w:val="0"/>
            <w:vAlign w:val="center"/>
          </w:tcPr>
          <w:p w14:paraId="335A553B">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数</w:t>
            </w:r>
            <w:r>
              <w:rPr>
                <w:rFonts w:hint="default" w:ascii="Times New Roman" w:hAnsi="Times New Roman" w:eastAsia="宋体" w:cs="Times New Roman"/>
                <w:b/>
                <w:bCs/>
                <w:color w:val="auto"/>
                <w:sz w:val="21"/>
                <w:szCs w:val="21"/>
                <w:highlight w:val="none"/>
                <w:lang w:val="en-US" w:eastAsia="zh-CN"/>
              </w:rPr>
              <w:t xml:space="preserve"> </w:t>
            </w:r>
            <w:r>
              <w:rPr>
                <w:rFonts w:hint="default" w:ascii="Times New Roman" w:hAnsi="Times New Roman" w:eastAsia="宋体" w:cs="Times New Roman"/>
                <w:b/>
                <w:bCs/>
                <w:color w:val="auto"/>
                <w:sz w:val="21"/>
                <w:szCs w:val="21"/>
                <w:highlight w:val="none"/>
                <w:lang w:eastAsia="zh-CN"/>
              </w:rPr>
              <w:t>值</w:t>
            </w:r>
          </w:p>
        </w:tc>
        <w:tc>
          <w:tcPr>
            <w:tcW w:w="1929" w:type="dxa"/>
            <w:noWrap w:val="0"/>
            <w:vAlign w:val="center"/>
          </w:tcPr>
          <w:p w14:paraId="231775EF">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b/>
                <w:bCs/>
                <w:color w:val="auto"/>
                <w:sz w:val="21"/>
                <w:szCs w:val="21"/>
                <w:highlight w:val="none"/>
                <w:lang w:eastAsia="zh-CN"/>
              </w:rPr>
            </w:pPr>
            <w:r>
              <w:rPr>
                <w:rFonts w:hint="default" w:ascii="Times New Roman" w:hAnsi="Times New Roman" w:eastAsia="宋体" w:cs="Times New Roman"/>
                <w:b/>
                <w:bCs/>
                <w:color w:val="auto"/>
                <w:sz w:val="21"/>
                <w:szCs w:val="21"/>
                <w:highlight w:val="none"/>
                <w:lang w:eastAsia="zh-CN"/>
              </w:rPr>
              <w:t>备注</w:t>
            </w:r>
          </w:p>
        </w:tc>
      </w:tr>
      <w:tr w14:paraId="62B4CAF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5E235953">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孔径</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d</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033A9CD5">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mm</w:t>
            </w:r>
          </w:p>
        </w:tc>
        <w:tc>
          <w:tcPr>
            <w:tcW w:w="2402" w:type="dxa"/>
            <w:noWrap w:val="0"/>
            <w:vAlign w:val="center"/>
          </w:tcPr>
          <w:p w14:paraId="5F444562">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90</w:t>
            </w:r>
          </w:p>
        </w:tc>
        <w:tc>
          <w:tcPr>
            <w:tcW w:w="1929" w:type="dxa"/>
            <w:noWrap w:val="0"/>
            <w:vAlign w:val="center"/>
          </w:tcPr>
          <w:p w14:paraId="5EAE6ECA">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527F69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6B56C063">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台阶高度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H</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37068FEF">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402" w:type="dxa"/>
            <w:noWrap w:val="0"/>
            <w:vAlign w:val="center"/>
          </w:tcPr>
          <w:p w14:paraId="49736DCF">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rPr>
              <w:t>1</w:t>
            </w:r>
            <w:r>
              <w:rPr>
                <w:rFonts w:hint="eastAsia" w:cs="Times New Roman"/>
                <w:color w:val="auto"/>
                <w:sz w:val="21"/>
                <w:szCs w:val="21"/>
                <w:lang w:val="en-US" w:eastAsia="zh-CN"/>
              </w:rPr>
              <w:t>5</w:t>
            </w:r>
          </w:p>
        </w:tc>
        <w:tc>
          <w:tcPr>
            <w:tcW w:w="1929" w:type="dxa"/>
            <w:noWrap w:val="0"/>
            <w:vAlign w:val="center"/>
          </w:tcPr>
          <w:p w14:paraId="2147FC41">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0F9E28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29042898">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孔距</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a</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5D8388D3">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402" w:type="dxa"/>
            <w:noWrap w:val="0"/>
            <w:vAlign w:val="center"/>
          </w:tcPr>
          <w:p w14:paraId="1A1F7678">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1.0</w:t>
            </w:r>
          </w:p>
        </w:tc>
        <w:tc>
          <w:tcPr>
            <w:tcW w:w="1929" w:type="dxa"/>
            <w:noWrap w:val="0"/>
            <w:vAlign w:val="center"/>
          </w:tcPr>
          <w:p w14:paraId="555E5A49">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4E21E4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447A30D0">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排</w:t>
            </w:r>
            <w:r>
              <w:rPr>
                <w:rFonts w:hint="default" w:ascii="Times New Roman" w:hAnsi="Times New Roman" w:eastAsia="宋体" w:cs="Times New Roman"/>
                <w:color w:val="auto"/>
                <w:sz w:val="21"/>
                <w:szCs w:val="21"/>
                <w:highlight w:val="none"/>
              </w:rPr>
              <w:t>距</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lang w:val="en-US" w:eastAsia="zh-CN"/>
              </w:rPr>
              <w:t>b</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38D0F116">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402" w:type="dxa"/>
            <w:noWrap w:val="0"/>
            <w:vAlign w:val="center"/>
          </w:tcPr>
          <w:p w14:paraId="1AB488EC">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lang w:val="en-US" w:eastAsia="zh-CN"/>
              </w:rPr>
              <w:t>6</w:t>
            </w:r>
            <w:r>
              <w:rPr>
                <w:rFonts w:hint="default" w:ascii="Times New Roman" w:hAnsi="Times New Roman" w:eastAsia="宋体" w:cs="Times New Roman"/>
                <w:color w:val="auto"/>
                <w:sz w:val="21"/>
                <w:szCs w:val="21"/>
                <w:lang w:val="en-US" w:eastAsia="zh-CN"/>
              </w:rPr>
              <w:t>.0</w:t>
            </w:r>
          </w:p>
        </w:tc>
        <w:tc>
          <w:tcPr>
            <w:tcW w:w="1929" w:type="dxa"/>
            <w:noWrap w:val="0"/>
            <w:vAlign w:val="center"/>
          </w:tcPr>
          <w:p w14:paraId="2FA789C3">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30006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01082B6B">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线装药密度</w:t>
            </w:r>
            <w:r>
              <w:rPr>
                <w:rFonts w:hint="default" w:ascii="Times New Roman" w:hAnsi="Times New Roman" w:eastAsia="宋体" w:cs="Times New Roman"/>
                <w:color w:val="auto"/>
                <w:sz w:val="21"/>
                <w:szCs w:val="21"/>
                <w:highlight w:val="none"/>
              </w:rPr>
              <w:t>q</w:t>
            </w:r>
            <w:r>
              <w:rPr>
                <w:rFonts w:hint="default" w:ascii="Times New Roman" w:hAnsi="Times New Roman" w:eastAsia="宋体" w:cs="Times New Roman"/>
                <w:color w:val="auto"/>
                <w:sz w:val="21"/>
                <w:szCs w:val="21"/>
                <w:highlight w:val="none"/>
                <w:vertAlign w:val="subscript"/>
                <w:lang w:eastAsia="zh-CN"/>
              </w:rPr>
              <w:t>线</w:t>
            </w:r>
          </w:p>
        </w:tc>
        <w:tc>
          <w:tcPr>
            <w:tcW w:w="1753" w:type="dxa"/>
            <w:noWrap w:val="0"/>
            <w:vAlign w:val="center"/>
          </w:tcPr>
          <w:p w14:paraId="23773C13">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kg/m</w:t>
            </w:r>
          </w:p>
        </w:tc>
        <w:tc>
          <w:tcPr>
            <w:tcW w:w="2402" w:type="dxa"/>
            <w:noWrap w:val="0"/>
            <w:vAlign w:val="center"/>
          </w:tcPr>
          <w:p w14:paraId="2901661F">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0.78</w:t>
            </w:r>
          </w:p>
        </w:tc>
        <w:tc>
          <w:tcPr>
            <w:tcW w:w="1929" w:type="dxa"/>
            <w:noWrap w:val="0"/>
            <w:vAlign w:val="center"/>
          </w:tcPr>
          <w:p w14:paraId="082D0398">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3BF2DD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5771917B">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孔底线装药密度</w:t>
            </w:r>
            <w:r>
              <w:rPr>
                <w:rFonts w:hint="default" w:ascii="Times New Roman" w:hAnsi="Times New Roman" w:eastAsia="宋体" w:cs="Times New Roman"/>
                <w:color w:val="auto"/>
                <w:sz w:val="21"/>
                <w:szCs w:val="21"/>
                <w:highlight w:val="none"/>
              </w:rPr>
              <w:t>q</w:t>
            </w:r>
            <w:r>
              <w:rPr>
                <w:rFonts w:hint="default" w:ascii="Times New Roman" w:hAnsi="Times New Roman" w:eastAsia="宋体" w:cs="Times New Roman"/>
                <w:color w:val="auto"/>
                <w:sz w:val="21"/>
                <w:szCs w:val="21"/>
                <w:highlight w:val="none"/>
                <w:vertAlign w:val="subscript"/>
                <w:lang w:val="en-US" w:eastAsia="zh-CN"/>
              </w:rPr>
              <w:t>d</w:t>
            </w:r>
            <w:r>
              <w:rPr>
                <w:rFonts w:hint="default" w:ascii="Times New Roman" w:hAnsi="Times New Roman" w:eastAsia="宋体" w:cs="Times New Roman"/>
                <w:color w:val="auto"/>
                <w:sz w:val="21"/>
                <w:szCs w:val="21"/>
                <w:highlight w:val="none"/>
                <w:vertAlign w:val="subscript"/>
                <w:lang w:eastAsia="zh-CN"/>
              </w:rPr>
              <w:t>线</w:t>
            </w:r>
          </w:p>
        </w:tc>
        <w:tc>
          <w:tcPr>
            <w:tcW w:w="1753" w:type="dxa"/>
            <w:noWrap w:val="0"/>
            <w:vAlign w:val="center"/>
          </w:tcPr>
          <w:p w14:paraId="70230F89">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kg/m</w:t>
            </w:r>
          </w:p>
        </w:tc>
        <w:tc>
          <w:tcPr>
            <w:tcW w:w="2402" w:type="dxa"/>
            <w:noWrap w:val="0"/>
            <w:vAlign w:val="center"/>
          </w:tcPr>
          <w:p w14:paraId="33A1F7BA">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1.55</w:t>
            </w:r>
          </w:p>
        </w:tc>
        <w:tc>
          <w:tcPr>
            <w:tcW w:w="1929" w:type="dxa"/>
            <w:noWrap w:val="0"/>
            <w:vAlign w:val="center"/>
          </w:tcPr>
          <w:p w14:paraId="06ECBA96">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647768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20" w:hRule="atLeast"/>
          <w:jc w:val="center"/>
        </w:trPr>
        <w:tc>
          <w:tcPr>
            <w:tcW w:w="3090" w:type="dxa"/>
            <w:noWrap w:val="0"/>
            <w:vAlign w:val="center"/>
          </w:tcPr>
          <w:p w14:paraId="07F7C4DB">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炸药的单位消耗量</w:t>
            </w:r>
          </w:p>
        </w:tc>
        <w:tc>
          <w:tcPr>
            <w:tcW w:w="1753" w:type="dxa"/>
            <w:noWrap w:val="0"/>
            <w:vAlign w:val="center"/>
          </w:tcPr>
          <w:p w14:paraId="296323C7">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k</w:t>
            </w:r>
            <w:r>
              <w:rPr>
                <w:rFonts w:hint="default" w:ascii="Times New Roman" w:hAnsi="Times New Roman" w:eastAsia="宋体" w:cs="Times New Roman"/>
                <w:color w:val="auto"/>
                <w:sz w:val="21"/>
                <w:szCs w:val="21"/>
                <w:highlight w:val="none"/>
                <w:lang w:val="en-US" w:eastAsia="zh-CN"/>
              </w:rPr>
              <w:t>g/m</w:t>
            </w:r>
            <w:r>
              <w:rPr>
                <w:rFonts w:hint="default" w:ascii="Times New Roman" w:hAnsi="Times New Roman" w:eastAsia="宋体" w:cs="Times New Roman"/>
                <w:color w:val="auto"/>
                <w:sz w:val="21"/>
                <w:szCs w:val="21"/>
                <w:highlight w:val="none"/>
                <w:vertAlign w:val="superscript"/>
                <w:lang w:val="en-US" w:eastAsia="zh-CN"/>
              </w:rPr>
              <w:t>3</w:t>
            </w:r>
          </w:p>
        </w:tc>
        <w:tc>
          <w:tcPr>
            <w:tcW w:w="2402" w:type="dxa"/>
            <w:noWrap w:val="0"/>
            <w:vAlign w:val="center"/>
          </w:tcPr>
          <w:p w14:paraId="223536E1">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0.1</w:t>
            </w:r>
            <w:r>
              <w:rPr>
                <w:rFonts w:hint="eastAsia" w:cs="Times New Roman"/>
                <w:color w:val="auto"/>
                <w:sz w:val="21"/>
                <w:szCs w:val="21"/>
                <w:lang w:val="en-US" w:eastAsia="zh-CN"/>
              </w:rPr>
              <w:t>4</w:t>
            </w:r>
          </w:p>
        </w:tc>
        <w:tc>
          <w:tcPr>
            <w:tcW w:w="1929" w:type="dxa"/>
            <w:noWrap w:val="0"/>
            <w:vAlign w:val="center"/>
          </w:tcPr>
          <w:p w14:paraId="5712DDD2">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08775F7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52BC5328">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孔深</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L</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00A03AD0">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402" w:type="dxa"/>
            <w:noWrap w:val="0"/>
            <w:vAlign w:val="center"/>
          </w:tcPr>
          <w:p w14:paraId="320D3F49">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lang w:val="en-US" w:eastAsia="zh-CN"/>
              </w:rPr>
              <w:t>1</w:t>
            </w:r>
            <w:r>
              <w:rPr>
                <w:rFonts w:hint="eastAsia" w:cs="Times New Roman"/>
                <w:color w:val="auto"/>
                <w:sz w:val="21"/>
                <w:szCs w:val="21"/>
                <w:lang w:val="en-US" w:eastAsia="zh-CN"/>
              </w:rPr>
              <w:t>5.0</w:t>
            </w:r>
          </w:p>
        </w:tc>
        <w:tc>
          <w:tcPr>
            <w:tcW w:w="1929" w:type="dxa"/>
            <w:noWrap w:val="0"/>
            <w:vAlign w:val="center"/>
          </w:tcPr>
          <w:p w14:paraId="3B943807">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2933AC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59D8B774">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单孔装药量</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Q</w:t>
            </w:r>
            <w:r>
              <w:rPr>
                <w:rFonts w:hint="default" w:ascii="Times New Roman" w:hAnsi="Times New Roman" w:eastAsia="宋体" w:cs="Times New Roman"/>
                <w:color w:val="auto"/>
                <w:sz w:val="21"/>
                <w:szCs w:val="21"/>
                <w:highlight w:val="none"/>
                <w:vertAlign w:val="subscript"/>
                <w:lang w:val="en-US" w:eastAsia="zh-CN"/>
              </w:rPr>
              <w:t>2（单孔</w:t>
            </w:r>
            <w:r>
              <w:rPr>
                <w:rFonts w:hint="default" w:ascii="Times New Roman" w:hAnsi="Times New Roman" w:eastAsia="宋体" w:cs="Times New Roman"/>
                <w:color w:val="auto"/>
                <w:sz w:val="21"/>
                <w:szCs w:val="21"/>
                <w:highlight w:val="none"/>
                <w:lang w:val="en-US" w:eastAsia="zh-CN"/>
              </w:rPr>
              <w:t>）</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7102A877">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kg</w:t>
            </w:r>
          </w:p>
        </w:tc>
        <w:tc>
          <w:tcPr>
            <w:tcW w:w="2402" w:type="dxa"/>
            <w:noWrap w:val="0"/>
            <w:vAlign w:val="center"/>
          </w:tcPr>
          <w:p w14:paraId="7D40FD67">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lang w:val="en-US" w:eastAsia="zh-CN"/>
              </w:rPr>
              <w:t>13.0</w:t>
            </w:r>
          </w:p>
        </w:tc>
        <w:tc>
          <w:tcPr>
            <w:tcW w:w="1929" w:type="dxa"/>
            <w:noWrap w:val="0"/>
            <w:vAlign w:val="center"/>
          </w:tcPr>
          <w:p w14:paraId="546415B3">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71B8F1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22B5F69B">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线</w:t>
            </w:r>
            <w:r>
              <w:rPr>
                <w:rFonts w:hint="default" w:ascii="Times New Roman" w:hAnsi="Times New Roman" w:eastAsia="宋体" w:cs="Times New Roman"/>
                <w:color w:val="auto"/>
                <w:sz w:val="21"/>
                <w:szCs w:val="21"/>
                <w:highlight w:val="none"/>
              </w:rPr>
              <w:t>装药长度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L</w:t>
            </w:r>
            <w:r>
              <w:rPr>
                <w:rFonts w:hint="default" w:ascii="Times New Roman" w:hAnsi="Times New Roman" w:eastAsia="宋体" w:cs="Times New Roman"/>
                <w:color w:val="auto"/>
                <w:sz w:val="21"/>
                <w:szCs w:val="21"/>
                <w:highlight w:val="none"/>
                <w:vertAlign w:val="subscript"/>
              </w:rPr>
              <w:t>1</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242FBC00">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402" w:type="dxa"/>
            <w:noWrap w:val="0"/>
            <w:vAlign w:val="center"/>
          </w:tcPr>
          <w:p w14:paraId="2C4D76E9">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eastAsia" w:cs="Times New Roman"/>
                <w:color w:val="auto"/>
                <w:sz w:val="21"/>
                <w:szCs w:val="21"/>
                <w:lang w:val="en-US" w:eastAsia="zh-CN"/>
              </w:rPr>
              <w:t>12.5</w:t>
            </w:r>
          </w:p>
        </w:tc>
        <w:tc>
          <w:tcPr>
            <w:tcW w:w="1929" w:type="dxa"/>
            <w:noWrap w:val="0"/>
            <w:vAlign w:val="center"/>
          </w:tcPr>
          <w:p w14:paraId="3DB27E35">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744B9B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0BD2E7A5">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孔底线装药长度（</w:t>
            </w:r>
            <w:r>
              <w:rPr>
                <w:rFonts w:hint="default" w:ascii="Times New Roman" w:hAnsi="Times New Roman" w:eastAsia="宋体" w:cs="Times New Roman"/>
                <w:color w:val="auto"/>
                <w:sz w:val="21"/>
                <w:szCs w:val="21"/>
                <w:highlight w:val="none"/>
                <w:lang w:val="en-US" w:eastAsia="zh-CN"/>
              </w:rPr>
              <w:t>h1</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6686F426">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402" w:type="dxa"/>
            <w:noWrap w:val="0"/>
            <w:vAlign w:val="center"/>
          </w:tcPr>
          <w:p w14:paraId="09F81AAC">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2.0</w:t>
            </w:r>
          </w:p>
        </w:tc>
        <w:tc>
          <w:tcPr>
            <w:tcW w:w="1929" w:type="dxa"/>
            <w:noWrap w:val="0"/>
            <w:vAlign w:val="center"/>
          </w:tcPr>
          <w:p w14:paraId="61A79D67">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r w14:paraId="19AA68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489A14B0">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填塞长度</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L</w:t>
            </w:r>
            <w:r>
              <w:rPr>
                <w:rFonts w:hint="default" w:ascii="Times New Roman" w:hAnsi="Times New Roman" w:eastAsia="宋体" w:cs="Times New Roman"/>
                <w:color w:val="auto"/>
                <w:sz w:val="21"/>
                <w:szCs w:val="21"/>
                <w:highlight w:val="none"/>
                <w:vertAlign w:val="subscript"/>
              </w:rPr>
              <w:t>2</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0265EF79">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w:t>
            </w:r>
          </w:p>
        </w:tc>
        <w:tc>
          <w:tcPr>
            <w:tcW w:w="2402" w:type="dxa"/>
            <w:noWrap w:val="0"/>
            <w:vAlign w:val="center"/>
          </w:tcPr>
          <w:p w14:paraId="07D55F01">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lang w:val="en-US" w:eastAsia="zh-CN"/>
              </w:rPr>
              <w:t>3</w:t>
            </w:r>
            <w:r>
              <w:rPr>
                <w:rFonts w:hint="default" w:ascii="Times New Roman" w:hAnsi="Times New Roman" w:eastAsia="宋体" w:cs="Times New Roman"/>
                <w:color w:val="auto"/>
                <w:sz w:val="21"/>
                <w:szCs w:val="21"/>
              </w:rPr>
              <w:t>.</w:t>
            </w:r>
            <w:r>
              <w:rPr>
                <w:rFonts w:hint="default" w:ascii="Times New Roman" w:hAnsi="Times New Roman" w:eastAsia="宋体" w:cs="Times New Roman"/>
                <w:color w:val="auto"/>
                <w:sz w:val="21"/>
                <w:szCs w:val="21"/>
                <w:lang w:val="en-US" w:eastAsia="zh-CN"/>
              </w:rPr>
              <w:t>0</w:t>
            </w:r>
          </w:p>
        </w:tc>
        <w:tc>
          <w:tcPr>
            <w:tcW w:w="1929" w:type="dxa"/>
            <w:noWrap w:val="0"/>
            <w:vAlign w:val="center"/>
          </w:tcPr>
          <w:p w14:paraId="745C2E8E">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p>
        </w:tc>
      </w:tr>
      <w:tr w14:paraId="735A81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3090" w:type="dxa"/>
            <w:noWrap w:val="0"/>
            <w:vAlign w:val="center"/>
          </w:tcPr>
          <w:p w14:paraId="0680A141">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炮孔角度（</w:t>
            </w:r>
            <w:r>
              <w:rPr>
                <w:rFonts w:hint="default" w:ascii="Times New Roman" w:hAnsi="Times New Roman" w:eastAsia="宋体" w:cs="Times New Roman"/>
                <w:color w:val="auto"/>
                <w:sz w:val="21"/>
                <w:szCs w:val="21"/>
                <w:highlight w:val="none"/>
              </w:rPr>
              <w:t>α</w:t>
            </w:r>
            <w:r>
              <w:rPr>
                <w:rFonts w:hint="default" w:ascii="Times New Roman" w:hAnsi="Times New Roman" w:eastAsia="宋体" w:cs="Times New Roman"/>
                <w:color w:val="auto"/>
                <w:sz w:val="21"/>
                <w:szCs w:val="21"/>
                <w:highlight w:val="none"/>
                <w:lang w:eastAsia="zh-CN"/>
              </w:rPr>
              <w:t>）</w:t>
            </w:r>
          </w:p>
        </w:tc>
        <w:tc>
          <w:tcPr>
            <w:tcW w:w="1753" w:type="dxa"/>
            <w:noWrap w:val="0"/>
            <w:vAlign w:val="center"/>
          </w:tcPr>
          <w:p w14:paraId="3FD916F9">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º</w:t>
            </w:r>
          </w:p>
        </w:tc>
        <w:tc>
          <w:tcPr>
            <w:tcW w:w="2402" w:type="dxa"/>
            <w:noWrap w:val="0"/>
            <w:vAlign w:val="center"/>
          </w:tcPr>
          <w:p w14:paraId="682B5C1B">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lang w:val="en-US" w:eastAsia="zh-CN"/>
              </w:rPr>
              <w:t>6</w:t>
            </w:r>
            <w:r>
              <w:rPr>
                <w:rFonts w:hint="eastAsia" w:cs="Times New Roman"/>
                <w:color w:val="auto"/>
                <w:sz w:val="21"/>
                <w:szCs w:val="21"/>
                <w:lang w:val="en-US" w:eastAsia="zh-CN"/>
              </w:rPr>
              <w:t>0</w:t>
            </w:r>
          </w:p>
        </w:tc>
        <w:tc>
          <w:tcPr>
            <w:tcW w:w="1929" w:type="dxa"/>
            <w:noWrap w:val="0"/>
            <w:vAlign w:val="center"/>
          </w:tcPr>
          <w:p w14:paraId="63912F97">
            <w:pPr>
              <w:widowControl w:val="0"/>
              <w:wordWrap/>
              <w:adjustRightInd w:val="0"/>
              <w:snapToGrid w:val="0"/>
              <w:spacing w:before="0" w:beforeLines="0" w:after="0" w:afterLines="0" w:line="240" w:lineRule="auto"/>
              <w:ind w:left="0" w:leftChars="0" w:right="0" w:firstLine="0" w:firstLineChars="0"/>
              <w:jc w:val="center"/>
              <w:textAlignment w:val="auto"/>
              <w:outlineLvl w:val="9"/>
              <w:rPr>
                <w:rFonts w:hint="default" w:ascii="Times New Roman" w:hAnsi="Times New Roman" w:eastAsia="宋体" w:cs="Times New Roman"/>
                <w:color w:val="auto"/>
                <w:sz w:val="21"/>
                <w:szCs w:val="21"/>
                <w:highlight w:val="none"/>
                <w:lang w:val="en-US" w:eastAsia="zh-CN"/>
              </w:rPr>
            </w:pPr>
          </w:p>
        </w:tc>
      </w:tr>
    </w:tbl>
    <w:p w14:paraId="3D3E321B">
      <w:pPr>
        <w:keepNext w:val="0"/>
        <w:keepLines w:val="0"/>
        <w:pageBreakBefore w:val="0"/>
        <w:widowControl w:val="0"/>
        <w:kinsoku/>
        <w:wordWrap/>
        <w:overflowPunct/>
        <w:topLinePunct w:val="0"/>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default" w:ascii="Times New Roman" w:hAnsi="Times New Roman" w:eastAsia="宋体" w:cs="Times New Roman"/>
          <w:b w:val="0"/>
          <w:bCs w:val="0"/>
          <w:i w:val="0"/>
          <w:iCs w:val="0"/>
          <w:smallCaps w:val="0"/>
          <w:strike w:val="0"/>
          <w:color w:val="auto"/>
          <w:kern w:val="2"/>
          <w:sz w:val="28"/>
          <w:szCs w:val="28"/>
          <w:highlight w:val="none"/>
          <w:u w:val="none"/>
          <w:lang w:val="en-US" w:eastAsia="zh-CN" w:bidi="ar-SA"/>
        </w:rPr>
      </w:pPr>
      <w:r>
        <w:rPr>
          <w:rFonts w:hint="eastAsia" w:ascii="Times New Roman" w:hAnsi="Times New Roman" w:eastAsia="宋体" w:cs="Times New Roman"/>
          <w:b w:val="0"/>
          <w:bCs w:val="0"/>
          <w:i w:val="0"/>
          <w:iCs w:val="0"/>
          <w:smallCaps w:val="0"/>
          <w:strike w:val="0"/>
          <w:color w:val="auto"/>
          <w:kern w:val="2"/>
          <w:sz w:val="28"/>
          <w:szCs w:val="28"/>
          <w:highlight w:val="none"/>
          <w:u w:val="none"/>
          <w:lang w:val="en-US" w:eastAsia="zh-CN" w:bidi="ar-SA"/>
        </w:rPr>
        <w:t>（3）</w:t>
      </w:r>
      <w:r>
        <w:rPr>
          <w:rFonts w:hint="default" w:ascii="Times New Roman" w:hAnsi="Times New Roman" w:eastAsia="宋体" w:cs="Times New Roman"/>
          <w:b w:val="0"/>
          <w:bCs w:val="0"/>
          <w:i w:val="0"/>
          <w:iCs w:val="0"/>
          <w:smallCaps w:val="0"/>
          <w:strike w:val="0"/>
          <w:color w:val="auto"/>
          <w:kern w:val="2"/>
          <w:sz w:val="28"/>
          <w:szCs w:val="28"/>
          <w:highlight w:val="none"/>
          <w:u w:val="none"/>
          <w:lang w:val="en-US" w:eastAsia="zh-CN" w:bidi="ar-SA"/>
        </w:rPr>
        <w:t>起爆网路</w:t>
      </w:r>
    </w:p>
    <w:p w14:paraId="5A453539">
      <w:pPr>
        <w:bidi w:val="0"/>
        <w:rPr>
          <w:rFonts w:hint="default"/>
        </w:rPr>
      </w:pPr>
      <w:r>
        <w:rPr>
          <w:rFonts w:hint="default"/>
        </w:rPr>
        <w:t>采用电力</w:t>
      </w:r>
      <w:r>
        <w:rPr>
          <w:rFonts w:hint="default"/>
          <w:lang w:eastAsia="zh-CN"/>
        </w:rPr>
        <w:t>起</w:t>
      </w:r>
      <w:r>
        <w:rPr>
          <w:rFonts w:hint="default"/>
        </w:rPr>
        <w:t>爆法，</w:t>
      </w:r>
      <w:r>
        <w:rPr>
          <w:rFonts w:hint="default"/>
          <w:lang w:eastAsia="zh-CN"/>
        </w:rPr>
        <w:t>用数码电子雷管及专用起爆器</w:t>
      </w:r>
      <w:r>
        <w:rPr>
          <w:rFonts w:hint="default"/>
        </w:rPr>
        <w:t>，起爆器专人保管。</w:t>
      </w:r>
      <w:r>
        <w:rPr>
          <w:rFonts w:hint="default"/>
          <w:lang w:val="en-US" w:eastAsia="zh-CN"/>
        </w:rPr>
        <w:t>采用逐孔起爆进行爆破，单孔间隔时间25ms，排间隔时间100ms</w:t>
      </w:r>
      <w:r>
        <w:rPr>
          <w:rFonts w:hint="default"/>
        </w:rPr>
        <w:t>。炸药选用直径</w:t>
      </w:r>
      <w:r>
        <w:rPr>
          <w:rFonts w:hint="default"/>
          <w:lang w:val="en-US" w:eastAsia="zh-CN"/>
        </w:rPr>
        <w:t>9</w:t>
      </w:r>
      <w:r>
        <w:rPr>
          <w:rFonts w:hint="default"/>
        </w:rPr>
        <w:t>0mm乳化炸药</w:t>
      </w:r>
      <w:r>
        <w:rPr>
          <w:rFonts w:hint="default"/>
          <w:lang w:eastAsia="zh-CN"/>
        </w:rPr>
        <w:t>（垂直孔）和</w:t>
      </w:r>
      <w:r>
        <w:rPr>
          <w:rFonts w:hint="default"/>
          <w:lang w:val="en-US" w:eastAsia="zh-CN"/>
        </w:rPr>
        <w:t>7</w:t>
      </w:r>
      <w:r>
        <w:rPr>
          <w:rFonts w:hint="default"/>
        </w:rPr>
        <w:t>0mm乳化炸药</w:t>
      </w:r>
      <w:r>
        <w:rPr>
          <w:rFonts w:hint="default"/>
          <w:lang w:eastAsia="zh-CN"/>
        </w:rPr>
        <w:t>（靠帮倾斜孔）</w:t>
      </w:r>
      <w:r>
        <w:rPr>
          <w:rFonts w:hint="eastAsia"/>
          <w:lang w:val="en-US" w:eastAsia="zh-CN"/>
        </w:rPr>
        <w:t>。</w:t>
      </w:r>
    </w:p>
    <w:p w14:paraId="65D49D55">
      <w:pPr>
        <w:bidi w:val="0"/>
        <w:rPr>
          <w:rFonts w:hint="eastAsia"/>
          <w:lang w:val="en-US" w:eastAsia="zh-CN"/>
        </w:rPr>
      </w:pPr>
      <w:r>
        <w:rPr>
          <w:rFonts w:hint="eastAsia"/>
          <w:lang w:val="en-US" w:eastAsia="zh-CN"/>
        </w:rPr>
        <w:t>2、</w:t>
      </w:r>
      <w:r>
        <w:rPr>
          <w:rFonts w:hint="default"/>
        </w:rPr>
        <w:t>爆破安全允许距离</w:t>
      </w:r>
      <w:r>
        <w:rPr>
          <w:rFonts w:hint="eastAsia"/>
          <w:lang w:val="en-US" w:eastAsia="zh-CN"/>
        </w:rPr>
        <w:t>与爆破警戒范围</w:t>
      </w:r>
    </w:p>
    <w:p w14:paraId="4026E900">
      <w:pPr>
        <w:bidi w:val="0"/>
        <w:rPr>
          <w:rFonts w:hint="eastAsia"/>
          <w:lang w:val="en-US" w:eastAsia="zh-CN"/>
        </w:rPr>
      </w:pPr>
      <w:r>
        <w:rPr>
          <w:rFonts w:hint="default"/>
        </w:rPr>
        <w:t>经计算：爆破地点与人员和其他保护对象之间的安全允许距离</w:t>
      </w:r>
      <w:r>
        <w:rPr>
          <w:rFonts w:hint="default"/>
          <w:lang w:val="en-US" w:eastAsia="zh-CN"/>
        </w:rPr>
        <w:t>约</w:t>
      </w:r>
      <w:r>
        <w:rPr>
          <w:rFonts w:hint="default"/>
          <w:lang w:eastAsia="zh-CN"/>
        </w:rPr>
        <w:t>为</w:t>
      </w:r>
      <w:r>
        <w:rPr>
          <w:rFonts w:hint="eastAsia"/>
          <w:lang w:val="en-US" w:eastAsia="zh-CN"/>
        </w:rPr>
        <w:t>89</w:t>
      </w:r>
      <w:r>
        <w:rPr>
          <w:rFonts w:hint="default"/>
          <w:lang w:val="en-US" w:eastAsia="zh-CN"/>
        </w:rPr>
        <w:t>m</w:t>
      </w:r>
      <w:r>
        <w:rPr>
          <w:rFonts w:hint="eastAsia"/>
          <w:lang w:eastAsia="zh-CN"/>
        </w:rPr>
        <w:t>，</w:t>
      </w:r>
      <w:r>
        <w:rPr>
          <w:rFonts w:hint="eastAsia"/>
          <w:lang w:val="en-US" w:eastAsia="zh-CN"/>
        </w:rPr>
        <w:t>爆破警戒范围按与爆破范围300m设置。</w:t>
      </w:r>
    </w:p>
    <w:p w14:paraId="567A8166">
      <w:pPr>
        <w:bidi w:val="0"/>
        <w:rPr>
          <w:lang w:val="en-US" w:eastAsia="en-US"/>
        </w:rPr>
      </w:pPr>
      <w:r>
        <w:rPr>
          <w:rFonts w:hint="eastAsia"/>
          <w:lang w:val="en-US" w:eastAsia="zh-CN"/>
        </w:rPr>
        <w:t>3、</w:t>
      </w:r>
      <w:r>
        <w:rPr>
          <w:lang w:val="en-US" w:eastAsia="en-US"/>
        </w:rPr>
        <w:t>建设情况</w:t>
      </w:r>
    </w:p>
    <w:p w14:paraId="1809C731">
      <w:pPr>
        <w:bidi w:val="0"/>
        <w:rPr>
          <w:lang w:val="en-US" w:eastAsia="en-US"/>
        </w:rPr>
      </w:pPr>
      <w:r>
        <w:rPr>
          <w:lang w:val="en-US" w:eastAsia="en-US"/>
        </w:rPr>
        <w:t>矿山爆破作业采取外部委托的方式进行，矿山与</w:t>
      </w:r>
      <w:r>
        <w:rPr>
          <w:rFonts w:hint="eastAsia"/>
          <w:lang w:val="en-US" w:eastAsia="en-US"/>
        </w:rPr>
        <w:t>文山天材爆破股份有限公司</w:t>
      </w:r>
      <w:r>
        <w:rPr>
          <w:lang w:val="en-US" w:eastAsia="en-US"/>
        </w:rPr>
        <w:t>签订了爆破工程服务合同，穿孔、爆破作业均由民爆公司进行，爆破器材由民爆公司提供和回收，矿山不存储爆破器材。</w:t>
      </w:r>
    </w:p>
    <w:p w14:paraId="5555133C">
      <w:pPr>
        <w:bidi w:val="0"/>
        <w:rPr>
          <w:rFonts w:hint="eastAsia" w:ascii="宋体" w:hAnsi="宋体" w:eastAsia="宋体" w:cs="宋体"/>
          <w:bCs/>
          <w:color w:val="auto"/>
          <w:szCs w:val="28"/>
          <w:highlight w:val="none"/>
          <w:lang w:val="en-US" w:eastAsia="zh-CN"/>
        </w:rPr>
      </w:pPr>
      <w:r>
        <w:rPr>
          <w:rFonts w:hint="eastAsia"/>
          <w:lang w:val="en-US" w:eastAsia="zh-CN"/>
        </w:rPr>
        <w:t>与《安全设施设计》情况相符。通过建设期间情况来看，该矿配备的凿岩设备能满足生产需求。</w:t>
      </w:r>
    </w:p>
    <w:p w14:paraId="67FD0751">
      <w:pPr>
        <w:bidi w:val="0"/>
        <w:rPr>
          <w:rFonts w:hint="eastAsia"/>
          <w:lang w:val="en-US" w:eastAsia="zh-CN"/>
        </w:rPr>
      </w:pPr>
      <w:r>
        <w:rPr>
          <w:lang w:val="en-US" w:eastAsia="en-US"/>
        </w:rPr>
        <w:t>大块采用液压破碎方式进行二次破碎</w:t>
      </w:r>
      <w:r>
        <w:rPr>
          <w:rFonts w:hint="eastAsia"/>
          <w:lang w:val="en-US" w:eastAsia="zh-CN"/>
        </w:rPr>
        <w:t>。</w:t>
      </w:r>
    </w:p>
    <w:p w14:paraId="3DEA6181">
      <w:pPr>
        <w:bidi w:val="0"/>
        <w:rPr>
          <w:rFonts w:hint="eastAsia"/>
          <w:lang w:val="en-US" w:eastAsia="en-US"/>
        </w:rPr>
      </w:pPr>
      <w:r>
        <w:rPr>
          <w:lang w:val="en-US" w:eastAsia="en-US"/>
        </w:rPr>
        <w:t>爆破时，对爆破警戒300m内的人员及设备撤迁移至安全地带，在爆破点周围300m有行人的路口设专人警戒。</w:t>
      </w:r>
    </w:p>
    <w:p w14:paraId="2A3B316B">
      <w:pPr>
        <w:bidi w:val="0"/>
        <w:rPr>
          <w:lang w:val="en-US" w:eastAsia="en-US"/>
        </w:rPr>
      </w:pPr>
      <w:r>
        <w:rPr>
          <w:rFonts w:hint="eastAsia"/>
          <w:lang w:val="en-US" w:eastAsia="zh-CN"/>
        </w:rPr>
        <w:t>4、</w:t>
      </w:r>
      <w:r>
        <w:rPr>
          <w:lang w:val="en-US" w:eastAsia="en-US"/>
        </w:rPr>
        <w:t>结论：矿山爆破满足设计及规范要求。</w:t>
      </w:r>
    </w:p>
    <w:p w14:paraId="49452752">
      <w:pPr>
        <w:pStyle w:val="5"/>
        <w:bidi w:val="0"/>
        <w:rPr>
          <w:lang w:val="en-US" w:eastAsia="en-US"/>
        </w:rPr>
      </w:pPr>
      <w:bookmarkStart w:id="203" w:name="_Toc14421"/>
      <w:r>
        <w:rPr>
          <w:lang w:val="en-US" w:eastAsia="en-US"/>
        </w:rPr>
        <w:t>2.4.5.4铲装作业</w:t>
      </w:r>
      <w:bookmarkEnd w:id="203"/>
    </w:p>
    <w:p w14:paraId="6D6347AD">
      <w:pPr>
        <w:keepNext w:val="0"/>
        <w:keepLines w:val="0"/>
        <w:pageBreakBefore w:val="0"/>
        <w:widowControl w:val="0"/>
        <w:numPr>
          <w:ilvl w:val="0"/>
          <w:numId w:val="7"/>
        </w:numPr>
        <w:kinsoku/>
        <w:wordWrap/>
        <w:overflowPunct/>
        <w:topLinePunct w:val="0"/>
        <w:autoSpaceDE/>
        <w:autoSpaceDN/>
        <w:bidi w:val="0"/>
        <w:adjustRightInd/>
        <w:snapToGrid w:val="0"/>
        <w:ind w:firstLine="552" w:firstLineChars="200"/>
        <w:textAlignment w:val="auto"/>
        <w:rPr>
          <w:rFonts w:hint="eastAsia" w:ascii="宋体" w:hAnsi="宋体" w:eastAsia="宋体" w:cs="宋体"/>
          <w:bCs/>
          <w:color w:val="auto"/>
          <w:sz w:val="28"/>
          <w:szCs w:val="28"/>
          <w:highlight w:val="none"/>
          <w:lang w:val="en-US" w:eastAsia="zh-CN"/>
        </w:rPr>
      </w:pPr>
      <w:bookmarkStart w:id="204" w:name="_Toc214284012"/>
      <w:bookmarkStart w:id="205" w:name="_Toc5896"/>
      <w:r>
        <w:rPr>
          <w:rFonts w:hint="eastAsia" w:ascii="宋体" w:hAnsi="宋体" w:eastAsia="宋体" w:cs="宋体"/>
          <w:bCs/>
          <w:color w:val="auto"/>
          <w:sz w:val="28"/>
          <w:szCs w:val="28"/>
          <w:highlight w:val="none"/>
          <w:lang w:val="en-US" w:eastAsia="zh-CN"/>
        </w:rPr>
        <w:t>设计情况：</w:t>
      </w:r>
    </w:p>
    <w:p w14:paraId="3B3F9E06">
      <w:pPr>
        <w:bidi w:val="0"/>
        <w:rPr>
          <w:rFonts w:hint="default"/>
          <w:color w:val="auto"/>
        </w:rPr>
      </w:pPr>
      <w:r>
        <w:rPr>
          <w:rFonts w:hint="eastAsia"/>
          <w:color w:val="auto"/>
          <w:lang w:eastAsia="zh-CN"/>
        </w:rPr>
        <w:t>（</w:t>
      </w:r>
      <w:r>
        <w:rPr>
          <w:rFonts w:hint="eastAsia"/>
          <w:color w:val="auto"/>
          <w:lang w:val="en-US" w:eastAsia="zh-CN"/>
        </w:rPr>
        <w:t>1）</w:t>
      </w:r>
      <w:r>
        <w:rPr>
          <w:rFonts w:hint="default"/>
          <w:color w:val="auto"/>
        </w:rPr>
        <w:t>使用2台</w:t>
      </w:r>
      <w:r>
        <w:rPr>
          <w:rFonts w:hint="eastAsia"/>
          <w:color w:val="auto"/>
          <w:lang w:eastAsia="zh-CN"/>
        </w:rPr>
        <w:t>徐工LW500HV</w:t>
      </w:r>
      <w:r>
        <w:rPr>
          <w:rFonts w:hint="default"/>
          <w:color w:val="auto"/>
        </w:rPr>
        <w:t>型装载机，在平均</w:t>
      </w:r>
      <w:r>
        <w:rPr>
          <w:rFonts w:hint="eastAsia"/>
          <w:color w:val="auto"/>
          <w:lang w:val="en-US" w:eastAsia="zh-CN"/>
        </w:rPr>
        <w:t>10</w:t>
      </w:r>
      <w:r>
        <w:rPr>
          <w:rFonts w:hint="default"/>
          <w:color w:val="auto"/>
        </w:rPr>
        <w:t>0m推运距离时的生产能力为75m³/h，能完成矿山的废土、废石集堆工作量。</w:t>
      </w:r>
    </w:p>
    <w:p w14:paraId="0DF050B1">
      <w:pPr>
        <w:bidi w:val="0"/>
        <w:rPr>
          <w:rFonts w:hint="eastAsia"/>
          <w:color w:val="auto"/>
          <w:lang w:val="en-US" w:eastAsia="zh-CN"/>
        </w:rPr>
      </w:pPr>
      <w:r>
        <w:rPr>
          <w:rFonts w:hint="eastAsia"/>
          <w:color w:val="auto"/>
          <w:lang w:eastAsia="zh-CN"/>
        </w:rPr>
        <w:t>（</w:t>
      </w:r>
      <w:r>
        <w:rPr>
          <w:rFonts w:hint="eastAsia"/>
          <w:color w:val="auto"/>
          <w:lang w:val="en-US" w:eastAsia="zh-CN"/>
        </w:rPr>
        <w:t>2）</w:t>
      </w:r>
      <w:r>
        <w:rPr>
          <w:rFonts w:hint="default"/>
          <w:color w:val="auto"/>
        </w:rPr>
        <w:t>采用</w:t>
      </w:r>
      <w:r>
        <w:rPr>
          <w:rFonts w:hint="eastAsia"/>
          <w:color w:val="auto"/>
          <w:lang w:val="en-US" w:eastAsia="zh-CN"/>
        </w:rPr>
        <w:t>2</w:t>
      </w:r>
      <w:r>
        <w:rPr>
          <w:rFonts w:hint="eastAsia"/>
          <w:color w:val="auto"/>
          <w:lang w:eastAsia="zh-CN"/>
        </w:rPr>
        <w:t>台CAT336液压挖掘机履带式挖掘机</w:t>
      </w:r>
      <w:r>
        <w:rPr>
          <w:rFonts w:hint="default"/>
          <w:color w:val="auto"/>
        </w:rPr>
        <w:t>进行</w:t>
      </w:r>
      <w:r>
        <w:rPr>
          <w:rFonts w:hint="eastAsia"/>
          <w:color w:val="auto"/>
          <w:lang w:eastAsia="zh-CN"/>
        </w:rPr>
        <w:t>采矿及</w:t>
      </w:r>
      <w:r>
        <w:rPr>
          <w:rFonts w:hint="default"/>
          <w:color w:val="auto"/>
        </w:rPr>
        <w:t>剥离，剥离工作时采用</w:t>
      </w:r>
      <w:r>
        <w:rPr>
          <w:rFonts w:hint="eastAsia"/>
          <w:color w:val="auto"/>
          <w:lang w:val="en-US" w:eastAsia="zh-CN"/>
        </w:rPr>
        <w:t>2.12</w:t>
      </w:r>
      <w:r>
        <w:rPr>
          <w:rFonts w:hint="default"/>
          <w:color w:val="auto"/>
        </w:rPr>
        <w:t>m³挖掘机铲装。</w:t>
      </w:r>
      <w:r>
        <w:rPr>
          <w:rFonts w:hint="default"/>
          <w:color w:val="auto"/>
          <w:lang w:val="zh-TW" w:eastAsia="zh-TW"/>
        </w:rPr>
        <w:t>用于工作面清理、整理爆堆、运输道路平整等</w:t>
      </w:r>
      <w:r>
        <w:rPr>
          <w:rFonts w:hint="eastAsia"/>
          <w:color w:val="auto"/>
          <w:lang w:val="zh-TW" w:eastAsia="zh-CN"/>
        </w:rPr>
        <w:t>。</w:t>
      </w:r>
    </w:p>
    <w:p w14:paraId="73CC40DA">
      <w:pPr>
        <w:bidi w:val="0"/>
        <w:rPr>
          <w:rFonts w:hint="eastAsia"/>
          <w:color w:val="auto"/>
          <w:lang w:val="en-US" w:eastAsia="zh-CN"/>
        </w:rPr>
      </w:pPr>
      <w:r>
        <w:rPr>
          <w:rFonts w:hint="eastAsia"/>
          <w:color w:val="auto"/>
          <w:lang w:val="en-US" w:eastAsia="zh-CN"/>
        </w:rPr>
        <w:t>（3）《安全设施设计》验证每</w:t>
      </w:r>
      <w:r>
        <w:rPr>
          <w:rFonts w:hint="eastAsia"/>
          <w:color w:val="auto"/>
          <w:lang w:eastAsia="zh-CN"/>
        </w:rPr>
        <w:t>台CAT336液压挖掘机</w:t>
      </w:r>
      <w:r>
        <w:rPr>
          <w:color w:val="auto"/>
        </w:rPr>
        <w:t>（</w:t>
      </w:r>
      <w:r>
        <w:rPr>
          <w:rFonts w:hint="eastAsia"/>
          <w:color w:val="auto"/>
          <w:lang w:val="en-US" w:eastAsia="zh-CN"/>
        </w:rPr>
        <w:t>2.12</w:t>
      </w:r>
      <w:r>
        <w:rPr>
          <w:color w:val="auto"/>
        </w:rPr>
        <w:t>m</w:t>
      </w:r>
      <w:r>
        <w:rPr>
          <w:color w:val="auto"/>
          <w:vertAlign w:val="superscript"/>
        </w:rPr>
        <w:t>3</w:t>
      </w:r>
      <w:r>
        <w:rPr>
          <w:color w:val="auto"/>
        </w:rPr>
        <w:t>）挖掘机年生产能力为</w:t>
      </w:r>
      <w:r>
        <w:rPr>
          <w:rFonts w:hint="eastAsia"/>
          <w:color w:val="auto"/>
          <w:lang w:val="en-US" w:eastAsia="zh-CN"/>
        </w:rPr>
        <w:t>244224</w:t>
      </w:r>
      <w:r>
        <w:rPr>
          <w:rFonts w:hint="default"/>
          <w:color w:val="auto"/>
        </w:rPr>
        <w:t>m</w:t>
      </w:r>
      <w:r>
        <w:rPr>
          <w:rFonts w:hint="default" w:ascii="Times New Roman" w:hAnsi="Times New Roman" w:eastAsia="宋体" w:cs="Times New Roman"/>
          <w:color w:val="auto"/>
          <w:position w:val="-4"/>
          <w:szCs w:val="28"/>
        </w:rPr>
        <w:object>
          <v:shape id="_x0000_i1025" o:spt="75" type="#_x0000_t75" style="height:15pt;width:6.75pt;" o:ole="t" filled="f" o:preferrelative="t" stroked="f" coordsize="21600,21600">
            <v:path/>
            <v:fill on="f" focussize="0,0"/>
            <v:stroke on="f"/>
            <v:imagedata r:id="rId22" o:title=""/>
            <o:lock v:ext="edit" grouping="f" rotation="f" text="f" aspectratio="t"/>
            <w10:wrap type="none"/>
            <w10:anchorlock/>
          </v:shape>
          <o:OLEObject Type="Embed" ProgID="Equation.3" ShapeID="_x0000_i1025" DrawAspect="Content" ObjectID="_1468075725" r:id="rId21">
            <o:LockedField>false</o:LockedField>
          </o:OLEObject>
        </w:object>
      </w:r>
      <w:r>
        <w:rPr>
          <w:rFonts w:hint="default"/>
          <w:color w:val="auto"/>
        </w:rPr>
        <w:t>/a</w:t>
      </w:r>
      <w:r>
        <w:rPr>
          <w:rFonts w:hint="eastAsia"/>
          <w:color w:val="auto"/>
          <w:lang w:eastAsia="zh-CN"/>
        </w:rPr>
        <w:t>（</w:t>
      </w:r>
      <w:r>
        <w:rPr>
          <w:rFonts w:hint="eastAsia"/>
          <w:color w:val="auto"/>
          <w:lang w:val="en-US" w:eastAsia="zh-CN"/>
        </w:rPr>
        <w:t>61.54</w:t>
      </w:r>
      <w:r>
        <w:rPr>
          <w:color w:val="auto"/>
        </w:rPr>
        <w:t>万t</w:t>
      </w:r>
      <w:r>
        <w:rPr>
          <w:color w:val="auto"/>
          <w:lang w:eastAsia="zh-TW"/>
        </w:rPr>
        <w:t>/</w:t>
      </w:r>
      <w:r>
        <w:rPr>
          <w:rFonts w:hint="eastAsia"/>
          <w:color w:val="auto"/>
          <w:lang w:val="en-US" w:eastAsia="zh-CN"/>
        </w:rPr>
        <w:t>a）</w:t>
      </w:r>
      <w:r>
        <w:rPr>
          <w:color w:val="auto"/>
          <w:lang w:eastAsia="zh-TW"/>
        </w:rPr>
        <w:t>，</w:t>
      </w:r>
      <w:r>
        <w:rPr>
          <w:color w:val="auto"/>
        </w:rPr>
        <w:t>大</w:t>
      </w:r>
      <w:r>
        <w:rPr>
          <w:color w:val="auto"/>
          <w:lang w:eastAsia="zh-TW"/>
        </w:rPr>
        <w:t>于矿山设计年产量</w:t>
      </w:r>
      <w:r>
        <w:rPr>
          <w:rFonts w:hint="eastAsia"/>
          <w:color w:val="auto"/>
        </w:rPr>
        <w:t>50万t</w:t>
      </w:r>
      <w:r>
        <w:rPr>
          <w:color w:val="auto"/>
          <w:lang w:eastAsia="zh-TW"/>
        </w:rPr>
        <w:t>，能够满足矿山生产需求</w:t>
      </w:r>
      <w:r>
        <w:rPr>
          <w:rFonts w:hint="eastAsia"/>
          <w:color w:val="auto"/>
          <w:lang w:eastAsia="zh-CN"/>
        </w:rPr>
        <w:t>。</w:t>
      </w:r>
      <w:r>
        <w:rPr>
          <w:rFonts w:hint="eastAsia"/>
          <w:color w:val="auto"/>
          <w:lang w:val="en-US" w:eastAsia="zh-CN"/>
        </w:rPr>
        <w:t>另一台备用和用作破碎及矿山修整。</w:t>
      </w:r>
    </w:p>
    <w:p w14:paraId="34A69CF4">
      <w:pPr>
        <w:bidi w:val="0"/>
        <w:rPr>
          <w:rFonts w:hint="eastAsia"/>
          <w:color w:val="auto"/>
          <w:lang w:val="en-US" w:eastAsia="zh-CN"/>
        </w:rPr>
      </w:pPr>
      <w:r>
        <w:rPr>
          <w:rFonts w:hint="eastAsia"/>
          <w:color w:val="auto"/>
          <w:lang w:val="en-US" w:eastAsia="zh-CN"/>
        </w:rPr>
        <w:t>2、建设情况：与《安全设施设计》情况相符。通过建设期间验证，该矿配备的铲装设备能满足生产需求。</w:t>
      </w:r>
    </w:p>
    <w:p w14:paraId="3203B2BA">
      <w:pPr>
        <w:pStyle w:val="4"/>
        <w:rPr>
          <w:color w:val="auto"/>
        </w:rPr>
      </w:pPr>
      <w:bookmarkStart w:id="206" w:name="_Toc25956"/>
      <w:r>
        <w:rPr>
          <w:color w:val="auto"/>
        </w:rPr>
        <w:t>2.4.6开拓运输</w:t>
      </w:r>
      <w:bookmarkEnd w:id="204"/>
      <w:bookmarkEnd w:id="205"/>
      <w:bookmarkEnd w:id="206"/>
    </w:p>
    <w:p w14:paraId="4BCEA8AE">
      <w:pPr>
        <w:bidi w:val="0"/>
        <w:rPr>
          <w:color w:val="auto"/>
        </w:rPr>
      </w:pPr>
      <w:bookmarkStart w:id="207" w:name="_Toc214284013"/>
      <w:r>
        <w:rPr>
          <w:color w:val="auto"/>
        </w:rPr>
        <w:t>1、设计情况</w:t>
      </w:r>
    </w:p>
    <w:p w14:paraId="355C5C3A">
      <w:pPr>
        <w:bidi w:val="0"/>
        <w:rPr>
          <w:color w:val="auto"/>
        </w:rPr>
      </w:pPr>
      <w:r>
        <w:rPr>
          <w:rFonts w:hint="eastAsia"/>
          <w:color w:val="auto"/>
          <w:lang w:eastAsia="zh-CN"/>
        </w:rPr>
        <w:t>（</w:t>
      </w:r>
      <w:r>
        <w:rPr>
          <w:rFonts w:hint="eastAsia"/>
          <w:color w:val="auto"/>
          <w:lang w:val="en-US" w:eastAsia="zh-CN"/>
        </w:rPr>
        <w:t>1）</w:t>
      </w:r>
      <w:r>
        <w:rPr>
          <w:color w:val="auto"/>
        </w:rPr>
        <w:t>选择公路开拓+汽车运输方案</w:t>
      </w:r>
      <w:r>
        <w:rPr>
          <w:rFonts w:hint="eastAsia"/>
          <w:color w:val="auto"/>
          <w:lang w:eastAsia="zh-CN"/>
        </w:rPr>
        <w:t>，</w:t>
      </w:r>
      <w:r>
        <w:rPr>
          <w:color w:val="auto"/>
        </w:rPr>
        <w:t>运输路线由采矿工作面至破碎站。</w:t>
      </w:r>
    </w:p>
    <w:p w14:paraId="6BE55A4D">
      <w:pPr>
        <w:bidi w:val="0"/>
        <w:rPr>
          <w:rFonts w:hint="default"/>
          <w:color w:val="auto"/>
          <w:lang w:val="en-US" w:eastAsia="zh-CN"/>
        </w:rPr>
      </w:pPr>
      <w:r>
        <w:rPr>
          <w:rFonts w:hint="eastAsia"/>
          <w:color w:val="auto"/>
          <w:lang w:eastAsia="zh-CN"/>
        </w:rPr>
        <w:t>（</w:t>
      </w:r>
      <w:r>
        <w:rPr>
          <w:rFonts w:hint="eastAsia"/>
          <w:color w:val="auto"/>
          <w:lang w:val="en-US" w:eastAsia="zh-CN"/>
        </w:rPr>
        <w:t>2）</w:t>
      </w:r>
      <w:r>
        <w:rPr>
          <w:rFonts w:hint="default"/>
          <w:color w:val="auto"/>
          <w:lang w:eastAsia="zh-CN"/>
        </w:rPr>
        <w:t>利</w:t>
      </w:r>
      <w:r>
        <w:rPr>
          <w:rFonts w:hint="default"/>
          <w:color w:val="auto"/>
          <w:lang w:val="en-US" w:eastAsia="zh-CN"/>
        </w:rPr>
        <w:t>用</w:t>
      </w:r>
      <w:r>
        <w:rPr>
          <w:rFonts w:hint="default"/>
          <w:color w:val="auto"/>
        </w:rPr>
        <w:t>矿山</w:t>
      </w:r>
      <w:r>
        <w:rPr>
          <w:rFonts w:hint="default"/>
          <w:color w:val="auto"/>
          <w:lang w:val="en-US" w:eastAsia="zh-CN"/>
        </w:rPr>
        <w:t>已有设备，</w:t>
      </w:r>
      <w:r>
        <w:rPr>
          <w:color w:val="auto"/>
        </w:rPr>
        <w:t>选用</w:t>
      </w:r>
      <w:r>
        <w:rPr>
          <w:rFonts w:hint="eastAsia"/>
          <w:color w:val="auto"/>
          <w:lang w:eastAsia="zh-CN"/>
        </w:rPr>
        <w:t>北奔重卡2529</w:t>
      </w:r>
      <w:r>
        <w:rPr>
          <w:rFonts w:hint="eastAsia"/>
          <w:color w:val="auto"/>
          <w:lang w:val="en-US" w:eastAsia="zh-CN"/>
        </w:rPr>
        <w:t>非公路矿用自卸汽车</w:t>
      </w:r>
      <w:r>
        <w:rPr>
          <w:color w:val="auto"/>
        </w:rPr>
        <w:t>。</w:t>
      </w:r>
      <w:r>
        <w:rPr>
          <w:rFonts w:hint="eastAsia"/>
          <w:color w:val="auto"/>
          <w:lang w:val="en-US" w:eastAsia="zh-CN"/>
        </w:rPr>
        <w:t>3</w:t>
      </w:r>
      <w:r>
        <w:rPr>
          <w:rFonts w:hint="default"/>
          <w:color w:val="auto"/>
          <w:lang w:val="en-US" w:eastAsia="zh-CN"/>
        </w:rPr>
        <w:t>台进行运输，</w:t>
      </w:r>
      <w:r>
        <w:rPr>
          <w:rFonts w:hint="eastAsia"/>
          <w:color w:val="auto"/>
          <w:lang w:val="en-US" w:eastAsia="zh-CN"/>
        </w:rPr>
        <w:t>1台用作备用。</w:t>
      </w:r>
      <w:r>
        <w:rPr>
          <w:rFonts w:hint="eastAsia"/>
          <w:color w:val="auto"/>
          <w:lang w:eastAsia="zh-CN"/>
        </w:rPr>
        <w:t>北奔重卡2529</w:t>
      </w:r>
      <w:r>
        <w:rPr>
          <w:rFonts w:hint="default"/>
          <w:color w:val="auto"/>
        </w:rPr>
        <w:t>外形尺寸（长×宽×高）7799×2500×322</w:t>
      </w:r>
      <w:r>
        <w:rPr>
          <w:rFonts w:hint="eastAsia"/>
          <w:color w:val="auto"/>
          <w:lang w:val="en-US" w:eastAsia="zh-CN"/>
        </w:rPr>
        <w:t>2</w:t>
      </w:r>
      <w:r>
        <w:rPr>
          <w:rFonts w:hint="eastAsia"/>
          <w:color w:val="auto"/>
          <w:lang w:eastAsia="zh-CN"/>
        </w:rPr>
        <w:t>（</w:t>
      </w:r>
      <w:r>
        <w:rPr>
          <w:rFonts w:hint="eastAsia"/>
          <w:color w:val="auto"/>
          <w:lang w:val="en-US" w:eastAsia="zh-CN"/>
        </w:rPr>
        <w:t>mm）</w:t>
      </w:r>
      <w:r>
        <w:rPr>
          <w:rFonts w:hint="default"/>
          <w:color w:val="auto"/>
          <w:lang w:val="en-US" w:eastAsia="zh-CN"/>
        </w:rPr>
        <w:t>，额定载重</w:t>
      </w:r>
      <w:r>
        <w:rPr>
          <w:rFonts w:hint="eastAsia"/>
          <w:color w:val="auto"/>
          <w:lang w:val="en-US" w:eastAsia="zh-CN"/>
        </w:rPr>
        <w:t>25</w:t>
      </w:r>
      <w:r>
        <w:rPr>
          <w:rFonts w:hint="default"/>
          <w:color w:val="auto"/>
          <w:lang w:val="en-US" w:eastAsia="zh-CN"/>
        </w:rPr>
        <w:t>t。</w:t>
      </w:r>
    </w:p>
    <w:p w14:paraId="515E9E32">
      <w:pPr>
        <w:bidi w:val="0"/>
        <w:rPr>
          <w:rFonts w:hint="default" w:eastAsia="宋体"/>
          <w:lang w:val="en-US" w:eastAsia="zh-CN"/>
        </w:rPr>
      </w:pPr>
      <w:r>
        <w:rPr>
          <w:rFonts w:hint="eastAsia"/>
          <w:lang w:val="en-US" w:eastAsia="zh-CN"/>
        </w:rPr>
        <w:t>（3）</w:t>
      </w:r>
      <w:bookmarkStart w:id="208" w:name="_Toc29296"/>
      <w:r>
        <w:rPr>
          <w:rFonts w:hint="default"/>
        </w:rPr>
        <w:t>运输道路</w:t>
      </w:r>
      <w:bookmarkEnd w:id="208"/>
      <w:r>
        <w:rPr>
          <w:rFonts w:hint="eastAsia"/>
          <w:lang w:val="en-US" w:eastAsia="zh-CN"/>
        </w:rPr>
        <w:t>。</w:t>
      </w:r>
    </w:p>
    <w:p w14:paraId="3094486A">
      <w:pPr>
        <w:bidi w:val="0"/>
        <w:rPr>
          <w:rFonts w:hint="eastAsia"/>
        </w:rPr>
      </w:pPr>
      <w:bookmarkStart w:id="209" w:name="_Hlk207119619"/>
      <w:r>
        <w:rPr>
          <w:rFonts w:hint="eastAsia"/>
        </w:rPr>
        <w:t>①</w:t>
      </w:r>
      <w:r>
        <w:rPr>
          <w:rFonts w:hint="eastAsia"/>
          <w:lang w:val="en-US" w:eastAsia="zh-CN"/>
        </w:rPr>
        <w:t>利旧道路。</w:t>
      </w:r>
      <w:bookmarkEnd w:id="209"/>
      <w:bookmarkStart w:id="210" w:name="_Hlk141097935"/>
      <w:r>
        <w:rPr>
          <w:rFonts w:hint="eastAsia"/>
          <w:lang w:eastAsia="zh-CN"/>
        </w:rPr>
        <w:t>矿山为</w:t>
      </w:r>
      <w:r>
        <w:rPr>
          <w:rFonts w:hint="eastAsia"/>
          <w:lang w:val="en-US" w:eastAsia="zh-CN"/>
        </w:rPr>
        <w:t>原有</w:t>
      </w:r>
      <w:r>
        <w:rPr>
          <w:rFonts w:hint="eastAsia"/>
          <w:lang w:eastAsia="zh-CN"/>
        </w:rPr>
        <w:t>矿山，</w:t>
      </w:r>
      <w:r>
        <w:rPr>
          <w:rFonts w:hint="eastAsia"/>
          <w:lang w:val="en-US" w:eastAsia="zh-CN"/>
        </w:rPr>
        <w:t>原有</w:t>
      </w:r>
      <w:r>
        <w:rPr>
          <w:rFonts w:hint="eastAsia"/>
          <w:lang w:eastAsia="zh-CN"/>
        </w:rPr>
        <w:t>开拓运输道路</w:t>
      </w:r>
      <w:r>
        <w:rPr>
          <w:rFonts w:hint="default"/>
          <w:lang w:val="en-US" w:eastAsia="zh-CN"/>
        </w:rPr>
        <w:t>从破碎站</w:t>
      </w:r>
      <w:r>
        <w:rPr>
          <w:rFonts w:hint="eastAsia"/>
          <w:lang w:val="en-US" w:eastAsia="zh-CN"/>
        </w:rPr>
        <w:t>（1649m）进料口</w:t>
      </w:r>
      <w:r>
        <w:rPr>
          <w:rFonts w:hint="default"/>
          <w:lang w:val="en-US" w:eastAsia="zh-CN"/>
        </w:rPr>
        <w:t>沿破碎站</w:t>
      </w:r>
      <w:r>
        <w:rPr>
          <w:rFonts w:hint="eastAsia"/>
          <w:lang w:val="en-US" w:eastAsia="zh-CN"/>
        </w:rPr>
        <w:t>西侧至</w:t>
      </w:r>
      <w:r>
        <w:rPr>
          <w:rFonts w:hint="default"/>
          <w:lang w:val="en-US" w:eastAsia="zh-CN"/>
        </w:rPr>
        <w:t>破碎站</w:t>
      </w:r>
      <w:r>
        <w:rPr>
          <w:rFonts w:hint="eastAsia"/>
          <w:lang w:val="en-US" w:eastAsia="zh-CN"/>
        </w:rPr>
        <w:t>西南角，道路长66m，宽4m</w:t>
      </w:r>
      <w:r>
        <w:rPr>
          <w:rFonts w:hint="default"/>
          <w:lang w:val="en-US" w:eastAsia="zh-CN"/>
        </w:rPr>
        <w:t>～</w:t>
      </w:r>
      <w:r>
        <w:rPr>
          <w:rFonts w:hint="eastAsia"/>
          <w:lang w:val="en-US" w:eastAsia="zh-CN"/>
        </w:rPr>
        <w:t>6m</w:t>
      </w:r>
      <w:r>
        <w:rPr>
          <w:rFonts w:hint="eastAsia"/>
        </w:rPr>
        <w:t>。</w:t>
      </w:r>
      <w:bookmarkEnd w:id="210"/>
    </w:p>
    <w:p w14:paraId="77DC4968">
      <w:pPr>
        <w:bidi w:val="0"/>
        <w:rPr>
          <w:rFonts w:hint="eastAsia" w:ascii="Times New Roman" w:hAnsi="Times New Roman" w:eastAsia="宋体" w:cs="Times New Roman"/>
          <w:color w:val="auto"/>
          <w:sz w:val="28"/>
          <w:szCs w:val="28"/>
          <w:highlight w:val="none"/>
          <w:shd w:val="clear" w:color="auto" w:fill="auto"/>
          <w:lang w:val="en-US" w:eastAsia="zh-CN"/>
        </w:rPr>
      </w:pPr>
      <w:r>
        <w:rPr>
          <w:rFonts w:hint="eastAsia"/>
        </w:rPr>
        <w:t>②</w:t>
      </w:r>
      <w:r>
        <w:rPr>
          <w:rFonts w:hint="eastAsia"/>
          <w:lang w:val="en-US" w:eastAsia="zh-CN"/>
        </w:rPr>
        <w:t>新建道路。</w:t>
      </w:r>
      <w:r>
        <w:rPr>
          <w:rFonts w:hint="default" w:ascii="Times New Roman" w:hAnsi="Times New Roman" w:eastAsia="宋体" w:cs="Times New Roman"/>
          <w:color w:val="auto"/>
          <w:sz w:val="28"/>
          <w:szCs w:val="28"/>
          <w:highlight w:val="none"/>
          <w:lang w:val="en-US" w:eastAsia="zh-CN"/>
        </w:rPr>
        <w:t>从破碎站</w:t>
      </w:r>
      <w:r>
        <w:rPr>
          <w:rFonts w:hint="eastAsia" w:ascii="Times New Roman" w:hAnsi="Times New Roman" w:eastAsia="宋体" w:cs="Times New Roman"/>
          <w:color w:val="auto"/>
          <w:sz w:val="28"/>
          <w:szCs w:val="28"/>
          <w:highlight w:val="none"/>
          <w:lang w:val="en-US" w:eastAsia="zh-CN"/>
        </w:rPr>
        <w:t>（1649m）</w:t>
      </w:r>
      <w:r>
        <w:rPr>
          <w:rFonts w:hint="default" w:ascii="Times New Roman" w:hAnsi="Times New Roman" w:eastAsia="宋体" w:cs="Times New Roman"/>
          <w:color w:val="auto"/>
          <w:sz w:val="28"/>
          <w:szCs w:val="28"/>
          <w:highlight w:val="none"/>
          <w:lang w:val="en-US" w:eastAsia="zh-CN"/>
        </w:rPr>
        <w:t>沿矿区南部进场道路</w:t>
      </w:r>
      <w:r>
        <w:rPr>
          <w:rFonts w:hint="eastAsia" w:ascii="Times New Roman" w:hAnsi="Times New Roman" w:eastAsia="宋体" w:cs="Times New Roman"/>
          <w:color w:val="auto"/>
          <w:sz w:val="28"/>
          <w:szCs w:val="28"/>
          <w:highlight w:val="none"/>
          <w:lang w:val="en-US" w:eastAsia="zh-CN"/>
        </w:rPr>
        <w:t>进入矿区中部修建至1660m平台为汽车运输道路。道路长1</w:t>
      </w:r>
      <w:r>
        <w:rPr>
          <w:rFonts w:hint="eastAsia" w:ascii="Times New Roman" w:hAnsi="Times New Roman" w:cs="Times New Roman"/>
          <w:color w:val="auto"/>
          <w:sz w:val="28"/>
          <w:szCs w:val="28"/>
          <w:highlight w:val="none"/>
          <w:lang w:val="en-US" w:eastAsia="zh-CN"/>
        </w:rPr>
        <w:t>93</w:t>
      </w:r>
      <w:r>
        <w:rPr>
          <w:rFonts w:hint="eastAsia" w:ascii="Times New Roman" w:hAnsi="Times New Roman" w:eastAsia="宋体" w:cs="Times New Roman"/>
          <w:color w:val="auto"/>
          <w:sz w:val="28"/>
          <w:szCs w:val="28"/>
          <w:highlight w:val="none"/>
          <w:lang w:val="en-US" w:eastAsia="zh-CN"/>
        </w:rPr>
        <w:t>m，宽6m，</w:t>
      </w:r>
      <w:r>
        <w:rPr>
          <w:rFonts w:hint="default" w:ascii="Times New Roman" w:hAnsi="Times New Roman" w:eastAsia="宋体" w:cs="Times New Roman"/>
          <w:color w:val="auto"/>
          <w:sz w:val="28"/>
          <w:szCs w:val="28"/>
          <w:highlight w:val="none"/>
          <w:shd w:val="clear" w:color="auto" w:fill="auto"/>
          <w:lang w:val="en-US" w:eastAsia="zh-CN"/>
        </w:rPr>
        <w:t>平均坡度≦</w:t>
      </w:r>
      <w:r>
        <w:rPr>
          <w:rFonts w:hint="eastAsia" w:ascii="Times New Roman" w:hAnsi="Times New Roman" w:eastAsia="宋体" w:cs="Times New Roman"/>
          <w:color w:val="auto"/>
          <w:sz w:val="28"/>
          <w:szCs w:val="28"/>
          <w:highlight w:val="none"/>
          <w:shd w:val="clear" w:color="auto" w:fill="auto"/>
          <w:lang w:val="en-US" w:eastAsia="zh-CN"/>
        </w:rPr>
        <w:t>6.8</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最大坡度</w:t>
      </w:r>
      <w:r>
        <w:rPr>
          <w:rFonts w:hint="eastAsia" w:ascii="Times New Roman" w:hAnsi="Times New Roman" w:eastAsia="宋体" w:cs="Times New Roman"/>
          <w:color w:val="auto"/>
          <w:sz w:val="28"/>
          <w:szCs w:val="28"/>
          <w:highlight w:val="none"/>
          <w:shd w:val="clear" w:color="auto" w:fill="auto"/>
          <w:lang w:val="en-US" w:eastAsia="zh-CN"/>
        </w:rPr>
        <w:t>9</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p>
    <w:p w14:paraId="4DE60EEC">
      <w:pPr>
        <w:bidi w:val="0"/>
        <w:rPr>
          <w:rFonts w:hint="eastAsia" w:ascii="Times New Roman" w:hAnsi="Times New Roman" w:eastAsia="宋体" w:cs="Times New Roman"/>
          <w:color w:val="auto"/>
          <w:sz w:val="28"/>
          <w:szCs w:val="28"/>
          <w:highlight w:val="none"/>
          <w:shd w:val="clear" w:color="auto" w:fill="auto"/>
          <w:lang w:val="en-US" w:eastAsia="zh-CN"/>
        </w:rPr>
      </w:pPr>
      <w:r>
        <w:rPr>
          <w:rFonts w:hint="eastAsia" w:ascii="微软雅黑" w:hAnsi="微软雅黑" w:eastAsia="微软雅黑" w:cs="微软雅黑"/>
          <w:color w:val="auto"/>
          <w:sz w:val="28"/>
          <w:szCs w:val="28"/>
          <w:highlight w:val="none"/>
          <w:lang w:val="en-US" w:eastAsia="zh-CN"/>
        </w:rPr>
        <w:t>③</w:t>
      </w:r>
      <w:r>
        <w:rPr>
          <w:rFonts w:hint="eastAsia"/>
          <w:lang w:val="en-US" w:eastAsia="zh-CN"/>
        </w:rPr>
        <w:t>新建道路。</w:t>
      </w:r>
      <w:r>
        <w:rPr>
          <w:rFonts w:hint="eastAsia" w:ascii="Times New Roman" w:hAnsi="Times New Roman" w:eastAsia="宋体" w:cs="Times New Roman"/>
          <w:color w:val="auto"/>
          <w:sz w:val="28"/>
          <w:szCs w:val="28"/>
          <w:highlight w:val="none"/>
          <w:lang w:val="en-US" w:eastAsia="zh-CN"/>
        </w:rPr>
        <w:t>从1660m标高至1705m平台新修挖机道路。道路长180m，宽4m，</w:t>
      </w:r>
      <w:r>
        <w:rPr>
          <w:rFonts w:hint="default" w:ascii="Times New Roman" w:hAnsi="Times New Roman" w:eastAsia="宋体" w:cs="Times New Roman"/>
          <w:color w:val="auto"/>
          <w:sz w:val="28"/>
          <w:szCs w:val="28"/>
          <w:highlight w:val="none"/>
          <w:shd w:val="clear" w:color="auto" w:fill="auto"/>
          <w:lang w:val="en-US" w:eastAsia="zh-CN"/>
        </w:rPr>
        <w:t>平均坡度≦</w:t>
      </w:r>
      <w:r>
        <w:rPr>
          <w:rFonts w:hint="eastAsia" w:ascii="Times New Roman" w:hAnsi="Times New Roman" w:eastAsia="宋体" w:cs="Times New Roman"/>
          <w:color w:val="auto"/>
          <w:sz w:val="28"/>
          <w:szCs w:val="28"/>
          <w:highlight w:val="none"/>
          <w:shd w:val="clear" w:color="auto" w:fill="auto"/>
          <w:lang w:val="en-US" w:eastAsia="zh-CN"/>
        </w:rPr>
        <w:t>25</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最大坡度</w:t>
      </w:r>
      <w:r>
        <w:rPr>
          <w:rFonts w:hint="eastAsia" w:ascii="Times New Roman" w:hAnsi="Times New Roman" w:eastAsia="宋体" w:cs="Times New Roman"/>
          <w:color w:val="auto"/>
          <w:sz w:val="28"/>
          <w:szCs w:val="28"/>
          <w:highlight w:val="none"/>
          <w:shd w:val="clear" w:color="auto" w:fill="auto"/>
          <w:lang w:val="en-US" w:eastAsia="zh-CN"/>
        </w:rPr>
        <w:t>28</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p>
    <w:p w14:paraId="15F25CE3">
      <w:pPr>
        <w:bidi w:val="0"/>
        <w:rPr>
          <w:rFonts w:hint="eastAsia" w:ascii="Times New Roman" w:hAnsi="Times New Roman" w:eastAsia="宋体" w:cs="Times New Roman"/>
          <w:color w:val="auto"/>
          <w:sz w:val="28"/>
          <w:szCs w:val="28"/>
          <w:highlight w:val="none"/>
          <w:shd w:val="clear" w:color="auto" w:fill="auto"/>
          <w:lang w:val="en-US" w:eastAsia="zh-CN"/>
        </w:rPr>
      </w:pPr>
      <w:r>
        <w:rPr>
          <w:rFonts w:hint="eastAsia" w:ascii="微软雅黑" w:hAnsi="微软雅黑" w:eastAsia="微软雅黑" w:cs="微软雅黑"/>
          <w:color w:val="auto"/>
          <w:sz w:val="28"/>
          <w:szCs w:val="28"/>
          <w:highlight w:val="none"/>
          <w:lang w:val="en-US" w:eastAsia="zh-CN"/>
        </w:rPr>
        <w:t>④</w:t>
      </w:r>
      <w:r>
        <w:rPr>
          <w:rFonts w:hint="eastAsia"/>
          <w:lang w:val="en-US" w:eastAsia="zh-CN"/>
        </w:rPr>
        <w:t>新建</w:t>
      </w:r>
      <w:r>
        <w:rPr>
          <w:rFonts w:hint="eastAsia" w:ascii="Times New Roman" w:hAnsi="Times New Roman" w:eastAsia="宋体" w:cs="Times New Roman"/>
          <w:color w:val="auto"/>
          <w:sz w:val="28"/>
          <w:szCs w:val="28"/>
          <w:highlight w:val="none"/>
          <w:lang w:val="en-US" w:eastAsia="zh-CN"/>
        </w:rPr>
        <w:t>挖机</w:t>
      </w:r>
      <w:r>
        <w:rPr>
          <w:rFonts w:hint="eastAsia"/>
          <w:lang w:val="en-US" w:eastAsia="zh-CN"/>
        </w:rPr>
        <w:t>道路。</w:t>
      </w:r>
      <w:r>
        <w:rPr>
          <w:rFonts w:hint="eastAsia" w:ascii="Times New Roman" w:hAnsi="Times New Roman" w:eastAsia="宋体" w:cs="Times New Roman"/>
          <w:color w:val="auto"/>
          <w:sz w:val="28"/>
          <w:szCs w:val="28"/>
          <w:highlight w:val="none"/>
          <w:shd w:val="clear" w:color="auto" w:fill="auto"/>
          <w:lang w:val="en-US" w:eastAsia="zh-CN"/>
        </w:rPr>
        <w:t>从</w:t>
      </w:r>
      <w:r>
        <w:rPr>
          <w:rFonts w:hint="eastAsia" w:ascii="Times New Roman" w:hAnsi="Times New Roman" w:cs="Times New Roman"/>
          <w:color w:val="auto"/>
          <w:sz w:val="28"/>
          <w:szCs w:val="28"/>
          <w:highlight w:val="none"/>
          <w:lang w:val="en-US" w:eastAsia="zh-CN"/>
        </w:rPr>
        <w:t>基建平台</w:t>
      </w:r>
      <w:r>
        <w:rPr>
          <w:rFonts w:hint="eastAsia" w:ascii="Times New Roman" w:hAnsi="Times New Roman" w:eastAsia="宋体" w:cs="Times New Roman"/>
          <w:color w:val="auto"/>
          <w:sz w:val="28"/>
          <w:szCs w:val="28"/>
          <w:highlight w:val="none"/>
          <w:lang w:val="en-US" w:eastAsia="zh-CN"/>
        </w:rPr>
        <w:t>（16</w:t>
      </w:r>
      <w:r>
        <w:rPr>
          <w:rFonts w:hint="eastAsia" w:ascii="Times New Roman" w:hAnsi="Times New Roman" w:cs="Times New Roman"/>
          <w:color w:val="auto"/>
          <w:sz w:val="28"/>
          <w:szCs w:val="28"/>
          <w:highlight w:val="none"/>
          <w:lang w:val="en-US" w:eastAsia="zh-CN"/>
        </w:rPr>
        <w:t>45</w:t>
      </w:r>
      <w:r>
        <w:rPr>
          <w:rFonts w:hint="eastAsia" w:ascii="Times New Roman" w:hAnsi="Times New Roman" w:eastAsia="宋体" w:cs="Times New Roman"/>
          <w:color w:val="auto"/>
          <w:sz w:val="28"/>
          <w:szCs w:val="28"/>
          <w:highlight w:val="none"/>
          <w:lang w:val="en-US" w:eastAsia="zh-CN"/>
        </w:rPr>
        <w:t>m）</w:t>
      </w:r>
      <w:r>
        <w:rPr>
          <w:rFonts w:hint="eastAsia" w:ascii="Times New Roman" w:hAnsi="Times New Roman" w:cs="Times New Roman"/>
          <w:color w:val="auto"/>
          <w:sz w:val="28"/>
          <w:szCs w:val="28"/>
          <w:highlight w:val="none"/>
          <w:lang w:val="en-US" w:eastAsia="zh-CN"/>
        </w:rPr>
        <w:t>修建至矿区中部</w:t>
      </w:r>
      <w:r>
        <w:rPr>
          <w:rFonts w:hint="eastAsia" w:ascii="Times New Roman" w:hAnsi="Times New Roman" w:eastAsia="宋体" w:cs="Times New Roman"/>
          <w:color w:val="auto"/>
          <w:sz w:val="28"/>
          <w:szCs w:val="28"/>
          <w:highlight w:val="none"/>
          <w:lang w:val="en-US" w:eastAsia="zh-CN"/>
        </w:rPr>
        <w:t>16</w:t>
      </w:r>
      <w:r>
        <w:rPr>
          <w:rFonts w:hint="eastAsia" w:ascii="Times New Roman" w:hAnsi="Times New Roman" w:cs="Times New Roman"/>
          <w:color w:val="auto"/>
          <w:sz w:val="28"/>
          <w:szCs w:val="28"/>
          <w:highlight w:val="none"/>
          <w:lang w:val="en-US" w:eastAsia="zh-CN"/>
        </w:rPr>
        <w:t>60</w:t>
      </w:r>
      <w:r>
        <w:rPr>
          <w:rFonts w:hint="eastAsia" w:ascii="Times New Roman" w:hAnsi="Times New Roman" w:eastAsia="宋体" w:cs="Times New Roman"/>
          <w:color w:val="auto"/>
          <w:sz w:val="28"/>
          <w:szCs w:val="28"/>
          <w:highlight w:val="none"/>
          <w:lang w:val="en-US" w:eastAsia="zh-CN"/>
        </w:rPr>
        <w:t>m平台，新修挖机道路</w:t>
      </w:r>
      <w:r>
        <w:rPr>
          <w:rFonts w:hint="eastAsia" w:ascii="Times New Roman" w:hAnsi="Times New Roman" w:eastAsia="宋体" w:cs="Times New Roman"/>
          <w:color w:val="auto"/>
          <w:sz w:val="28"/>
          <w:szCs w:val="28"/>
          <w:highlight w:val="none"/>
          <w:shd w:val="clear" w:color="auto" w:fill="auto"/>
          <w:lang w:val="en-US" w:eastAsia="zh-CN"/>
        </w:rPr>
        <w:t>；</w:t>
      </w:r>
    </w:p>
    <w:p w14:paraId="1DCAE3A5">
      <w:pPr>
        <w:bidi w:val="0"/>
        <w:rPr>
          <w:rFonts w:hint="default" w:ascii="Times New Roman" w:hAnsi="Times New Roman" w:eastAsia="宋体" w:cs="Times New Roman"/>
          <w:color w:val="auto"/>
          <w:sz w:val="28"/>
          <w:szCs w:val="28"/>
          <w:highlight w:val="none"/>
          <w:shd w:val="clear" w:color="auto" w:fill="auto"/>
          <w:lang w:val="en-US" w:eastAsia="zh-CN"/>
        </w:rPr>
      </w:pPr>
      <w:r>
        <w:rPr>
          <w:rFonts w:hint="eastAsia" w:ascii="微软雅黑" w:hAnsi="微软雅黑" w:eastAsia="微软雅黑" w:cs="微软雅黑"/>
          <w:color w:val="auto"/>
          <w:sz w:val="28"/>
          <w:szCs w:val="28"/>
          <w:highlight w:val="none"/>
          <w:lang w:val="en-US" w:eastAsia="zh-CN"/>
        </w:rPr>
        <w:t>⑤</w:t>
      </w:r>
      <w:r>
        <w:rPr>
          <w:rFonts w:hint="eastAsia"/>
          <w:lang w:val="en-US" w:eastAsia="zh-CN"/>
        </w:rPr>
        <w:t>新建运输道路。</w:t>
      </w:r>
      <w:r>
        <w:rPr>
          <w:rFonts w:hint="default" w:ascii="Times New Roman" w:hAnsi="Times New Roman" w:eastAsia="宋体" w:cs="Times New Roman"/>
          <w:color w:val="auto"/>
          <w:sz w:val="28"/>
          <w:szCs w:val="28"/>
          <w:highlight w:val="none"/>
          <w:lang w:val="en-US" w:eastAsia="zh-CN"/>
        </w:rPr>
        <w:t>从破碎站</w:t>
      </w:r>
      <w:r>
        <w:rPr>
          <w:rFonts w:hint="eastAsia" w:ascii="Times New Roman" w:hAnsi="Times New Roman" w:eastAsia="宋体" w:cs="Times New Roman"/>
          <w:color w:val="auto"/>
          <w:sz w:val="28"/>
          <w:szCs w:val="28"/>
          <w:highlight w:val="none"/>
          <w:lang w:val="en-US" w:eastAsia="zh-CN"/>
        </w:rPr>
        <w:t>（1649m）</w:t>
      </w:r>
      <w:r>
        <w:rPr>
          <w:rFonts w:hint="eastAsia" w:ascii="Times New Roman" w:hAnsi="Times New Roman" w:cs="Times New Roman"/>
          <w:color w:val="auto"/>
          <w:sz w:val="28"/>
          <w:szCs w:val="28"/>
          <w:highlight w:val="none"/>
          <w:lang w:val="en-US" w:eastAsia="zh-CN"/>
        </w:rPr>
        <w:t>进料口</w:t>
      </w:r>
      <w:r>
        <w:rPr>
          <w:rFonts w:hint="default" w:ascii="Times New Roman" w:hAnsi="Times New Roman" w:eastAsia="宋体" w:cs="Times New Roman"/>
          <w:color w:val="auto"/>
          <w:sz w:val="28"/>
          <w:szCs w:val="28"/>
          <w:highlight w:val="none"/>
          <w:lang w:val="en-US" w:eastAsia="zh-CN"/>
        </w:rPr>
        <w:t>沿矿区</w:t>
      </w:r>
      <w:r>
        <w:rPr>
          <w:rFonts w:hint="eastAsia" w:ascii="Times New Roman" w:hAnsi="Times New Roman" w:cs="Times New Roman"/>
          <w:color w:val="auto"/>
          <w:sz w:val="28"/>
          <w:szCs w:val="28"/>
          <w:highlight w:val="none"/>
          <w:lang w:val="en-US" w:eastAsia="zh-CN"/>
        </w:rPr>
        <w:t>中部</w:t>
      </w:r>
      <w:r>
        <w:rPr>
          <w:rFonts w:hint="eastAsia" w:ascii="Times New Roman" w:hAnsi="Times New Roman" w:eastAsia="宋体" w:cs="Times New Roman"/>
          <w:color w:val="auto"/>
          <w:sz w:val="28"/>
          <w:szCs w:val="28"/>
          <w:highlight w:val="none"/>
          <w:lang w:val="en-US" w:eastAsia="zh-CN"/>
        </w:rPr>
        <w:t>部进入至16</w:t>
      </w:r>
      <w:r>
        <w:rPr>
          <w:rFonts w:hint="eastAsia" w:ascii="Times New Roman" w:hAnsi="Times New Roman" w:cs="Times New Roman"/>
          <w:color w:val="auto"/>
          <w:sz w:val="28"/>
          <w:szCs w:val="28"/>
          <w:highlight w:val="none"/>
          <w:lang w:val="en-US" w:eastAsia="zh-CN"/>
        </w:rPr>
        <w:t>4</w:t>
      </w:r>
      <w:r>
        <w:rPr>
          <w:rFonts w:hint="eastAsia" w:ascii="Times New Roman" w:hAnsi="Times New Roman" w:eastAsia="宋体" w:cs="Times New Roman"/>
          <w:color w:val="auto"/>
          <w:sz w:val="28"/>
          <w:szCs w:val="28"/>
          <w:highlight w:val="none"/>
          <w:lang w:val="en-US" w:eastAsia="zh-CN"/>
        </w:rPr>
        <w:t>5m平台，道路长</w:t>
      </w:r>
      <w:r>
        <w:rPr>
          <w:rFonts w:hint="eastAsia" w:ascii="Times New Roman" w:hAnsi="Times New Roman" w:cs="Times New Roman"/>
          <w:color w:val="auto"/>
          <w:sz w:val="28"/>
          <w:szCs w:val="28"/>
          <w:highlight w:val="none"/>
          <w:lang w:val="en-US" w:eastAsia="zh-CN"/>
        </w:rPr>
        <w:t>146</w:t>
      </w:r>
      <w:r>
        <w:rPr>
          <w:rFonts w:hint="eastAsia" w:ascii="Times New Roman" w:hAnsi="Times New Roman" w:eastAsia="宋体" w:cs="Times New Roman"/>
          <w:color w:val="auto"/>
          <w:sz w:val="28"/>
          <w:szCs w:val="28"/>
          <w:highlight w:val="none"/>
          <w:lang w:val="en-US" w:eastAsia="zh-CN"/>
        </w:rPr>
        <w:t>m，宽6m，</w:t>
      </w:r>
      <w:r>
        <w:rPr>
          <w:rFonts w:hint="default" w:ascii="Times New Roman" w:hAnsi="Times New Roman" w:eastAsia="宋体" w:cs="Times New Roman"/>
          <w:color w:val="auto"/>
          <w:sz w:val="28"/>
          <w:szCs w:val="28"/>
          <w:highlight w:val="none"/>
          <w:shd w:val="clear" w:color="auto" w:fill="auto"/>
          <w:lang w:val="en-US" w:eastAsia="zh-CN"/>
        </w:rPr>
        <w:t>平均坡度≦</w:t>
      </w:r>
      <w:r>
        <w:rPr>
          <w:rFonts w:hint="eastAsia" w:ascii="Times New Roman" w:hAnsi="Times New Roman" w:eastAsia="宋体" w:cs="Times New Roman"/>
          <w:color w:val="auto"/>
          <w:sz w:val="28"/>
          <w:szCs w:val="28"/>
          <w:highlight w:val="none"/>
          <w:shd w:val="clear" w:color="auto" w:fill="auto"/>
          <w:lang w:val="en-US" w:eastAsia="zh-CN"/>
        </w:rPr>
        <w:t>8.4</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最大坡度</w:t>
      </w:r>
      <w:r>
        <w:rPr>
          <w:rFonts w:hint="eastAsia" w:ascii="Times New Roman" w:hAnsi="Times New Roman" w:eastAsia="宋体" w:cs="Times New Roman"/>
          <w:color w:val="auto"/>
          <w:sz w:val="28"/>
          <w:szCs w:val="28"/>
          <w:highlight w:val="none"/>
          <w:shd w:val="clear" w:color="auto" w:fill="auto"/>
          <w:lang w:val="en-US" w:eastAsia="zh-CN"/>
        </w:rPr>
        <w:t>9</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eastAsia="zh-CN"/>
        </w:rPr>
        <w:t>最小</w:t>
      </w:r>
      <w:r>
        <w:rPr>
          <w:rFonts w:hint="default" w:ascii="Times New Roman" w:hAnsi="Times New Roman" w:eastAsia="宋体" w:cs="Times New Roman"/>
          <w:color w:val="auto"/>
          <w:sz w:val="28"/>
          <w:szCs w:val="28"/>
          <w:highlight w:val="none"/>
          <w:shd w:val="clear" w:color="auto" w:fill="auto"/>
        </w:rPr>
        <w:t>转弯半径1</w:t>
      </w:r>
      <w:r>
        <w:rPr>
          <w:rFonts w:hint="default" w:ascii="Times New Roman" w:hAnsi="Times New Roman" w:eastAsia="宋体" w:cs="Times New Roman"/>
          <w:color w:val="auto"/>
          <w:sz w:val="28"/>
          <w:szCs w:val="28"/>
          <w:highlight w:val="none"/>
          <w:shd w:val="clear" w:color="auto" w:fill="auto"/>
          <w:lang w:val="en-US" w:eastAsia="zh-CN"/>
        </w:rPr>
        <w:t>5</w:t>
      </w:r>
      <w:r>
        <w:rPr>
          <w:rFonts w:hint="default" w:ascii="Times New Roman" w:hAnsi="Times New Roman" w:eastAsia="宋体" w:cs="Times New Roman"/>
          <w:color w:val="auto"/>
          <w:sz w:val="28"/>
          <w:szCs w:val="28"/>
          <w:highlight w:val="none"/>
          <w:shd w:val="clear" w:color="auto" w:fill="auto"/>
        </w:rPr>
        <w:t>m</w:t>
      </w:r>
      <w:r>
        <w:rPr>
          <w:rFonts w:hint="eastAsia" w:ascii="Times New Roman" w:hAnsi="Times New Roman" w:eastAsia="宋体" w:cs="Times New Roman"/>
          <w:color w:val="auto"/>
          <w:sz w:val="28"/>
          <w:szCs w:val="28"/>
          <w:highlight w:val="none"/>
          <w:shd w:val="clear" w:color="auto" w:fill="auto"/>
          <w:lang w:eastAsia="zh-CN"/>
        </w:rPr>
        <w:t>；</w:t>
      </w:r>
    </w:p>
    <w:p w14:paraId="6CAC9321">
      <w:pPr>
        <w:bidi w:val="0"/>
        <w:rPr>
          <w:rFonts w:hint="eastAsia" w:ascii="Times New Roman" w:hAnsi="Times New Roman" w:eastAsia="宋体" w:cs="Times New Roman"/>
          <w:color w:val="auto"/>
          <w:sz w:val="28"/>
          <w:szCs w:val="28"/>
          <w:highlight w:val="none"/>
          <w:shd w:val="clear" w:color="auto" w:fill="auto"/>
          <w:lang w:eastAsia="zh-CN"/>
        </w:rPr>
      </w:pPr>
      <w:r>
        <w:rPr>
          <w:rFonts w:hint="eastAsia" w:ascii="微软雅黑" w:hAnsi="微软雅黑" w:eastAsia="微软雅黑" w:cs="微软雅黑"/>
          <w:color w:val="auto"/>
          <w:sz w:val="28"/>
          <w:szCs w:val="28"/>
          <w:highlight w:val="none"/>
          <w:lang w:val="en-US" w:eastAsia="zh-CN"/>
        </w:rPr>
        <w:t>⑥</w:t>
      </w:r>
      <w:r>
        <w:rPr>
          <w:rFonts w:hint="default" w:ascii="Times New Roman" w:hAnsi="Times New Roman" w:eastAsia="宋体" w:cs="Times New Roman"/>
          <w:color w:val="auto"/>
          <w:sz w:val="28"/>
          <w:szCs w:val="28"/>
          <w:highlight w:val="none"/>
          <w:shd w:val="clear" w:color="auto" w:fill="auto"/>
          <w:lang w:val="en-US" w:eastAsia="zh-CN"/>
        </w:rPr>
        <w:t>路外侧设置车档设施</w:t>
      </w:r>
      <w:r>
        <w:rPr>
          <w:rFonts w:hint="eastAsia" w:ascii="Times New Roman" w:hAnsi="Times New Roman" w:eastAsia="宋体" w:cs="Times New Roman"/>
          <w:color w:val="auto"/>
          <w:sz w:val="28"/>
          <w:szCs w:val="28"/>
          <w:highlight w:val="none"/>
          <w:shd w:val="clear" w:color="auto" w:fill="auto"/>
          <w:lang w:val="en-US" w:eastAsia="zh-CN"/>
        </w:rPr>
        <w:t>。</w:t>
      </w:r>
      <w:r>
        <w:rPr>
          <w:rFonts w:hint="eastAsia"/>
          <w:color w:val="auto"/>
          <w:lang w:val="en-US" w:eastAsia="zh-CN"/>
        </w:rPr>
        <w:t>梯形截面规格为</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顶宽0.6m，底宽1.2m，高1.0m</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eastAsia="zh-CN"/>
        </w:rPr>
        <w:t>；</w:t>
      </w:r>
    </w:p>
    <w:p w14:paraId="76AD105B">
      <w:pPr>
        <w:bidi w:val="0"/>
        <w:rPr>
          <w:color w:val="auto"/>
          <w:kern w:val="2"/>
        </w:rPr>
      </w:pPr>
      <w:r>
        <w:rPr>
          <w:rFonts w:hint="eastAsia" w:ascii="微软雅黑" w:hAnsi="微软雅黑" w:eastAsia="微软雅黑" w:cs="微软雅黑"/>
          <w:color w:val="auto"/>
          <w:sz w:val="28"/>
          <w:szCs w:val="28"/>
          <w:highlight w:val="none"/>
          <w:lang w:val="en-US" w:eastAsia="zh-CN"/>
        </w:rPr>
        <w:t>⑦</w:t>
      </w:r>
      <w:r>
        <w:rPr>
          <w:rFonts w:hint="default" w:ascii="Times New Roman" w:hAnsi="Times New Roman" w:eastAsia="宋体" w:cs="Times New Roman"/>
          <w:color w:val="auto"/>
          <w:sz w:val="28"/>
          <w:szCs w:val="28"/>
          <w:highlight w:val="none"/>
          <w:shd w:val="clear" w:color="auto" w:fill="auto"/>
          <w:lang w:val="en-US" w:eastAsia="zh-CN"/>
        </w:rPr>
        <w:t>内侧设置水沟</w:t>
      </w:r>
      <w:r>
        <w:rPr>
          <w:rFonts w:hint="eastAsia" w:ascii="Times New Roman" w:hAnsi="Times New Roman" w:eastAsia="宋体" w:cs="Times New Roman"/>
          <w:color w:val="auto"/>
          <w:sz w:val="28"/>
          <w:szCs w:val="28"/>
          <w:highlight w:val="none"/>
          <w:shd w:val="clear" w:color="auto" w:fill="auto"/>
          <w:lang w:val="en-US" w:eastAsia="zh-CN"/>
        </w:rPr>
        <w:t>。倒</w:t>
      </w:r>
      <w:r>
        <w:rPr>
          <w:rFonts w:hint="eastAsia"/>
          <w:color w:val="auto"/>
          <w:lang w:val="en-US" w:eastAsia="zh-CN"/>
        </w:rPr>
        <w:t>梯形截面规格为</w:t>
      </w:r>
      <w:r>
        <w:rPr>
          <w:rFonts w:hint="default" w:ascii="Times New Roman" w:hAnsi="Times New Roman" w:eastAsia="宋体" w:cs="Times New Roman"/>
          <w:color w:val="auto"/>
          <w:sz w:val="28"/>
          <w:szCs w:val="28"/>
          <w:highlight w:val="none"/>
          <w:shd w:val="clear" w:color="auto" w:fill="auto"/>
          <w:lang w:val="en-US" w:eastAsia="zh-CN"/>
        </w:rPr>
        <w:t>（0.</w:t>
      </w:r>
      <w:r>
        <w:rPr>
          <w:rFonts w:hint="eastAsia" w:ascii="Times New Roman" w:hAnsi="Times New Roman" w:eastAsia="宋体" w:cs="Times New Roman"/>
          <w:color w:val="auto"/>
          <w:sz w:val="28"/>
          <w:szCs w:val="28"/>
          <w:highlight w:val="none"/>
          <w:shd w:val="clear" w:color="auto" w:fill="auto"/>
          <w:lang w:val="en-US" w:eastAsia="zh-CN"/>
        </w:rPr>
        <w:t>5</w:t>
      </w:r>
      <w:r>
        <w:rPr>
          <w:rFonts w:hint="default" w:ascii="Times New Roman" w:hAnsi="Times New Roman" w:eastAsia="宋体" w:cs="Times New Roman"/>
          <w:color w:val="auto"/>
          <w:sz w:val="28"/>
          <w:szCs w:val="28"/>
          <w:highlight w:val="none"/>
          <w:shd w:val="clear" w:color="auto" w:fill="auto"/>
          <w:lang w:val="en-US" w:eastAsia="zh-CN"/>
        </w:rPr>
        <w:t>m</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0.4m</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×0.</w:t>
      </w:r>
      <w:r>
        <w:rPr>
          <w:rFonts w:hint="eastAsia" w:ascii="Times New Roman" w:hAnsi="Times New Roman" w:eastAsia="宋体" w:cs="Times New Roman"/>
          <w:color w:val="auto"/>
          <w:sz w:val="28"/>
          <w:szCs w:val="28"/>
          <w:highlight w:val="none"/>
          <w:shd w:val="clear" w:color="auto" w:fill="auto"/>
          <w:lang w:val="en-US" w:eastAsia="zh-CN"/>
        </w:rPr>
        <w:t>3</w:t>
      </w:r>
      <w:r>
        <w:rPr>
          <w:rFonts w:hint="default" w:ascii="Times New Roman" w:hAnsi="Times New Roman" w:eastAsia="宋体" w:cs="Times New Roman"/>
          <w:color w:val="auto"/>
          <w:sz w:val="28"/>
          <w:szCs w:val="28"/>
          <w:highlight w:val="none"/>
          <w:shd w:val="clear" w:color="auto" w:fill="auto"/>
          <w:lang w:val="en-US" w:eastAsia="zh-CN"/>
        </w:rPr>
        <w:t>m</w:t>
      </w:r>
      <w:r>
        <w:rPr>
          <w:color w:val="auto"/>
        </w:rPr>
        <w:t>。</w:t>
      </w:r>
    </w:p>
    <w:p w14:paraId="344D90B9">
      <w:pPr>
        <w:bidi w:val="0"/>
      </w:pPr>
      <w:r>
        <w:t>2、建设情况</w:t>
      </w:r>
    </w:p>
    <w:p w14:paraId="7600C31E">
      <w:pPr>
        <w:bidi w:val="0"/>
        <w:rPr>
          <w:rFonts w:hint="default"/>
          <w:lang w:val="en-US" w:eastAsia="zh-CN"/>
        </w:rPr>
      </w:pPr>
      <w:r>
        <w:rPr>
          <w:rFonts w:hint="eastAsia"/>
          <w:lang w:eastAsia="zh-CN"/>
        </w:rPr>
        <w:t>（</w:t>
      </w:r>
      <w:r>
        <w:rPr>
          <w:rFonts w:hint="eastAsia"/>
          <w:lang w:val="en-US" w:eastAsia="zh-CN"/>
        </w:rPr>
        <w:t>1）</w:t>
      </w:r>
      <w:r>
        <w:rPr>
          <w:rFonts w:hint="default"/>
        </w:rPr>
        <w:t>运输设备</w:t>
      </w:r>
      <w:r>
        <w:rPr>
          <w:rFonts w:hint="default"/>
          <w:lang w:eastAsia="zh-CN"/>
        </w:rPr>
        <w:t>利</w:t>
      </w:r>
      <w:r>
        <w:rPr>
          <w:rFonts w:hint="eastAsia"/>
          <w:lang w:val="en-US" w:eastAsia="zh-CN"/>
        </w:rPr>
        <w:t>旧</w:t>
      </w:r>
      <w:r>
        <w:rPr>
          <w:rFonts w:hint="default"/>
        </w:rPr>
        <w:t>矿山</w:t>
      </w:r>
      <w:r>
        <w:rPr>
          <w:rFonts w:hint="default"/>
          <w:lang w:val="en-US" w:eastAsia="zh-CN"/>
        </w:rPr>
        <w:t>已有</w:t>
      </w:r>
      <w:r>
        <w:rPr>
          <w:rFonts w:hint="default"/>
        </w:rPr>
        <w:t>运输设备</w:t>
      </w:r>
      <w:r>
        <w:rPr>
          <w:rFonts w:hint="eastAsia"/>
          <w:lang w:val="en-US" w:eastAsia="zh-CN"/>
        </w:rPr>
        <w:t>，符合设计要求</w:t>
      </w:r>
      <w:r>
        <w:rPr>
          <w:rFonts w:hint="default"/>
          <w:lang w:val="en-US" w:eastAsia="zh-CN"/>
        </w:rPr>
        <w:t>。</w:t>
      </w:r>
    </w:p>
    <w:p w14:paraId="2ECED438">
      <w:pPr>
        <w:bidi w:val="0"/>
        <w:rPr>
          <w:rFonts w:hint="eastAsia"/>
          <w:lang w:val="en-US" w:eastAsia="zh-CN"/>
        </w:rPr>
      </w:pPr>
      <w:r>
        <w:rPr>
          <w:rFonts w:hint="eastAsia"/>
          <w:lang w:val="en-US" w:eastAsia="zh-CN"/>
        </w:rPr>
        <w:t>（2）基建期间，运输道路已按设计布置，现已完成：</w:t>
      </w:r>
    </w:p>
    <w:p w14:paraId="4891786D">
      <w:pPr>
        <w:bidi w:val="0"/>
        <w:rPr>
          <w:rFonts w:hint="eastAsia"/>
        </w:rPr>
      </w:pPr>
      <w:r>
        <w:rPr>
          <w:rFonts w:hint="eastAsia"/>
        </w:rPr>
        <w:t>①</w:t>
      </w:r>
      <w:r>
        <w:rPr>
          <w:rFonts w:hint="eastAsia"/>
          <w:lang w:val="en-US" w:eastAsia="zh-CN"/>
        </w:rPr>
        <w:t>利旧道路。原有</w:t>
      </w:r>
      <w:r>
        <w:rPr>
          <w:rFonts w:hint="eastAsia"/>
          <w:lang w:eastAsia="zh-CN"/>
        </w:rPr>
        <w:t>开拓运输道路</w:t>
      </w:r>
      <w:r>
        <w:rPr>
          <w:rFonts w:hint="default"/>
          <w:lang w:val="en-US" w:eastAsia="zh-CN"/>
        </w:rPr>
        <w:t>从破碎站</w:t>
      </w:r>
      <w:r>
        <w:rPr>
          <w:rFonts w:hint="eastAsia"/>
          <w:lang w:val="en-US" w:eastAsia="zh-CN"/>
        </w:rPr>
        <w:t>（1649m）进料口</w:t>
      </w:r>
      <w:r>
        <w:rPr>
          <w:rFonts w:hint="default"/>
          <w:lang w:val="en-US" w:eastAsia="zh-CN"/>
        </w:rPr>
        <w:t>沿</w:t>
      </w:r>
      <w:r>
        <w:rPr>
          <w:rFonts w:hint="eastAsia"/>
          <w:lang w:val="en-US" w:eastAsia="zh-CN"/>
        </w:rPr>
        <w:t>破碎站西侧至</w:t>
      </w:r>
      <w:r>
        <w:rPr>
          <w:rFonts w:hint="default"/>
          <w:lang w:val="en-US" w:eastAsia="zh-CN"/>
        </w:rPr>
        <w:t>破碎站</w:t>
      </w:r>
      <w:r>
        <w:rPr>
          <w:rFonts w:hint="eastAsia"/>
          <w:lang w:val="en-US" w:eastAsia="zh-CN"/>
        </w:rPr>
        <w:t>西南角，道路长66m，几乎没有坡度</w:t>
      </w:r>
      <w:r>
        <w:rPr>
          <w:rFonts w:hint="eastAsia"/>
        </w:rPr>
        <w:t>。</w:t>
      </w:r>
    </w:p>
    <w:p w14:paraId="11413FC6">
      <w:pPr>
        <w:bidi w:val="0"/>
        <w:rPr>
          <w:rFonts w:hint="eastAsia"/>
          <w:lang w:val="en-US" w:eastAsia="zh-CN"/>
        </w:rPr>
      </w:pPr>
      <w:r>
        <w:rPr>
          <w:rFonts w:hint="eastAsia"/>
        </w:rPr>
        <w:t>②</w:t>
      </w:r>
      <w:r>
        <w:rPr>
          <w:rFonts w:hint="eastAsia"/>
          <w:lang w:val="en-US" w:eastAsia="zh-CN"/>
        </w:rPr>
        <w:t>新建汽车运输道路。修建</w:t>
      </w:r>
      <w:r>
        <w:rPr>
          <w:rFonts w:hint="default"/>
          <w:lang w:val="en-US" w:eastAsia="zh-CN"/>
        </w:rPr>
        <w:t>从破碎站</w:t>
      </w:r>
      <w:r>
        <w:rPr>
          <w:rFonts w:hint="eastAsia"/>
          <w:lang w:val="en-US" w:eastAsia="zh-CN"/>
        </w:rPr>
        <w:t>西南角</w:t>
      </w:r>
      <w:r>
        <w:rPr>
          <w:rFonts w:hint="default"/>
          <w:lang w:val="en-US" w:eastAsia="zh-CN"/>
        </w:rPr>
        <w:t>沿矿区</w:t>
      </w:r>
      <w:r>
        <w:rPr>
          <w:rFonts w:hint="eastAsia"/>
          <w:lang w:val="en-US" w:eastAsia="zh-CN"/>
        </w:rPr>
        <w:t>南</w:t>
      </w:r>
      <w:r>
        <w:rPr>
          <w:rFonts w:hint="default"/>
          <w:lang w:val="en-US" w:eastAsia="zh-CN"/>
        </w:rPr>
        <w:t>部进场道路</w:t>
      </w:r>
      <w:r>
        <w:rPr>
          <w:rFonts w:hint="eastAsia"/>
          <w:lang w:val="en-US" w:eastAsia="zh-CN"/>
        </w:rPr>
        <w:t>进入矿区中部修建至1660m平台为汽车运输道路；</w:t>
      </w:r>
    </w:p>
    <w:p w14:paraId="56606A9F">
      <w:pPr>
        <w:bidi w:val="0"/>
        <w:rPr>
          <w:rFonts w:hint="default"/>
          <w:lang w:val="en-US" w:eastAsia="zh-CN"/>
        </w:rPr>
      </w:pPr>
      <w:r>
        <w:rPr>
          <w:rFonts w:hint="eastAsia"/>
          <w:lang w:val="en-US" w:eastAsia="zh-CN"/>
        </w:rPr>
        <w:t>③新建挖机道路。从1660m标高至1705m平台新修挖机道路。因基建期间1675m、1690m、1705m平台建设已经靠帮完成，此段挖机道路除保留自1660m至1675m平台挖机道路外，其他段不再保留；新建从1645m平台至1660m平台挖机道路。</w:t>
      </w:r>
    </w:p>
    <w:p w14:paraId="0EFA3675">
      <w:pPr>
        <w:bidi w:val="0"/>
        <w:rPr>
          <w:rFonts w:hint="eastAsia"/>
          <w:lang w:val="en-US" w:eastAsia="zh-CN"/>
        </w:rPr>
      </w:pPr>
      <w:r>
        <w:rPr>
          <w:rFonts w:hint="eastAsia"/>
          <w:lang w:val="en-US" w:eastAsia="zh-CN"/>
        </w:rPr>
        <w:t>④新建汽车运输道路。修建</w:t>
      </w:r>
      <w:r>
        <w:rPr>
          <w:rFonts w:hint="default"/>
          <w:lang w:val="en-US" w:eastAsia="zh-CN"/>
        </w:rPr>
        <w:t>从破碎站</w:t>
      </w:r>
      <w:r>
        <w:rPr>
          <w:rFonts w:hint="eastAsia"/>
          <w:lang w:val="en-US" w:eastAsia="zh-CN"/>
        </w:rPr>
        <w:t>西南角</w:t>
      </w:r>
      <w:r>
        <w:rPr>
          <w:rFonts w:hint="default"/>
          <w:lang w:val="en-US" w:eastAsia="zh-CN"/>
        </w:rPr>
        <w:t>沿矿区</w:t>
      </w:r>
      <w:r>
        <w:rPr>
          <w:rFonts w:hint="eastAsia"/>
          <w:lang w:val="en-US" w:eastAsia="zh-CN"/>
        </w:rPr>
        <w:t>南</w:t>
      </w:r>
      <w:r>
        <w:rPr>
          <w:rFonts w:hint="default"/>
          <w:lang w:val="en-US" w:eastAsia="zh-CN"/>
        </w:rPr>
        <w:t>部进场道路</w:t>
      </w:r>
      <w:r>
        <w:rPr>
          <w:rFonts w:hint="eastAsia"/>
          <w:lang w:val="en-US" w:eastAsia="zh-CN"/>
        </w:rPr>
        <w:t>进入矿区中部修建至1645m平台为汽车运输道路；</w:t>
      </w:r>
    </w:p>
    <w:p w14:paraId="3C9459C6">
      <w:pPr>
        <w:bidi w:val="0"/>
        <w:rPr>
          <w:rFonts w:hint="eastAsia"/>
          <w:lang w:eastAsia="zh-CN"/>
        </w:rPr>
      </w:pPr>
      <w:r>
        <w:rPr>
          <w:rFonts w:hint="eastAsia"/>
          <w:lang w:val="en-US" w:eastAsia="zh-CN"/>
        </w:rPr>
        <w:t>⑤1660m、1645m平台</w:t>
      </w:r>
      <w:r>
        <w:rPr>
          <w:rFonts w:hint="default"/>
          <w:lang w:val="en-US" w:eastAsia="zh-CN"/>
        </w:rPr>
        <w:t>外侧设置车档设施</w:t>
      </w:r>
      <w:r>
        <w:rPr>
          <w:rFonts w:hint="eastAsia"/>
          <w:lang w:val="en-US" w:eastAsia="zh-CN"/>
        </w:rPr>
        <w:t>。梯形截面规格为</w:t>
      </w:r>
      <w:r>
        <w:rPr>
          <w:rFonts w:hint="default"/>
          <w:lang w:val="en-US" w:eastAsia="zh-CN"/>
        </w:rPr>
        <w:t>（</w:t>
      </w:r>
      <w:r>
        <w:rPr>
          <w:rFonts w:hint="eastAsia"/>
          <w:lang w:val="en-US" w:eastAsia="zh-CN"/>
        </w:rPr>
        <w:t>顶宽0.6m，底宽1.2m，高1.0m</w:t>
      </w:r>
      <w:r>
        <w:rPr>
          <w:rFonts w:hint="default"/>
          <w:lang w:val="en-US" w:eastAsia="zh-CN"/>
        </w:rPr>
        <w:t>）</w:t>
      </w:r>
      <w:r>
        <w:rPr>
          <w:rFonts w:hint="eastAsia"/>
          <w:lang w:eastAsia="zh-CN"/>
        </w:rPr>
        <w:t>；</w:t>
      </w:r>
    </w:p>
    <w:p w14:paraId="40E4635D">
      <w:pPr>
        <w:bidi w:val="0"/>
        <w:rPr>
          <w:rFonts w:hint="default" w:ascii="Times New Roman" w:hAnsi="Times New Roman" w:eastAsia="宋体" w:cs="Times New Roman"/>
          <w:color w:val="auto"/>
          <w:szCs w:val="28"/>
          <w:highlight w:val="none"/>
          <w:shd w:val="clear" w:color="auto" w:fill="auto"/>
          <w:lang w:val="en-US" w:eastAsia="zh-CN"/>
        </w:rPr>
      </w:pPr>
      <w:r>
        <w:rPr>
          <w:rFonts w:hint="eastAsia"/>
          <w:lang w:val="en-US" w:eastAsia="zh-CN"/>
        </w:rPr>
        <w:t>⑥道路</w:t>
      </w:r>
      <w:r>
        <w:rPr>
          <w:rFonts w:hint="default"/>
          <w:lang w:val="en-US" w:eastAsia="zh-CN"/>
        </w:rPr>
        <w:t>路外侧设置车档设施</w:t>
      </w:r>
      <w:r>
        <w:rPr>
          <w:rFonts w:hint="eastAsia"/>
          <w:lang w:val="en-US" w:eastAsia="zh-CN"/>
        </w:rPr>
        <w:t>。梯形截面规格为</w:t>
      </w:r>
      <w:r>
        <w:rPr>
          <w:rFonts w:hint="default"/>
          <w:lang w:val="en-US" w:eastAsia="zh-CN"/>
        </w:rPr>
        <w:t>（</w:t>
      </w:r>
      <w:r>
        <w:rPr>
          <w:rFonts w:hint="eastAsia"/>
          <w:lang w:val="en-US" w:eastAsia="zh-CN"/>
        </w:rPr>
        <w:t>顶宽0.6m，底宽1.2m，高1.0m</w:t>
      </w:r>
      <w:r>
        <w:rPr>
          <w:rFonts w:hint="default"/>
          <w:lang w:val="en-US" w:eastAsia="zh-CN"/>
        </w:rPr>
        <w:t>）</w:t>
      </w:r>
      <w:r>
        <w:rPr>
          <w:rFonts w:hint="eastAsia"/>
          <w:lang w:val="en-US" w:eastAsia="zh-CN"/>
        </w:rPr>
        <w:t>。</w:t>
      </w:r>
    </w:p>
    <w:p w14:paraId="6197E206">
      <w:pPr>
        <w:bidi w:val="0"/>
      </w:pPr>
      <w:r>
        <w:rPr>
          <w:rFonts w:hint="eastAsia"/>
          <w:lang w:val="en-US" w:eastAsia="zh-CN"/>
        </w:rPr>
        <w:t>3、</w:t>
      </w:r>
      <w:r>
        <w:t>结论：矿山开拓系统已按照设计施工，开拓系统满足竣工验收要求。</w:t>
      </w:r>
    </w:p>
    <w:p w14:paraId="1CEDC943">
      <w:pPr>
        <w:pStyle w:val="4"/>
      </w:pPr>
      <w:bookmarkStart w:id="211" w:name="_Toc28744"/>
      <w:bookmarkStart w:id="212" w:name="_Toc11428"/>
      <w:r>
        <w:t>2.4.7采场防排水</w:t>
      </w:r>
      <w:bookmarkEnd w:id="211"/>
      <w:bookmarkEnd w:id="212"/>
    </w:p>
    <w:p w14:paraId="500FE191">
      <w:pPr>
        <w:bidi w:val="0"/>
        <w:rPr>
          <w:rFonts w:hint="eastAsia"/>
          <w:lang w:val="en-US" w:eastAsia="zh-CN"/>
        </w:rPr>
      </w:pPr>
      <w:r>
        <w:t>1</w:t>
      </w:r>
      <w:r>
        <w:rPr>
          <w:rFonts w:hint="eastAsia"/>
          <w:lang w:eastAsia="zh-CN"/>
        </w:rPr>
        <w:t>、</w:t>
      </w:r>
      <w:r>
        <w:rPr>
          <w:rFonts w:hint="eastAsia"/>
          <w:lang w:val="en-US" w:eastAsia="zh-CN"/>
        </w:rPr>
        <w:t>设计情况</w:t>
      </w:r>
    </w:p>
    <w:p w14:paraId="56EACA32">
      <w:pPr>
        <w:pStyle w:val="29"/>
        <w:keepNext w:val="0"/>
        <w:keepLines w:val="0"/>
        <w:pageBreakBefore w:val="0"/>
        <w:widowControl w:val="0"/>
        <w:tabs>
          <w:tab w:val="left" w:pos="5327"/>
          <w:tab w:val="left" w:pos="6326"/>
          <w:tab w:val="left" w:pos="7230"/>
          <w:tab w:val="left" w:pos="9301"/>
        </w:tabs>
        <w:kinsoku/>
        <w:wordWrap/>
        <w:overflowPunct/>
        <w:topLinePunct w:val="0"/>
        <w:autoSpaceDE w:val="0"/>
        <w:autoSpaceDN w:val="0"/>
        <w:bidi w:val="0"/>
        <w:adjustRightInd w:val="0"/>
        <w:snapToGrid w:val="0"/>
        <w:spacing w:before="0" w:beforeLines="0" w:beforeAutospacing="0" w:after="0" w:afterLines="0" w:afterAutospacing="0" w:line="360" w:lineRule="auto"/>
        <w:ind w:left="0" w:leftChars="0" w:right="0" w:rightChars="0" w:firstLine="560" w:firstLineChars="200"/>
        <w:jc w:val="both"/>
        <w:textAlignment w:val="auto"/>
        <w:outlineLvl w:val="9"/>
        <w:rPr>
          <w:rFonts w:hint="eastAsia"/>
          <w:color w:val="auto"/>
          <w:sz w:val="28"/>
          <w:szCs w:val="28"/>
        </w:rPr>
      </w:pPr>
      <w:r>
        <w:rPr>
          <w:rFonts w:hint="eastAsia"/>
          <w:lang w:val="en-US" w:eastAsia="zh-CN"/>
        </w:rPr>
        <w:t>（1）</w:t>
      </w:r>
      <w:r>
        <w:rPr>
          <w:rFonts w:hint="default" w:ascii="Times New Roman" w:hAnsi="Times New Roman" w:eastAsia="宋体" w:cs="Times New Roman"/>
          <w:sz w:val="28"/>
          <w:szCs w:val="28"/>
        </w:rPr>
        <w:t>矿区属于山坡露天矿山，上部汇水区域不大，不设置境外截洪沟</w:t>
      </w:r>
      <w:r>
        <w:rPr>
          <w:rFonts w:hint="eastAsia"/>
          <w:color w:val="auto"/>
          <w:sz w:val="28"/>
          <w:szCs w:val="28"/>
        </w:rPr>
        <w:t>。</w:t>
      </w:r>
    </w:p>
    <w:p w14:paraId="0B71E120">
      <w:pPr>
        <w:spacing w:line="360" w:lineRule="auto"/>
        <w:ind w:firstLine="552" w:firstLineChars="200"/>
        <w:rPr>
          <w:rFonts w:hint="default" w:ascii="Times New Roman" w:hAnsi="Times New Roman" w:eastAsia="宋体" w:cs="Times New Roman"/>
          <w:szCs w:val="28"/>
          <w:lang w:val="zh-TW"/>
        </w:rPr>
      </w:pPr>
      <w:r>
        <w:rPr>
          <w:rFonts w:hint="eastAsia" w:ascii="Times New Roman" w:hAnsi="Times New Roman" w:eastAsia="宋体" w:cs="Times New Roman"/>
          <w:szCs w:val="28"/>
          <w:lang w:val="en-US" w:eastAsia="zh-CN"/>
        </w:rPr>
        <w:t>（2）</w:t>
      </w:r>
      <w:r>
        <w:rPr>
          <w:rFonts w:hint="default" w:ascii="Times New Roman" w:hAnsi="Times New Roman" w:eastAsia="宋体" w:cs="Times New Roman"/>
          <w:szCs w:val="28"/>
        </w:rPr>
        <w:t>台阶排水沟：在平台内侧设置排水沟，排水沟断面尺寸</w:t>
      </w: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0.4m</w:t>
      </w:r>
      <w:r>
        <w:rPr>
          <w:rFonts w:hint="eastAsia" w:ascii="Times New Roman" w:hAnsi="Times New Roman" w:eastAsia="宋体" w:cs="Times New Roman"/>
          <w:szCs w:val="28"/>
          <w:lang w:val="en-US" w:eastAsia="zh-CN"/>
        </w:rPr>
        <w:t>+</w:t>
      </w:r>
      <w:r>
        <w:rPr>
          <w:rFonts w:hint="default" w:ascii="Times New Roman" w:hAnsi="Times New Roman" w:eastAsia="宋体" w:cs="Times New Roman"/>
          <w:szCs w:val="28"/>
        </w:rPr>
        <w:t>0.3m</w:t>
      </w:r>
      <w:r>
        <w:rPr>
          <w:rFonts w:hint="eastAsia" w:ascii="Times New Roman" w:hAnsi="Times New Roman" w:eastAsia="宋体" w:cs="Times New Roman"/>
          <w:szCs w:val="28"/>
          <w:lang w:eastAsia="zh-CN"/>
        </w:rPr>
        <w:t>）</w:t>
      </w:r>
      <w:r>
        <w:rPr>
          <w:rFonts w:hint="default" w:ascii="Times New Roman" w:hAnsi="Times New Roman" w:eastAsia="宋体" w:cs="Times New Roman"/>
          <w:szCs w:val="28"/>
        </w:rPr>
        <w:t>×0.3m，平台工作面自边坡外侧向坡脚设置1～3%的方向坡度，将汇水集中至坡脚排水沟排出，防止汇水冲刷台阶边坡。</w:t>
      </w:r>
    </w:p>
    <w:p w14:paraId="4D9855BD">
      <w:pPr>
        <w:spacing w:line="360" w:lineRule="auto"/>
        <w:ind w:firstLine="552" w:firstLineChars="200"/>
        <w:rPr>
          <w:rFonts w:hint="default" w:ascii="Times New Roman" w:hAnsi="Times New Roman" w:eastAsia="宋体" w:cs="Times New Roman"/>
          <w:szCs w:val="28"/>
        </w:rPr>
      </w:pPr>
      <w:r>
        <w:rPr>
          <w:rFonts w:hint="eastAsia" w:ascii="Times New Roman" w:hAnsi="Times New Roman" w:eastAsia="宋体" w:cs="Times New Roman"/>
          <w:szCs w:val="28"/>
          <w:lang w:val="en-US" w:eastAsia="zh-CN"/>
        </w:rPr>
        <w:t>（3）</w:t>
      </w:r>
      <w:r>
        <w:rPr>
          <w:rFonts w:hint="default" w:ascii="Times New Roman" w:hAnsi="Times New Roman" w:eastAsia="宋体" w:cs="Times New Roman"/>
          <w:szCs w:val="28"/>
        </w:rPr>
        <w:t>公路内侧排水沟：在矿区公路内侧设置排水沟，公路内侧排水沟断面尺寸</w:t>
      </w:r>
      <w:r>
        <w:rPr>
          <w:rFonts w:hint="eastAsia" w:ascii="Times New Roman" w:hAnsi="Times New Roman" w:eastAsia="宋体" w:cs="Times New Roman"/>
          <w:szCs w:val="28"/>
          <w:lang w:eastAsia="zh-CN"/>
        </w:rPr>
        <w:t>（0.5m</w:t>
      </w:r>
      <w:r>
        <w:rPr>
          <w:rFonts w:hint="eastAsia" w:ascii="Times New Roman" w:hAnsi="Times New Roman" w:eastAsia="宋体" w:cs="Times New Roman"/>
          <w:szCs w:val="28"/>
          <w:lang w:val="en-US" w:eastAsia="zh-CN"/>
        </w:rPr>
        <w:t>+</w:t>
      </w:r>
      <w:r>
        <w:rPr>
          <w:rFonts w:hint="eastAsia" w:ascii="Times New Roman" w:hAnsi="Times New Roman" w:eastAsia="宋体" w:cs="Times New Roman"/>
          <w:szCs w:val="28"/>
          <w:lang w:eastAsia="zh-CN"/>
        </w:rPr>
        <w:t>0.4m）×0.3m</w:t>
      </w:r>
      <w:r>
        <w:rPr>
          <w:rFonts w:hint="default" w:ascii="Times New Roman" w:hAnsi="Times New Roman" w:eastAsia="宋体" w:cs="Times New Roman"/>
          <w:szCs w:val="28"/>
        </w:rPr>
        <w:t>。</w:t>
      </w:r>
    </w:p>
    <w:p w14:paraId="7573E06F">
      <w:pPr>
        <w:spacing w:line="360" w:lineRule="auto"/>
        <w:ind w:firstLine="552" w:firstLineChars="200"/>
        <w:rPr>
          <w:rFonts w:hint="default" w:ascii="Times New Roman" w:hAnsi="Times New Roman" w:eastAsia="宋体" w:cs="Times New Roman"/>
          <w:szCs w:val="28"/>
          <w:lang w:val="en-US" w:eastAsia="zh-CN"/>
        </w:rPr>
      </w:pPr>
      <w:r>
        <w:rPr>
          <w:rFonts w:hint="eastAsia" w:ascii="Times New Roman" w:hAnsi="Times New Roman" w:eastAsia="宋体" w:cs="Times New Roman"/>
          <w:szCs w:val="28"/>
          <w:lang w:val="en-US" w:eastAsia="zh-CN"/>
        </w:rPr>
        <w:t>（4）</w:t>
      </w:r>
      <w:r>
        <w:rPr>
          <w:rFonts w:hint="default" w:ascii="Times New Roman" w:hAnsi="Times New Roman" w:eastAsia="宋体" w:cs="Times New Roman"/>
          <w:szCs w:val="28"/>
        </w:rPr>
        <w:t>底部凹陷采坑排水</w:t>
      </w:r>
      <w:r>
        <w:rPr>
          <w:rFonts w:hint="eastAsia" w:ascii="Times New Roman" w:hAnsi="Times New Roman" w:cs="Times New Roman"/>
          <w:szCs w:val="28"/>
          <w:lang w:eastAsia="zh-CN"/>
        </w:rPr>
        <w:t>（</w:t>
      </w:r>
      <w:r>
        <w:rPr>
          <w:rFonts w:hint="eastAsia" w:ascii="Times New Roman" w:hAnsi="Times New Roman" w:cs="Times New Roman"/>
          <w:szCs w:val="28"/>
          <w:lang w:val="en-US" w:eastAsia="zh-CN"/>
        </w:rPr>
        <w:t>基建期不涉及）</w:t>
      </w:r>
      <w:r>
        <w:rPr>
          <w:rFonts w:hint="default" w:ascii="Times New Roman" w:hAnsi="Times New Roman" w:eastAsia="宋体" w:cs="Times New Roman"/>
          <w:szCs w:val="28"/>
        </w:rPr>
        <w:t>：</w:t>
      </w:r>
      <w:r>
        <w:rPr>
          <w:rFonts w:hint="eastAsia" w:ascii="Times New Roman" w:hAnsi="Times New Roman" w:eastAsia="宋体" w:cs="Times New Roman"/>
          <w:szCs w:val="28"/>
          <w:lang w:val="en-US" w:eastAsia="zh-CN" w:bidi="ar"/>
        </w:rPr>
        <w:t>开采</w:t>
      </w:r>
      <w:r>
        <w:rPr>
          <w:rFonts w:hint="eastAsia" w:ascii="Times New Roman" w:hAnsi="Times New Roman" w:cs="Times New Roman"/>
          <w:szCs w:val="28"/>
          <w:lang w:val="en-US" w:eastAsia="zh-CN" w:bidi="ar"/>
        </w:rPr>
        <w:t>终了</w:t>
      </w:r>
      <w:r>
        <w:rPr>
          <w:rFonts w:hint="eastAsia" w:ascii="Times New Roman" w:hAnsi="Times New Roman" w:eastAsia="宋体" w:cs="Times New Roman"/>
          <w:szCs w:val="28"/>
          <w:lang w:val="en-US" w:eastAsia="zh-CN" w:bidi="ar"/>
        </w:rPr>
        <w:t>后矿区西南部</w:t>
      </w:r>
      <w:r>
        <w:rPr>
          <w:rFonts w:hint="default" w:ascii="Times New Roman" w:hAnsi="Times New Roman" w:eastAsia="宋体" w:cs="Times New Roman"/>
          <w:szCs w:val="28"/>
          <w:lang w:val="en-US" w:eastAsia="zh-CN" w:bidi="ar"/>
        </w:rPr>
        <w:t>16</w:t>
      </w:r>
      <w:r>
        <w:rPr>
          <w:rFonts w:hint="eastAsia" w:ascii="Times New Roman" w:hAnsi="Times New Roman" w:eastAsia="宋体" w:cs="Times New Roman"/>
          <w:szCs w:val="28"/>
          <w:lang w:val="en-US" w:eastAsia="zh-CN" w:bidi="ar"/>
        </w:rPr>
        <w:t>07</w:t>
      </w:r>
      <w:r>
        <w:rPr>
          <w:rFonts w:hint="default" w:ascii="Times New Roman" w:hAnsi="Times New Roman" w:eastAsia="宋体" w:cs="Times New Roman"/>
          <w:szCs w:val="28"/>
          <w:lang w:bidi="ar"/>
        </w:rPr>
        <w:t>m标高为凹陷采坑，采用机械排水，在采</w:t>
      </w:r>
      <w:r>
        <w:rPr>
          <w:rFonts w:hint="default" w:ascii="Times New Roman" w:hAnsi="Times New Roman" w:eastAsia="宋体" w:cs="Times New Roman"/>
          <w:szCs w:val="28"/>
          <w:lang w:val="en-US" w:eastAsia="zh-CN" w:bidi="ar"/>
        </w:rPr>
        <w:t>坑西</w:t>
      </w:r>
      <w:r>
        <w:rPr>
          <w:rFonts w:hint="default" w:ascii="Times New Roman" w:hAnsi="Times New Roman" w:eastAsia="宋体" w:cs="Times New Roman"/>
          <w:szCs w:val="28"/>
          <w:lang w:bidi="ar"/>
        </w:rPr>
        <w:t>部出入口旁设置一个</w:t>
      </w:r>
      <w:r>
        <w:rPr>
          <w:rFonts w:hint="eastAsia" w:ascii="Times New Roman" w:hAnsi="Times New Roman" w:eastAsia="宋体" w:cs="Times New Roman"/>
          <w:szCs w:val="28"/>
          <w:lang w:eastAsia="zh-CN" w:bidi="ar"/>
        </w:rPr>
        <w:t>4m×2m×2m</w:t>
      </w:r>
      <w:r>
        <w:rPr>
          <w:rFonts w:hint="default" w:ascii="Times New Roman" w:hAnsi="Times New Roman" w:eastAsia="宋体" w:cs="Times New Roman"/>
          <w:szCs w:val="28"/>
          <w:lang w:bidi="ar"/>
        </w:rPr>
        <w:t>的汇水池，利用水泵抽至场区外，水池最低标高</w:t>
      </w:r>
      <w:r>
        <w:rPr>
          <w:rFonts w:hint="eastAsia" w:ascii="Times New Roman" w:hAnsi="Times New Roman" w:eastAsia="宋体" w:cs="Times New Roman"/>
          <w:szCs w:val="28"/>
          <w:lang w:val="en-US" w:eastAsia="zh-CN" w:bidi="ar"/>
        </w:rPr>
        <w:t>1603</w:t>
      </w:r>
      <w:r>
        <w:rPr>
          <w:rFonts w:hint="default" w:ascii="Times New Roman" w:hAnsi="Times New Roman" w:eastAsia="宋体" w:cs="Times New Roman"/>
          <w:szCs w:val="28"/>
          <w:lang w:bidi="ar"/>
        </w:rPr>
        <w:t>m，抽出位置标高1</w:t>
      </w:r>
      <w:r>
        <w:rPr>
          <w:rFonts w:hint="default" w:ascii="Times New Roman" w:hAnsi="Times New Roman" w:eastAsia="宋体" w:cs="Times New Roman"/>
          <w:szCs w:val="28"/>
          <w:lang w:val="en-US" w:eastAsia="zh-CN" w:bidi="ar"/>
        </w:rPr>
        <w:t>6</w:t>
      </w:r>
      <w:r>
        <w:rPr>
          <w:rFonts w:hint="eastAsia" w:ascii="Times New Roman" w:hAnsi="Times New Roman" w:eastAsia="宋体" w:cs="Times New Roman"/>
          <w:szCs w:val="28"/>
          <w:lang w:val="en-US" w:eastAsia="zh-CN" w:bidi="ar"/>
        </w:rPr>
        <w:t>30</w:t>
      </w:r>
      <w:r>
        <w:rPr>
          <w:rFonts w:hint="default" w:ascii="Times New Roman" w:hAnsi="Times New Roman" w:eastAsia="宋体" w:cs="Times New Roman"/>
          <w:szCs w:val="28"/>
          <w:lang w:bidi="ar"/>
        </w:rPr>
        <w:t>m</w:t>
      </w:r>
      <w:r>
        <w:rPr>
          <w:rFonts w:hint="eastAsia" w:ascii="Times New Roman" w:hAnsi="Times New Roman" w:eastAsia="宋体" w:cs="Times New Roman"/>
          <w:szCs w:val="28"/>
          <w:lang w:eastAsia="zh-CN" w:bidi="ar"/>
        </w:rPr>
        <w:t>，</w:t>
      </w:r>
      <w:r>
        <w:rPr>
          <w:rFonts w:hint="default" w:ascii="Times New Roman" w:hAnsi="Times New Roman" w:eastAsia="宋体" w:cs="Times New Roman"/>
          <w:szCs w:val="28"/>
          <w:lang w:bidi="ar"/>
        </w:rPr>
        <w:t>高差</w:t>
      </w:r>
      <w:r>
        <w:rPr>
          <w:rFonts w:hint="eastAsia" w:ascii="Times New Roman" w:hAnsi="Times New Roman" w:eastAsia="宋体" w:cs="Times New Roman"/>
          <w:szCs w:val="28"/>
          <w:lang w:val="en-US" w:eastAsia="zh-CN" w:bidi="ar"/>
        </w:rPr>
        <w:t>27</w:t>
      </w:r>
      <w:r>
        <w:rPr>
          <w:rFonts w:hint="default" w:ascii="Times New Roman" w:hAnsi="Times New Roman" w:eastAsia="宋体" w:cs="Times New Roman"/>
          <w:szCs w:val="28"/>
          <w:lang w:bidi="ar"/>
        </w:rPr>
        <w:t>m，选用抽水泵，型号为</w:t>
      </w:r>
      <w:r>
        <w:rPr>
          <w:rFonts w:hint="eastAsia" w:ascii="Times New Roman" w:hAnsi="Times New Roman" w:eastAsia="宋体" w:cs="Times New Roman"/>
          <w:szCs w:val="28"/>
          <w:lang w:eastAsia="zh-CN" w:bidi="ar"/>
        </w:rPr>
        <w:t>40QW15-30-2.2</w:t>
      </w:r>
      <w:r>
        <w:rPr>
          <w:rFonts w:hint="default" w:ascii="Times New Roman" w:hAnsi="Times New Roman" w:eastAsia="宋体" w:cs="Times New Roman"/>
          <w:szCs w:val="28"/>
          <w:lang w:bidi="ar"/>
        </w:rPr>
        <w:t>潜水泵（抽水泵共计两台，型号为</w:t>
      </w:r>
      <w:r>
        <w:rPr>
          <w:rFonts w:hint="eastAsia" w:ascii="Times New Roman" w:hAnsi="Times New Roman" w:eastAsia="宋体" w:cs="Times New Roman"/>
          <w:szCs w:val="28"/>
          <w:lang w:eastAsia="zh-CN" w:bidi="ar"/>
        </w:rPr>
        <w:t>40QW15-30-2.2</w:t>
      </w:r>
      <w:r>
        <w:rPr>
          <w:rFonts w:hint="default" w:ascii="Times New Roman" w:hAnsi="Times New Roman" w:eastAsia="宋体" w:cs="Times New Roman"/>
          <w:szCs w:val="28"/>
          <w:lang w:bidi="ar"/>
        </w:rPr>
        <w:t>潜水泵，</w:t>
      </w:r>
      <w:r>
        <w:rPr>
          <w:rFonts w:hint="eastAsia" w:ascii="Times New Roman" w:hAnsi="Times New Roman" w:eastAsia="宋体" w:cs="Times New Roman"/>
          <w:szCs w:val="28"/>
          <w:lang w:eastAsia="zh-CN" w:bidi="ar"/>
        </w:rPr>
        <w:t>扬程30m，</w:t>
      </w:r>
      <w:r>
        <w:rPr>
          <w:rFonts w:hint="default" w:ascii="Times New Roman" w:hAnsi="Times New Roman" w:eastAsia="宋体" w:cs="Times New Roman"/>
          <w:szCs w:val="28"/>
          <w:lang w:bidi="ar"/>
        </w:rPr>
        <w:t>一台工作，一台备用）</w:t>
      </w:r>
      <w:r>
        <w:rPr>
          <w:color w:val="auto"/>
        </w:rPr>
        <w:t>。</w:t>
      </w:r>
    </w:p>
    <w:p w14:paraId="202E385C">
      <w:pPr>
        <w:bidi w:val="0"/>
        <w:rPr>
          <w:rFonts w:hint="eastAsia"/>
          <w:lang w:val="en-US" w:eastAsia="zh-CN"/>
        </w:rPr>
      </w:pPr>
      <w:r>
        <w:rPr>
          <w:rFonts w:hint="eastAsia"/>
          <w:lang w:val="en-US" w:eastAsia="zh-CN"/>
        </w:rPr>
        <w:t>2、建设情况</w:t>
      </w:r>
    </w:p>
    <w:p w14:paraId="3F66E60C">
      <w:pPr>
        <w:bidi w:val="0"/>
        <w:rPr>
          <w:rFonts w:hint="default"/>
          <w:color w:val="auto"/>
          <w:lang w:val="en-US" w:eastAsia="zh-CN"/>
        </w:rPr>
      </w:pPr>
      <w:r>
        <w:rPr>
          <w:rFonts w:hint="eastAsia"/>
          <w:color w:val="auto"/>
          <w:lang w:val="en-US" w:eastAsia="zh-CN"/>
        </w:rPr>
        <w:t>（1）平台排水沟：</w:t>
      </w:r>
      <w:r>
        <w:rPr>
          <w:rFonts w:hint="eastAsia" w:ascii="Times New Roman" w:hAnsi="Times New Roman" w:eastAsia="宋体" w:cs="Times New Roman"/>
          <w:color w:val="auto"/>
          <w:szCs w:val="28"/>
        </w:rPr>
        <w:t>在</w:t>
      </w:r>
      <w:r>
        <w:rPr>
          <w:rFonts w:hint="eastAsia" w:ascii="Times New Roman" w:hAnsi="Times New Roman" w:eastAsia="宋体" w:cs="Times New Roman"/>
          <w:color w:val="auto"/>
          <w:szCs w:val="28"/>
          <w:lang w:val="en-US" w:eastAsia="zh-CN"/>
        </w:rPr>
        <w:t>1705m、1690m、16</w:t>
      </w:r>
      <w:r>
        <w:rPr>
          <w:rFonts w:hint="eastAsia" w:ascii="Times New Roman" w:hAnsi="Times New Roman" w:cs="Times New Roman"/>
          <w:color w:val="auto"/>
          <w:szCs w:val="28"/>
          <w:lang w:val="en-US" w:eastAsia="zh-CN"/>
        </w:rPr>
        <w:t>75</w:t>
      </w:r>
      <w:r>
        <w:rPr>
          <w:rFonts w:hint="eastAsia" w:ascii="Times New Roman" w:hAnsi="Times New Roman" w:eastAsia="宋体" w:cs="Times New Roman"/>
          <w:color w:val="auto"/>
          <w:szCs w:val="28"/>
          <w:lang w:val="en-US" w:eastAsia="zh-CN"/>
        </w:rPr>
        <w:t>m</w:t>
      </w:r>
      <w:r>
        <w:rPr>
          <w:rFonts w:hint="eastAsia" w:ascii="Times New Roman" w:hAnsi="Times New Roman" w:cs="Times New Roman"/>
          <w:color w:val="auto"/>
          <w:szCs w:val="28"/>
          <w:lang w:val="en-US" w:eastAsia="zh-CN"/>
        </w:rPr>
        <w:t>、1660m</w:t>
      </w:r>
      <w:r>
        <w:rPr>
          <w:rFonts w:hint="eastAsia" w:ascii="Times New Roman" w:hAnsi="Times New Roman" w:eastAsia="宋体" w:cs="Times New Roman"/>
          <w:color w:val="auto"/>
          <w:szCs w:val="28"/>
        </w:rPr>
        <w:t>平台内侧设置排水沟，排水沟为夯实毛沟，断面尺寸</w:t>
      </w:r>
      <w:r>
        <w:rPr>
          <w:rFonts w:hint="eastAsia" w:ascii="Times New Roman" w:hAnsi="Times New Roman" w:cs="Times New Roman"/>
          <w:color w:val="auto"/>
          <w:szCs w:val="28"/>
          <w:lang w:eastAsia="zh-CN"/>
        </w:rPr>
        <w:t>（</w:t>
      </w:r>
      <w:r>
        <w:rPr>
          <w:rFonts w:hint="eastAsia" w:ascii="Times New Roman" w:hAnsi="Times New Roman" w:eastAsia="宋体" w:cs="Times New Roman"/>
          <w:color w:val="auto"/>
          <w:szCs w:val="28"/>
        </w:rPr>
        <w:t>0.4m</w:t>
      </w:r>
      <w:r>
        <w:rPr>
          <w:rFonts w:hint="eastAsia" w:ascii="微软雅黑" w:hAnsi="微软雅黑" w:eastAsia="微软雅黑" w:cs="微软雅黑"/>
          <w:color w:val="auto"/>
          <w:szCs w:val="28"/>
        </w:rPr>
        <w:t>＋</w:t>
      </w:r>
      <w:r>
        <w:rPr>
          <w:rFonts w:hint="eastAsia" w:ascii="Times New Roman" w:hAnsi="Times New Roman" w:eastAsia="宋体" w:cs="Times New Roman"/>
          <w:color w:val="auto"/>
          <w:szCs w:val="28"/>
        </w:rPr>
        <w:t>0.3m</w:t>
      </w:r>
      <w:r>
        <w:rPr>
          <w:rFonts w:hint="eastAsia" w:ascii="Times New Roman" w:hAnsi="Times New Roman" w:cs="Times New Roman"/>
          <w:color w:val="auto"/>
          <w:szCs w:val="28"/>
          <w:lang w:eastAsia="zh-CN"/>
        </w:rPr>
        <w:t>）</w:t>
      </w:r>
      <w:r>
        <w:rPr>
          <w:rFonts w:hint="eastAsia" w:ascii="微软雅黑" w:hAnsi="微软雅黑" w:eastAsia="微软雅黑" w:cs="微软雅黑"/>
          <w:color w:val="auto"/>
          <w:szCs w:val="28"/>
          <w:lang w:eastAsia="zh-CN"/>
        </w:rPr>
        <w:t>×</w:t>
      </w:r>
      <w:r>
        <w:rPr>
          <w:rFonts w:hint="eastAsia" w:ascii="Times New Roman" w:hAnsi="Times New Roman" w:eastAsia="宋体" w:cs="Times New Roman"/>
          <w:color w:val="auto"/>
          <w:szCs w:val="28"/>
        </w:rPr>
        <w:t>0.3m，将汇水集中至坡脚排水沟排出</w:t>
      </w:r>
      <w:r>
        <w:rPr>
          <w:rFonts w:hint="eastAsia" w:ascii="Times New Roman" w:hAnsi="Times New Roman" w:eastAsia="宋体" w:cs="Times New Roman"/>
          <w:color w:val="auto"/>
          <w:szCs w:val="28"/>
          <w:lang w:eastAsia="zh-CN"/>
        </w:rPr>
        <w:t>，</w:t>
      </w:r>
      <w:r>
        <w:rPr>
          <w:rFonts w:hint="eastAsia" w:ascii="Times New Roman" w:hAnsi="Times New Roman" w:eastAsia="宋体" w:cs="Times New Roman"/>
          <w:color w:val="auto"/>
          <w:szCs w:val="28"/>
          <w:lang w:val="en-US" w:eastAsia="zh-CN"/>
        </w:rPr>
        <w:t>长度分别为</w:t>
      </w:r>
      <w:r>
        <w:rPr>
          <w:rFonts w:hint="eastAsia" w:ascii="Times New Roman" w:hAnsi="Times New Roman" w:cs="Times New Roman"/>
          <w:color w:val="auto"/>
          <w:szCs w:val="28"/>
          <w:lang w:val="en-US" w:eastAsia="zh-CN"/>
        </w:rPr>
        <w:t>40</w:t>
      </w:r>
      <w:r>
        <w:rPr>
          <w:rFonts w:hint="eastAsia" w:ascii="Times New Roman" w:hAnsi="Times New Roman" w:eastAsia="宋体" w:cs="Times New Roman"/>
          <w:color w:val="auto"/>
          <w:szCs w:val="28"/>
          <w:lang w:val="en-US" w:eastAsia="zh-CN"/>
        </w:rPr>
        <w:t>m、</w:t>
      </w:r>
      <w:r>
        <w:rPr>
          <w:rFonts w:hint="eastAsia" w:ascii="Times New Roman" w:hAnsi="Times New Roman" w:cs="Times New Roman"/>
          <w:color w:val="auto"/>
          <w:szCs w:val="28"/>
          <w:lang w:val="en-US" w:eastAsia="zh-CN"/>
        </w:rPr>
        <w:t>60</w:t>
      </w:r>
      <w:r>
        <w:rPr>
          <w:rFonts w:hint="eastAsia" w:ascii="Times New Roman" w:hAnsi="Times New Roman" w:eastAsia="宋体" w:cs="Times New Roman"/>
          <w:color w:val="auto"/>
          <w:szCs w:val="28"/>
          <w:lang w:val="en-US" w:eastAsia="zh-CN"/>
        </w:rPr>
        <w:t>m、</w:t>
      </w:r>
      <w:r>
        <w:rPr>
          <w:rFonts w:hint="eastAsia" w:ascii="Times New Roman" w:hAnsi="Times New Roman" w:cs="Times New Roman"/>
          <w:color w:val="auto"/>
          <w:szCs w:val="28"/>
          <w:lang w:val="en-US" w:eastAsia="zh-CN"/>
        </w:rPr>
        <w:t>75</w:t>
      </w:r>
      <w:r>
        <w:rPr>
          <w:rFonts w:hint="eastAsia" w:ascii="Times New Roman" w:hAnsi="Times New Roman" w:eastAsia="宋体" w:cs="Times New Roman"/>
          <w:color w:val="auto"/>
          <w:szCs w:val="28"/>
          <w:lang w:val="en-US" w:eastAsia="zh-CN"/>
        </w:rPr>
        <w:t>m</w:t>
      </w:r>
      <w:r>
        <w:rPr>
          <w:rFonts w:hint="eastAsia"/>
          <w:color w:val="auto"/>
          <w:lang w:val="en-US" w:eastAsia="zh-CN"/>
        </w:rPr>
        <w:t>、80m。</w:t>
      </w:r>
    </w:p>
    <w:p w14:paraId="45F8A516">
      <w:pPr>
        <w:bidi w:val="0"/>
        <w:rPr>
          <w:rFonts w:hint="default" w:ascii="Times New Roman" w:hAnsi="Times New Roman" w:eastAsia="宋体" w:cs="Times New Roman"/>
          <w:color w:val="auto"/>
          <w:szCs w:val="28"/>
        </w:rPr>
      </w:pPr>
      <w:r>
        <w:rPr>
          <w:rFonts w:hint="eastAsia"/>
          <w:color w:val="auto"/>
          <w:lang w:val="en-US" w:eastAsia="zh-CN"/>
        </w:rPr>
        <w:t>（2）</w:t>
      </w:r>
      <w:r>
        <w:rPr>
          <w:rFonts w:hint="default" w:ascii="Times New Roman" w:hAnsi="Times New Roman" w:eastAsia="宋体" w:cs="Times New Roman"/>
          <w:color w:val="auto"/>
          <w:szCs w:val="28"/>
        </w:rPr>
        <w:t>公路内侧排水沟：在矿区公路内侧设置排水沟。</w:t>
      </w:r>
    </w:p>
    <w:p w14:paraId="4BE91B10">
      <w:pPr>
        <w:bidi w:val="0"/>
        <w:rPr>
          <w:rFonts w:hint="default" w:ascii="Times New Roman" w:hAnsi="Times New Roman" w:eastAsia="宋体" w:cs="Times New Roman"/>
          <w:color w:val="auto"/>
          <w:szCs w:val="28"/>
          <w:lang w:val="en-US" w:eastAsia="zh-CN"/>
        </w:rPr>
      </w:pPr>
      <w:r>
        <w:rPr>
          <w:rFonts w:hint="eastAsia" w:ascii="Times New Roman" w:hAnsi="Times New Roman" w:eastAsia="宋体" w:cs="Times New Roman"/>
          <w:color w:val="auto"/>
          <w:szCs w:val="28"/>
          <w:lang w:val="en-US" w:eastAsia="zh-CN"/>
        </w:rPr>
        <w:t>（</w:t>
      </w:r>
      <w:r>
        <w:rPr>
          <w:rFonts w:hint="eastAsia" w:ascii="Times New Roman" w:hAnsi="Times New Roman" w:cs="Times New Roman"/>
          <w:color w:val="auto"/>
          <w:szCs w:val="28"/>
          <w:lang w:val="en-US" w:eastAsia="zh-CN"/>
        </w:rPr>
        <w:t>3</w:t>
      </w:r>
      <w:r>
        <w:rPr>
          <w:rFonts w:hint="eastAsia" w:ascii="Times New Roman" w:hAnsi="Times New Roman" w:eastAsia="宋体" w:cs="Times New Roman"/>
          <w:color w:val="auto"/>
          <w:szCs w:val="28"/>
          <w:lang w:val="en-US" w:eastAsia="zh-CN"/>
        </w:rPr>
        <w:t>）</w:t>
      </w:r>
      <w:r>
        <w:rPr>
          <w:rFonts w:hint="default" w:ascii="Times New Roman" w:hAnsi="Times New Roman" w:eastAsia="宋体" w:cs="Times New Roman"/>
          <w:color w:val="auto"/>
          <w:szCs w:val="28"/>
        </w:rPr>
        <w:t>底部凹陷采坑排水</w:t>
      </w:r>
      <w:r>
        <w:rPr>
          <w:rFonts w:hint="eastAsia" w:ascii="Times New Roman" w:hAnsi="Times New Roman" w:cs="Times New Roman"/>
          <w:color w:val="auto"/>
          <w:szCs w:val="28"/>
          <w:lang w:eastAsia="zh-CN"/>
        </w:rPr>
        <w:t>，</w:t>
      </w:r>
      <w:r>
        <w:rPr>
          <w:rFonts w:hint="eastAsia" w:ascii="Times New Roman" w:hAnsi="Times New Roman" w:cs="Times New Roman"/>
          <w:color w:val="auto"/>
          <w:szCs w:val="28"/>
          <w:lang w:val="en-US" w:eastAsia="zh-CN"/>
        </w:rPr>
        <w:t>基建期不涉及，不属本次验收范围。</w:t>
      </w:r>
    </w:p>
    <w:p w14:paraId="778DDE42">
      <w:pPr>
        <w:bidi w:val="0"/>
      </w:pPr>
      <w:r>
        <w:rPr>
          <w:rFonts w:hint="eastAsia"/>
          <w:color w:val="auto"/>
          <w:lang w:val="en-US" w:eastAsia="zh-CN"/>
        </w:rPr>
        <w:t>3、</w:t>
      </w:r>
      <w:r>
        <w:rPr>
          <w:color w:val="auto"/>
        </w:rPr>
        <w:t>结论：矿山防排水系统按照设计施工，排水满足竣工验收要求</w:t>
      </w:r>
      <w:r>
        <w:t>。</w:t>
      </w:r>
    </w:p>
    <w:bookmarkEnd w:id="207"/>
    <w:p w14:paraId="1A7D87AA">
      <w:pPr>
        <w:pStyle w:val="4"/>
      </w:pPr>
      <w:bookmarkStart w:id="213" w:name="_Toc32333"/>
      <w:bookmarkStart w:id="214" w:name="_Toc21742"/>
      <w:bookmarkStart w:id="215" w:name="_Toc214284015"/>
      <w:r>
        <w:t>2.4.</w:t>
      </w:r>
      <w:r>
        <w:rPr>
          <w:rFonts w:hint="eastAsia"/>
          <w:lang w:val="en-US" w:eastAsia="zh-CN"/>
        </w:rPr>
        <w:t>8</w:t>
      </w:r>
      <w:r>
        <w:t>供配电</w:t>
      </w:r>
      <w:bookmarkEnd w:id="213"/>
      <w:bookmarkEnd w:id="214"/>
      <w:bookmarkEnd w:id="215"/>
    </w:p>
    <w:p w14:paraId="51912ECF">
      <w:pPr>
        <w:bidi w:val="0"/>
        <w:rPr>
          <w:rFonts w:hint="eastAsia"/>
          <w:lang w:val="en-US" w:eastAsia="zh-CN"/>
        </w:rPr>
      </w:pPr>
      <w:bookmarkStart w:id="216" w:name="_Toc214284016"/>
      <w:r>
        <w:rPr>
          <w:rFonts w:hint="eastAsia"/>
          <w:lang w:val="en-US" w:eastAsia="zh-CN"/>
        </w:rPr>
        <w:t>1、设计情况</w:t>
      </w:r>
    </w:p>
    <w:p w14:paraId="0FD2534D">
      <w:pPr>
        <w:keepNext w:val="0"/>
        <w:keepLines w:val="0"/>
        <w:pageBreakBefore w:val="0"/>
        <w:kinsoku/>
        <w:wordWrap/>
        <w:overflowPunct/>
        <w:topLinePunct w:val="0"/>
        <w:autoSpaceDE/>
        <w:autoSpaceDN/>
        <w:bidi w:val="0"/>
        <w:adjustRightInd w:val="0"/>
        <w:snapToGrid w:val="0"/>
        <w:spacing w:before="0" w:beforeLines="0" w:after="0" w:afterLines="0" w:line="360" w:lineRule="auto"/>
        <w:ind w:left="0" w:leftChars="0" w:right="0" w:rightChars="0" w:firstLine="552" w:firstLineChars="200"/>
        <w:jc w:val="both"/>
        <w:textAlignment w:val="auto"/>
        <w:outlineLvl w:val="9"/>
        <w:rPr>
          <w:rFonts w:hint="default" w:ascii="Times New Roman" w:hAnsi="Times New Roman" w:cs="Times New Roman"/>
          <w:bCs/>
          <w:color w:val="auto"/>
          <w:szCs w:val="28"/>
        </w:rPr>
      </w:pPr>
      <w:r>
        <w:rPr>
          <w:rFonts w:hint="default"/>
          <w:lang w:val="en-US" w:eastAsia="zh-CN"/>
        </w:rPr>
        <w:t>利旧</w:t>
      </w:r>
      <w:r>
        <w:rPr>
          <w:rFonts w:hint="eastAsia"/>
          <w:lang w:val="en-US" w:eastAsia="zh-CN"/>
        </w:rPr>
        <w:t>。根据《安全设施设计》与《安全设施设计变更说明》，</w:t>
      </w:r>
      <w:r>
        <w:rPr>
          <w:rFonts w:hint="default"/>
          <w:lang w:val="en-US" w:eastAsia="zh-CN"/>
        </w:rPr>
        <w:t>供电系统为利旧工程，沿用矿山已有电力设备。</w:t>
      </w:r>
      <w:r>
        <w:rPr>
          <w:rFonts w:hint="default" w:ascii="Times New Roman" w:hAnsi="Times New Roman" w:cs="Times New Roman"/>
          <w:color w:val="auto"/>
          <w:szCs w:val="28"/>
        </w:rPr>
        <w:t>矿山外部供电由</w:t>
      </w:r>
      <w:r>
        <w:rPr>
          <w:rFonts w:hint="eastAsia" w:cs="Times New Roman"/>
          <w:color w:val="auto"/>
          <w:szCs w:val="28"/>
          <w:lang w:eastAsia="zh-CN"/>
        </w:rPr>
        <w:t>附近</w:t>
      </w:r>
      <w:r>
        <w:rPr>
          <w:rFonts w:hint="default" w:ascii="Times New Roman" w:hAnsi="Times New Roman" w:cs="Times New Roman"/>
          <w:bCs/>
          <w:color w:val="auto"/>
          <w:szCs w:val="28"/>
        </w:rPr>
        <w:t>南方电网</w:t>
      </w:r>
      <w:r>
        <w:rPr>
          <w:rFonts w:hint="default" w:ascii="Times New Roman" w:hAnsi="Times New Roman" w:cs="Times New Roman"/>
          <w:color w:val="auto"/>
          <w:szCs w:val="28"/>
        </w:rPr>
        <w:t>引入10kV进线电压，通过矿山变压器降压后供</w:t>
      </w:r>
      <w:r>
        <w:rPr>
          <w:rFonts w:hint="eastAsia" w:cs="Times New Roman"/>
          <w:color w:val="auto"/>
          <w:szCs w:val="28"/>
          <w:lang w:eastAsia="zh-CN"/>
        </w:rPr>
        <w:t>空压机生产及照明使用</w:t>
      </w:r>
      <w:r>
        <w:rPr>
          <w:rFonts w:hint="default" w:ascii="Times New Roman" w:hAnsi="Times New Roman" w:cs="Times New Roman"/>
          <w:color w:val="auto"/>
          <w:szCs w:val="28"/>
        </w:rPr>
        <w:t>，变压器进线电压10kV，经变压器降压输出后使用：动力用电380V，生活用电220V。变压器设置在电线杆上，</w:t>
      </w:r>
      <w:r>
        <w:rPr>
          <w:rFonts w:hint="eastAsia" w:cs="Times New Roman"/>
          <w:color w:val="auto"/>
          <w:szCs w:val="28"/>
          <w:lang w:eastAsia="zh-CN"/>
        </w:rPr>
        <w:t>并</w:t>
      </w:r>
      <w:r>
        <w:rPr>
          <w:rFonts w:hint="default" w:ascii="Times New Roman" w:hAnsi="Times New Roman" w:cs="Times New Roman"/>
          <w:color w:val="auto"/>
          <w:szCs w:val="28"/>
        </w:rPr>
        <w:t>设置</w:t>
      </w:r>
      <w:r>
        <w:rPr>
          <w:rFonts w:hint="eastAsia" w:cs="Times New Roman"/>
          <w:color w:val="auto"/>
          <w:szCs w:val="28"/>
          <w:lang w:eastAsia="zh-CN"/>
        </w:rPr>
        <w:t>相应的</w:t>
      </w:r>
      <w:r>
        <w:rPr>
          <w:rFonts w:hint="default" w:ascii="Times New Roman" w:hAnsi="Times New Roman" w:cs="Times New Roman"/>
          <w:color w:val="auto"/>
          <w:szCs w:val="28"/>
        </w:rPr>
        <w:t>安全警示标志</w:t>
      </w:r>
      <w:r>
        <w:rPr>
          <w:rFonts w:hint="default" w:ascii="Times New Roman" w:hAnsi="Times New Roman" w:cs="Times New Roman"/>
          <w:bCs/>
          <w:color w:val="auto"/>
          <w:szCs w:val="28"/>
        </w:rPr>
        <w:t>。</w:t>
      </w:r>
    </w:p>
    <w:p w14:paraId="30113A52">
      <w:pPr>
        <w:bidi w:val="0"/>
        <w:rPr>
          <w:rFonts w:hint="default"/>
        </w:rPr>
      </w:pPr>
      <w:r>
        <w:rPr>
          <w:rFonts w:hint="eastAsia"/>
          <w:lang w:val="en-US" w:eastAsia="zh-CN"/>
        </w:rPr>
        <w:t>2</w:t>
      </w:r>
      <w:r>
        <w:rPr>
          <w:rFonts w:hint="default"/>
          <w:lang w:val="en-US" w:eastAsia="zh-CN"/>
        </w:rPr>
        <w:t>、建设情况</w:t>
      </w:r>
      <w:r>
        <w:rPr>
          <w:rFonts w:hint="default"/>
        </w:rPr>
        <w:tab/>
      </w:r>
    </w:p>
    <w:p w14:paraId="0F7C64C9">
      <w:pPr>
        <w:rPr>
          <w:color w:val="auto"/>
        </w:rPr>
      </w:pPr>
      <w:r>
        <w:rPr>
          <w:rFonts w:hint="default" w:ascii="Times New Roman" w:hAnsi="Times New Roman" w:cs="Times New Roman"/>
          <w:snapToGrid w:val="0"/>
          <w:color w:val="auto"/>
          <w:spacing w:val="1"/>
          <w:kern w:val="0"/>
          <w:szCs w:val="28"/>
        </w:rPr>
        <w:t>矿</w:t>
      </w:r>
      <w:r>
        <w:rPr>
          <w:rFonts w:hint="default" w:ascii="Times New Roman" w:hAnsi="Times New Roman" w:cs="Times New Roman"/>
          <w:color w:val="auto"/>
          <w:szCs w:val="28"/>
        </w:rPr>
        <w:t>矿区生产用电和生活用电总量为：</w:t>
      </w:r>
      <w:r>
        <w:rPr>
          <w:rFonts w:hint="eastAsia" w:ascii="Times New Roman" w:hAnsi="Times New Roman" w:eastAsia="宋体" w:cs="Times New Roman"/>
          <w:color w:val="auto"/>
          <w:szCs w:val="28"/>
          <w:lang w:val="en-US" w:eastAsia="zh-CN"/>
        </w:rPr>
        <w:t>111.80</w:t>
      </w:r>
      <w:r>
        <w:rPr>
          <w:rFonts w:hint="default" w:ascii="Times New Roman" w:hAnsi="Times New Roman" w:eastAsia="宋体" w:cs="Times New Roman"/>
          <w:color w:val="auto"/>
          <w:szCs w:val="28"/>
        </w:rPr>
        <w:t>×10</w:t>
      </w:r>
      <w:r>
        <w:rPr>
          <w:rFonts w:hint="default" w:ascii="Times New Roman" w:hAnsi="Times New Roman" w:eastAsia="宋体" w:cs="Times New Roman"/>
          <w:color w:val="auto"/>
          <w:szCs w:val="28"/>
          <w:vertAlign w:val="superscript"/>
        </w:rPr>
        <w:t>4</w:t>
      </w:r>
      <w:r>
        <w:rPr>
          <w:rFonts w:hint="default" w:ascii="Times New Roman" w:hAnsi="Times New Roman" w:eastAsia="宋体" w:cs="Times New Roman"/>
          <w:color w:val="auto"/>
          <w:szCs w:val="28"/>
        </w:rPr>
        <w:t>kW·h/a</w:t>
      </w:r>
      <w:r>
        <w:rPr>
          <w:rFonts w:hint="default" w:ascii="Times New Roman" w:hAnsi="Times New Roman" w:cs="Times New Roman"/>
          <w:color w:val="auto"/>
          <w:szCs w:val="28"/>
        </w:rPr>
        <w:t>，装机容量</w:t>
      </w:r>
      <w:r>
        <w:rPr>
          <w:rFonts w:hint="eastAsia" w:ascii="Times New Roman" w:hAnsi="Times New Roman" w:eastAsia="宋体" w:cs="Times New Roman"/>
          <w:color w:val="auto"/>
          <w:sz w:val="28"/>
          <w:szCs w:val="28"/>
          <w:lang w:eastAsia="zh-CN"/>
        </w:rPr>
        <w:t>517.57</w:t>
      </w:r>
      <w:r>
        <w:rPr>
          <w:rFonts w:hint="default" w:ascii="Times New Roman" w:hAnsi="Times New Roman" w:eastAsia="宋体" w:cs="Times New Roman"/>
          <w:color w:val="auto"/>
          <w:sz w:val="28"/>
          <w:szCs w:val="28"/>
          <w:lang w:eastAsia="zh-CN"/>
        </w:rPr>
        <w:t>kW</w:t>
      </w:r>
      <w:r>
        <w:rPr>
          <w:rFonts w:hint="default" w:ascii="Times New Roman" w:hAnsi="Times New Roman" w:cs="Times New Roman"/>
          <w:color w:val="auto"/>
          <w:szCs w:val="28"/>
        </w:rPr>
        <w:t>，</w:t>
      </w:r>
      <w:r>
        <w:rPr>
          <w:rFonts w:hint="eastAsia" w:cs="Times New Roman"/>
          <w:color w:val="auto"/>
          <w:szCs w:val="28"/>
          <w:lang w:eastAsia="zh-CN"/>
        </w:rPr>
        <w:t>设计</w:t>
      </w:r>
      <w:r>
        <w:rPr>
          <w:rFonts w:hint="default" w:ascii="Times New Roman" w:hAnsi="Times New Roman" w:cs="Times New Roman"/>
          <w:color w:val="auto"/>
          <w:szCs w:val="28"/>
          <w:lang w:eastAsia="zh-CN"/>
        </w:rPr>
        <w:t>使用</w:t>
      </w:r>
      <w:r>
        <w:rPr>
          <w:rFonts w:hint="default" w:ascii="Times New Roman" w:hAnsi="Times New Roman" w:cs="Times New Roman"/>
          <w:color w:val="auto"/>
          <w:szCs w:val="28"/>
          <w:lang w:val="en-US" w:eastAsia="zh-CN"/>
        </w:rPr>
        <w:t>1</w:t>
      </w:r>
      <w:r>
        <w:rPr>
          <w:rFonts w:hint="default" w:ascii="Times New Roman" w:hAnsi="Times New Roman" w:cs="Times New Roman"/>
          <w:color w:val="auto"/>
          <w:szCs w:val="28"/>
        </w:rPr>
        <w:t>台</w:t>
      </w:r>
      <w:r>
        <w:rPr>
          <w:rFonts w:hint="eastAsia" w:cs="Times New Roman"/>
          <w:color w:val="auto"/>
          <w:highlight w:val="none"/>
          <w:lang w:val="zh-TW" w:eastAsia="zh-CN"/>
        </w:rPr>
        <w:t>S11-250/10</w:t>
      </w:r>
      <w:r>
        <w:rPr>
          <w:rFonts w:hint="eastAsia" w:cs="Times New Roman"/>
          <w:color w:val="auto"/>
          <w:szCs w:val="28"/>
          <w:lang w:eastAsia="zh-CN"/>
        </w:rPr>
        <w:t>变压器</w:t>
      </w:r>
      <w:r>
        <w:rPr>
          <w:rFonts w:hint="default" w:ascii="Times New Roman" w:hAnsi="Times New Roman" w:cs="Times New Roman"/>
          <w:color w:val="auto"/>
          <w:szCs w:val="28"/>
        </w:rPr>
        <w:t>，能满足生产、生活需要</w:t>
      </w:r>
      <w:r>
        <w:rPr>
          <w:rFonts w:hint="default" w:ascii="Times New Roman" w:hAnsi="Times New Roman" w:eastAsia="宋体" w:cs="Times New Roman"/>
          <w:color w:val="auto"/>
        </w:rPr>
        <w:t>。根据《</w:t>
      </w:r>
      <w:r>
        <w:rPr>
          <w:rFonts w:hint="default" w:ascii="Times New Roman" w:hAnsi="Times New Roman" w:eastAsia="宋体" w:cs="Times New Roman"/>
          <w:color w:val="auto"/>
          <w:lang w:eastAsia="zh-CN"/>
        </w:rPr>
        <w:t>矿山电力设计标准</w:t>
      </w:r>
      <w:r>
        <w:rPr>
          <w:rFonts w:hint="default" w:ascii="Times New Roman" w:hAnsi="Times New Roman" w:eastAsia="宋体" w:cs="Times New Roman"/>
          <w:color w:val="auto"/>
        </w:rPr>
        <w:t>》</w:t>
      </w:r>
      <w:r>
        <w:rPr>
          <w:rFonts w:hint="default" w:ascii="Times New Roman" w:hAnsi="Times New Roman" w:cs="Times New Roman"/>
          <w:color w:val="auto"/>
          <w:lang w:eastAsia="zh-CN"/>
        </w:rPr>
        <w:t>（</w:t>
      </w:r>
      <w:r>
        <w:rPr>
          <w:rFonts w:hint="default" w:ascii="Times New Roman" w:hAnsi="Times New Roman" w:eastAsia="宋体" w:cs="Times New Roman"/>
          <w:color w:val="auto"/>
          <w:lang w:eastAsia="zh-CN"/>
        </w:rPr>
        <w:t>GB 50070-2020</w:t>
      </w:r>
      <w:r>
        <w:rPr>
          <w:rFonts w:hint="default" w:ascii="Times New Roman" w:hAnsi="Times New Roman" w:cs="Times New Roman"/>
          <w:color w:val="auto"/>
          <w:lang w:eastAsia="zh-CN"/>
        </w:rPr>
        <w:t>）</w:t>
      </w:r>
      <w:r>
        <w:rPr>
          <w:rFonts w:hint="default" w:ascii="Times New Roman" w:hAnsi="Times New Roman" w:eastAsia="宋体" w:cs="Times New Roman"/>
          <w:color w:val="auto"/>
        </w:rPr>
        <w:t>负荷分级，各专业的要求及负荷特点，采石场供电均为三级负荷</w:t>
      </w:r>
      <w:r>
        <w:rPr>
          <w:color w:val="auto"/>
        </w:rPr>
        <w:t>。</w:t>
      </w:r>
    </w:p>
    <w:p w14:paraId="5DE51BC7">
      <w:pPr>
        <w:bidi w:val="0"/>
      </w:pPr>
      <w:r>
        <w:t>结论：矿山</w:t>
      </w:r>
      <w:r>
        <w:rPr>
          <w:rFonts w:hint="eastAsia"/>
          <w:lang w:val="en-US" w:eastAsia="zh-CN"/>
        </w:rPr>
        <w:t>供配电</w:t>
      </w:r>
      <w:r>
        <w:t>系统</w:t>
      </w:r>
      <w:r>
        <w:rPr>
          <w:rFonts w:hint="eastAsia"/>
          <w:lang w:val="en-US" w:eastAsia="zh-CN"/>
        </w:rPr>
        <w:t>利旧，符合</w:t>
      </w:r>
      <w:r>
        <w:t>设计</w:t>
      </w:r>
      <w:r>
        <w:rPr>
          <w:rFonts w:hint="eastAsia"/>
          <w:lang w:val="en-US" w:eastAsia="zh-CN"/>
        </w:rPr>
        <w:t>要求</w:t>
      </w:r>
      <w:r>
        <w:t>，</w:t>
      </w:r>
      <w:r>
        <w:rPr>
          <w:rFonts w:hint="eastAsia"/>
          <w:lang w:val="en-US" w:eastAsia="zh-CN"/>
        </w:rPr>
        <w:t>供配电</w:t>
      </w:r>
      <w:r>
        <w:t>满足竣工验收要求。</w:t>
      </w:r>
    </w:p>
    <w:p w14:paraId="787EA5F3">
      <w:pPr>
        <w:pStyle w:val="4"/>
      </w:pPr>
      <w:bookmarkStart w:id="217" w:name="_Toc9342"/>
      <w:bookmarkStart w:id="218" w:name="_Toc3776"/>
      <w:r>
        <w:t>2.4.</w:t>
      </w:r>
      <w:r>
        <w:rPr>
          <w:rFonts w:hint="eastAsia"/>
          <w:lang w:val="en-US" w:eastAsia="zh-CN"/>
        </w:rPr>
        <w:t>9</w:t>
      </w:r>
      <w:r>
        <w:t>通信系统</w:t>
      </w:r>
      <w:bookmarkEnd w:id="216"/>
      <w:bookmarkEnd w:id="217"/>
      <w:bookmarkEnd w:id="218"/>
    </w:p>
    <w:p w14:paraId="0DA861B1">
      <w:pPr>
        <w:bidi w:val="0"/>
        <w:rPr>
          <w:rFonts w:hint="eastAsia"/>
          <w:color w:val="auto"/>
          <w:lang w:val="en-US" w:eastAsia="zh-CN"/>
        </w:rPr>
      </w:pPr>
      <w:r>
        <w:rPr>
          <w:rFonts w:hint="eastAsia"/>
          <w:color w:val="auto"/>
          <w:lang w:val="en-US" w:eastAsia="zh-CN"/>
        </w:rPr>
        <w:t>1、设计情况</w:t>
      </w:r>
    </w:p>
    <w:p w14:paraId="3F961976">
      <w:pPr>
        <w:bidi w:val="0"/>
        <w:rPr>
          <w:color w:val="auto"/>
        </w:rPr>
      </w:pPr>
      <w:r>
        <w:rPr>
          <w:rFonts w:hint="eastAsia"/>
          <w:color w:val="auto"/>
          <w:lang w:val="en-US" w:eastAsia="zh-CN"/>
        </w:rPr>
        <w:t>（1）</w:t>
      </w:r>
      <w:r>
        <w:rPr>
          <w:color w:val="auto"/>
        </w:rPr>
        <w:t>为便于矿区有关岗位对内对外</w:t>
      </w:r>
      <w:r>
        <w:rPr>
          <w:rFonts w:hint="eastAsia"/>
          <w:color w:val="auto"/>
        </w:rPr>
        <w:t>的</w:t>
      </w:r>
      <w:r>
        <w:rPr>
          <w:color w:val="auto"/>
        </w:rPr>
        <w:t>通讯联络、传递信息，特别是满足有些重要岗位之间的通讯联络，设计配置行政电话单机2台。</w:t>
      </w:r>
    </w:p>
    <w:p w14:paraId="4BAA2FCF">
      <w:pPr>
        <w:bidi w:val="0"/>
        <w:rPr>
          <w:color w:val="auto"/>
        </w:rPr>
      </w:pPr>
      <w:r>
        <w:rPr>
          <w:rFonts w:hint="eastAsia"/>
          <w:color w:val="auto"/>
          <w:lang w:eastAsia="zh-CN"/>
        </w:rPr>
        <w:t>（</w:t>
      </w:r>
      <w:r>
        <w:rPr>
          <w:rFonts w:hint="eastAsia"/>
          <w:color w:val="auto"/>
          <w:lang w:val="en-US" w:eastAsia="zh-CN"/>
        </w:rPr>
        <w:t>2）</w:t>
      </w:r>
      <w:r>
        <w:rPr>
          <w:rFonts w:hint="eastAsia"/>
          <w:color w:val="auto"/>
        </w:rPr>
        <w:t>为了</w:t>
      </w:r>
      <w:r>
        <w:rPr>
          <w:color w:val="auto"/>
        </w:rPr>
        <w:t>满足监控室与辖区各生产岗位之间频繁</w:t>
      </w:r>
      <w:r>
        <w:rPr>
          <w:rFonts w:hint="eastAsia"/>
          <w:color w:val="auto"/>
        </w:rPr>
        <w:t>且</w:t>
      </w:r>
      <w:r>
        <w:rPr>
          <w:color w:val="auto"/>
        </w:rPr>
        <w:t>快捷的通讯要求，便于生产调度人员下达生产指令、及时协调和处理生产中出现的问题，配置调度电话分机</w:t>
      </w:r>
      <w:r>
        <w:rPr>
          <w:rFonts w:hint="eastAsia"/>
          <w:color w:val="auto"/>
          <w:lang w:val="en-US" w:eastAsia="zh-CN"/>
        </w:rPr>
        <w:t>4</w:t>
      </w:r>
      <w:r>
        <w:rPr>
          <w:color w:val="auto"/>
        </w:rPr>
        <w:t>台。</w:t>
      </w:r>
    </w:p>
    <w:p w14:paraId="46A2D7BF">
      <w:pPr>
        <w:bidi w:val="0"/>
        <w:rPr>
          <w:color w:val="auto"/>
        </w:rPr>
      </w:pPr>
      <w:r>
        <w:rPr>
          <w:rFonts w:hint="eastAsia"/>
          <w:color w:val="auto"/>
          <w:lang w:eastAsia="zh-CN"/>
        </w:rPr>
        <w:t>（</w:t>
      </w:r>
      <w:r>
        <w:rPr>
          <w:rFonts w:hint="eastAsia"/>
          <w:color w:val="auto"/>
          <w:lang w:val="en-US" w:eastAsia="zh-CN"/>
        </w:rPr>
        <w:t>3）所有</w:t>
      </w:r>
      <w:r>
        <w:rPr>
          <w:color w:val="auto"/>
        </w:rPr>
        <w:t>人员</w:t>
      </w:r>
      <w:r>
        <w:rPr>
          <w:rFonts w:hint="eastAsia"/>
          <w:color w:val="auto"/>
          <w:lang w:val="en-US" w:eastAsia="zh-CN"/>
        </w:rPr>
        <w:t>均</w:t>
      </w:r>
      <w:r>
        <w:rPr>
          <w:color w:val="auto"/>
        </w:rPr>
        <w:t>配备移动电话，实现与上级部门间的移动通信及应急通信。</w:t>
      </w:r>
    </w:p>
    <w:p w14:paraId="324423B7">
      <w:pPr>
        <w:bidi w:val="0"/>
        <w:rPr>
          <w:rFonts w:hint="eastAsia"/>
          <w:lang w:val="en-US" w:eastAsia="zh-CN"/>
        </w:rPr>
      </w:pPr>
      <w:r>
        <w:rPr>
          <w:rFonts w:hint="eastAsia"/>
          <w:lang w:val="en-US" w:eastAsia="zh-CN"/>
        </w:rPr>
        <w:t>2、建设情况</w:t>
      </w:r>
    </w:p>
    <w:p w14:paraId="7C43B834">
      <w:pPr>
        <w:bidi w:val="0"/>
        <w:rPr>
          <w:rFonts w:hint="default"/>
        </w:rPr>
      </w:pPr>
      <w:r>
        <w:rPr>
          <w:rFonts w:hint="eastAsia"/>
          <w:lang w:val="en-US" w:eastAsia="zh-CN"/>
        </w:rPr>
        <w:t>矿山实际配备了手持调频对讲机作为内部无线通信设备，每位员工皆配备有手机作为补充。</w:t>
      </w:r>
    </w:p>
    <w:p w14:paraId="3D1B000A">
      <w:pPr>
        <w:bidi w:val="0"/>
      </w:pPr>
      <w:r>
        <w:t>生活、生产及行政调度通讯系统、宽带网络系统</w:t>
      </w:r>
      <w:r>
        <w:rPr>
          <w:rFonts w:hint="eastAsia"/>
          <w:lang w:val="en-US" w:eastAsia="zh-CN"/>
        </w:rPr>
        <w:t>可以满足生产、生活及办公需要</w:t>
      </w:r>
      <w:r>
        <w:t>。</w:t>
      </w:r>
    </w:p>
    <w:p w14:paraId="2EA4D41F">
      <w:pPr>
        <w:bidi w:val="0"/>
      </w:pPr>
      <w:bookmarkStart w:id="219" w:name="_Toc214284017"/>
      <w:r>
        <w:rPr>
          <w:rFonts w:hint="eastAsia"/>
          <w:lang w:val="en-US" w:eastAsia="zh-CN"/>
        </w:rPr>
        <w:t>3、</w:t>
      </w:r>
      <w:r>
        <w:t>结论：矿山</w:t>
      </w:r>
      <w:r>
        <w:rPr>
          <w:rFonts w:hint="eastAsia"/>
          <w:lang w:val="en-US" w:eastAsia="zh-CN"/>
        </w:rPr>
        <w:t>通信</w:t>
      </w:r>
      <w:r>
        <w:t>系统满足竣工验收要求。</w:t>
      </w:r>
    </w:p>
    <w:p w14:paraId="60FD4CB7">
      <w:pPr>
        <w:pStyle w:val="4"/>
        <w:rPr>
          <w:rFonts w:hint="eastAsia" w:eastAsia="宋体"/>
          <w:lang w:val="en-US" w:eastAsia="zh-CN"/>
        </w:rPr>
      </w:pPr>
      <w:bookmarkStart w:id="220" w:name="_Toc4401"/>
      <w:bookmarkStart w:id="221" w:name="_Toc6668"/>
      <w:r>
        <w:t>2.4.1</w:t>
      </w:r>
      <w:r>
        <w:rPr>
          <w:rFonts w:hint="eastAsia"/>
          <w:lang w:val="en-US" w:eastAsia="zh-CN"/>
        </w:rPr>
        <w:t>0</w:t>
      </w:r>
      <w:r>
        <w:t>个人安全防护</w:t>
      </w:r>
      <w:bookmarkEnd w:id="219"/>
      <w:bookmarkEnd w:id="220"/>
      <w:r>
        <w:rPr>
          <w:rFonts w:hint="eastAsia"/>
          <w:lang w:val="en-US" w:eastAsia="zh-CN"/>
        </w:rPr>
        <w:t>与防尘</w:t>
      </w:r>
      <w:bookmarkEnd w:id="221"/>
    </w:p>
    <w:p w14:paraId="06863C1D">
      <w:pPr>
        <w:bidi w:val="0"/>
        <w:rPr>
          <w:rFonts w:hint="default" w:ascii="Times New Roman" w:hAnsi="Times New Roman" w:eastAsia="宋体" w:cs="Times New Roman"/>
          <w:color w:val="auto"/>
          <w:kern w:val="2"/>
          <w:sz w:val="28"/>
          <w:szCs w:val="28"/>
          <w:lang w:val="zh-TW" w:eastAsia="zh-TW"/>
        </w:rPr>
      </w:pPr>
      <w:r>
        <w:rPr>
          <w:rFonts w:hint="eastAsia" w:ascii="Times New Roman" w:hAnsi="Times New Roman" w:eastAsia="宋体" w:cs="Times New Roman"/>
          <w:color w:val="auto"/>
          <w:kern w:val="2"/>
          <w:sz w:val="28"/>
          <w:szCs w:val="28"/>
          <w:lang w:val="en-US" w:eastAsia="zh-CN"/>
        </w:rPr>
        <w:t>1、</w:t>
      </w:r>
      <w:r>
        <w:rPr>
          <w:rFonts w:hint="default" w:ascii="Times New Roman" w:hAnsi="Times New Roman" w:eastAsia="宋体" w:cs="Times New Roman"/>
          <w:color w:val="auto"/>
          <w:kern w:val="2"/>
          <w:sz w:val="28"/>
          <w:szCs w:val="28"/>
          <w:lang w:val="zh-TW" w:eastAsia="zh-TW"/>
        </w:rPr>
        <w:t>露天采场凿岩爆破、铲装卸载及汽车运输所产生的粉尘，</w:t>
      </w:r>
      <w:r>
        <w:rPr>
          <w:rFonts w:hint="eastAsia" w:ascii="Times New Roman" w:hAnsi="Times New Roman" w:eastAsia="宋体" w:cs="Times New Roman"/>
          <w:color w:val="auto"/>
          <w:kern w:val="2"/>
          <w:sz w:val="28"/>
          <w:szCs w:val="28"/>
          <w:lang w:val="en-US" w:eastAsia="zh-CN"/>
        </w:rPr>
        <w:t>破碎站矿石破碎产生大量粉尘</w:t>
      </w:r>
      <w:r>
        <w:rPr>
          <w:rFonts w:hint="default" w:ascii="Times New Roman" w:hAnsi="Times New Roman" w:eastAsia="宋体" w:cs="Times New Roman"/>
          <w:color w:val="auto"/>
          <w:kern w:val="2"/>
          <w:sz w:val="28"/>
          <w:szCs w:val="28"/>
          <w:lang w:val="zh-TW" w:eastAsia="zh-TW"/>
        </w:rPr>
        <w:t>。</w:t>
      </w:r>
    </w:p>
    <w:p w14:paraId="1516F2CA">
      <w:pPr>
        <w:bidi w:val="0"/>
        <w:rPr>
          <w:rFonts w:hint="eastAsia" w:ascii="Times New Roman" w:hAnsi="Times New Roman" w:eastAsia="宋体" w:cs="Times New Roman"/>
          <w:color w:val="auto"/>
          <w:kern w:val="2"/>
          <w:sz w:val="28"/>
          <w:szCs w:val="28"/>
          <w:lang w:val="en-US" w:eastAsia="zh-CN"/>
        </w:rPr>
      </w:pPr>
      <w:r>
        <w:rPr>
          <w:rFonts w:hint="eastAsia" w:ascii="Times New Roman" w:hAnsi="Times New Roman" w:eastAsia="宋体" w:cs="Times New Roman"/>
          <w:color w:val="auto"/>
          <w:kern w:val="2"/>
          <w:sz w:val="28"/>
          <w:szCs w:val="28"/>
          <w:lang w:val="en-US" w:eastAsia="zh-CN"/>
        </w:rPr>
        <w:t>2、防治措施：</w:t>
      </w:r>
    </w:p>
    <w:p w14:paraId="0F051EAC">
      <w:pPr>
        <w:bidi w:val="0"/>
        <w:rPr>
          <w:rFonts w:hint="eastAsia" w:ascii="Times New Roman" w:hAnsi="Times New Roman" w:eastAsia="宋体" w:cs="Times New Roman"/>
          <w:color w:val="auto"/>
          <w:kern w:val="2"/>
          <w:sz w:val="28"/>
          <w:szCs w:val="28"/>
          <w:lang w:val="zh-TW" w:eastAsia="zh-CN"/>
        </w:rPr>
      </w:pPr>
      <w:r>
        <w:rPr>
          <w:rFonts w:hint="eastAsia" w:ascii="Times New Roman" w:hAnsi="Times New Roman" w:eastAsia="宋体" w:cs="Times New Roman"/>
          <w:color w:val="auto"/>
          <w:kern w:val="2"/>
          <w:sz w:val="28"/>
          <w:szCs w:val="28"/>
          <w:lang w:val="en-US" w:eastAsia="zh-CN"/>
        </w:rPr>
        <w:t>（1）</w:t>
      </w:r>
      <w:r>
        <w:rPr>
          <w:rFonts w:hint="default" w:ascii="Times New Roman" w:hAnsi="Times New Roman" w:eastAsia="宋体" w:cs="Times New Roman"/>
          <w:color w:val="auto"/>
          <w:kern w:val="2"/>
          <w:sz w:val="28"/>
          <w:szCs w:val="28"/>
          <w:lang w:val="zh-TW" w:eastAsia="zh-TW"/>
        </w:rPr>
        <w:t>为防止铲装</w:t>
      </w:r>
      <w:r>
        <w:rPr>
          <w:rFonts w:hint="eastAsia" w:ascii="Times New Roman" w:hAnsi="Times New Roman" w:eastAsia="宋体" w:cs="Times New Roman"/>
          <w:color w:val="auto"/>
          <w:kern w:val="2"/>
          <w:sz w:val="28"/>
          <w:szCs w:val="28"/>
          <w:lang w:val="zh-TW" w:eastAsia="zh-CN"/>
        </w:rPr>
        <w:t>、</w:t>
      </w:r>
      <w:r>
        <w:rPr>
          <w:rFonts w:hint="eastAsia" w:ascii="Times New Roman" w:hAnsi="Times New Roman" w:eastAsia="宋体" w:cs="Times New Roman"/>
          <w:color w:val="auto"/>
          <w:kern w:val="2"/>
          <w:sz w:val="28"/>
          <w:szCs w:val="28"/>
          <w:lang w:val="en-US" w:eastAsia="zh-CN"/>
        </w:rPr>
        <w:t>运输、破碎作业产生</w:t>
      </w:r>
      <w:r>
        <w:rPr>
          <w:rFonts w:hint="default" w:ascii="Times New Roman" w:hAnsi="Times New Roman" w:eastAsia="宋体" w:cs="Times New Roman"/>
          <w:color w:val="auto"/>
          <w:kern w:val="2"/>
          <w:sz w:val="28"/>
          <w:szCs w:val="28"/>
          <w:lang w:val="zh-TW" w:eastAsia="zh-TW"/>
        </w:rPr>
        <w:t>的</w:t>
      </w:r>
      <w:r>
        <w:rPr>
          <w:rFonts w:hint="eastAsia" w:ascii="Times New Roman" w:hAnsi="Times New Roman" w:eastAsia="宋体" w:cs="Times New Roman"/>
          <w:color w:val="auto"/>
          <w:kern w:val="2"/>
          <w:sz w:val="28"/>
          <w:szCs w:val="28"/>
          <w:lang w:val="en-US" w:eastAsia="zh-CN"/>
        </w:rPr>
        <w:t>粉</w:t>
      </w:r>
      <w:r>
        <w:rPr>
          <w:rFonts w:hint="default" w:ascii="Times New Roman" w:hAnsi="Times New Roman" w:eastAsia="宋体" w:cs="Times New Roman"/>
          <w:color w:val="auto"/>
          <w:kern w:val="2"/>
          <w:sz w:val="28"/>
          <w:szCs w:val="28"/>
          <w:lang w:val="zh-TW" w:eastAsia="zh-TW"/>
        </w:rPr>
        <w:t>尘，</w:t>
      </w:r>
      <w:r>
        <w:rPr>
          <w:rFonts w:hint="default" w:ascii="Times New Roman" w:hAnsi="Times New Roman" w:cs="Times New Roman"/>
          <w:color w:val="auto"/>
          <w:kern w:val="2"/>
          <w:sz w:val="28"/>
          <w:szCs w:val="28"/>
          <w:lang w:val="zh-TW" w:eastAsia="zh-CN"/>
        </w:rPr>
        <w:t>采用</w:t>
      </w:r>
      <w:r>
        <w:rPr>
          <w:rFonts w:hint="default" w:ascii="Times New Roman" w:hAnsi="Times New Roman" w:eastAsia="宋体" w:cs="Times New Roman"/>
          <w:color w:val="auto"/>
          <w:kern w:val="2"/>
          <w:sz w:val="28"/>
          <w:szCs w:val="28"/>
          <w:lang w:val="zh-TW" w:eastAsia="zh-TW"/>
        </w:rPr>
        <w:t>洒水措施</w:t>
      </w:r>
      <w:r>
        <w:rPr>
          <w:rFonts w:hint="eastAsia" w:ascii="Times New Roman" w:hAnsi="Times New Roman" w:eastAsia="宋体" w:cs="Times New Roman"/>
          <w:color w:val="auto"/>
          <w:kern w:val="2"/>
          <w:sz w:val="28"/>
          <w:szCs w:val="28"/>
          <w:lang w:val="en-US" w:eastAsia="zh-CN"/>
        </w:rPr>
        <w:t>和</w:t>
      </w:r>
      <w:r>
        <w:rPr>
          <w:rFonts w:hint="default" w:ascii="Times New Roman" w:hAnsi="Times New Roman" w:eastAsia="宋体" w:cs="Times New Roman"/>
          <w:color w:val="auto"/>
          <w:kern w:val="2"/>
          <w:sz w:val="28"/>
          <w:szCs w:val="28"/>
          <w:lang w:val="zh-TW" w:eastAsia="zh-TW"/>
        </w:rPr>
        <w:t>喷雾洒水措施</w:t>
      </w:r>
      <w:r>
        <w:rPr>
          <w:rFonts w:hint="eastAsia" w:ascii="Times New Roman" w:hAnsi="Times New Roman" w:eastAsia="宋体" w:cs="Times New Roman"/>
          <w:color w:val="auto"/>
          <w:kern w:val="2"/>
          <w:sz w:val="28"/>
          <w:szCs w:val="28"/>
          <w:lang w:val="zh-TW" w:eastAsia="zh-CN"/>
        </w:rPr>
        <w:t>。</w:t>
      </w:r>
    </w:p>
    <w:p w14:paraId="4B9C9D56">
      <w:pPr>
        <w:bidi w:val="0"/>
      </w:pPr>
      <w:r>
        <w:rPr>
          <w:rFonts w:hint="eastAsia"/>
          <w:lang w:val="en-US" w:eastAsia="zh-CN"/>
        </w:rPr>
        <w:t>（2）</w:t>
      </w:r>
      <w:r>
        <w:t>矿山按照《个体防护装备配备规范第4部分：非煤矿山》</w:t>
      </w:r>
      <w:r>
        <w:rPr>
          <w:lang w:val="sq-AL"/>
        </w:rPr>
        <w:t>（</w:t>
      </w:r>
      <w:r>
        <w:t>GB39800.4-2020</w:t>
      </w:r>
      <w:r>
        <w:rPr>
          <w:lang w:val="sq-AL"/>
        </w:rPr>
        <w:t>）</w:t>
      </w:r>
      <w:r>
        <w:t>的标准为作业人员配备了相应的劳保用品（如：安全帽、安全带、绝缘鞋、工作服、口罩</w:t>
      </w:r>
      <w:r>
        <w:rPr>
          <w:rFonts w:hint="eastAsia"/>
          <w:lang w:eastAsia="zh-CN"/>
        </w:rPr>
        <w:t>、</w:t>
      </w:r>
      <w:r>
        <w:rPr>
          <w:rFonts w:hint="eastAsia"/>
          <w:lang w:val="en-US" w:eastAsia="zh-CN"/>
        </w:rPr>
        <w:t>焊工配备防护面罩</w:t>
      </w:r>
      <w:r>
        <w:t>）等，并督促员工在上班期间正确佩戴。</w:t>
      </w:r>
    </w:p>
    <w:p w14:paraId="121130E0">
      <w:pPr>
        <w:rPr>
          <w:color w:val="auto"/>
        </w:rPr>
      </w:pPr>
      <w:r>
        <w:rPr>
          <w:rFonts w:hint="eastAsia"/>
          <w:lang w:val="en-US" w:eastAsia="zh-CN"/>
        </w:rPr>
        <w:t>（3）</w:t>
      </w:r>
      <w:r>
        <w:rPr>
          <w:color w:val="auto"/>
        </w:rPr>
        <w:t>各工段配齐安全检修用的低压照明用具，配足登高作业用的安全带、安全绳等，电工作业所还配备绝缘垫、绝缘棒、短接放电器具等。</w:t>
      </w:r>
    </w:p>
    <w:p w14:paraId="59BF8908">
      <w:pPr>
        <w:bidi w:val="0"/>
        <w:rPr>
          <w:rFonts w:hint="eastAsia"/>
          <w:lang w:val="en-US" w:eastAsia="zh-CN"/>
        </w:rPr>
      </w:pPr>
      <w:r>
        <w:rPr>
          <w:rFonts w:hint="eastAsia"/>
          <w:color w:val="auto"/>
        </w:rPr>
        <w:t>（</w:t>
      </w:r>
      <w:r>
        <w:rPr>
          <w:rFonts w:hint="eastAsia"/>
          <w:color w:val="auto"/>
          <w:lang w:val="en-US" w:eastAsia="zh-CN"/>
        </w:rPr>
        <w:t>4</w:t>
      </w:r>
      <w:r>
        <w:rPr>
          <w:rFonts w:hint="eastAsia"/>
          <w:color w:val="auto"/>
        </w:rPr>
        <w:t>）</w:t>
      </w:r>
      <w:r>
        <w:rPr>
          <w:color w:val="auto"/>
        </w:rPr>
        <w:t>在操作人员区域内设置应急救援箱，箱内放置事故应急救援设备及医疗救护药品。</w:t>
      </w:r>
    </w:p>
    <w:p w14:paraId="524CD79D">
      <w:pPr>
        <w:bidi w:val="0"/>
      </w:pPr>
      <w:r>
        <w:rPr>
          <w:rFonts w:hint="eastAsia"/>
          <w:lang w:eastAsia="zh-CN"/>
        </w:rPr>
        <w:t>（</w:t>
      </w:r>
      <w:r>
        <w:rPr>
          <w:rFonts w:hint="eastAsia"/>
          <w:lang w:val="en-US" w:eastAsia="zh-CN"/>
        </w:rPr>
        <w:t>5）</w:t>
      </w:r>
      <w:r>
        <w:t>根据国家规定按工种给工人及时发放个人防护用品、劳保津贴等。</w:t>
      </w:r>
    </w:p>
    <w:p w14:paraId="29DA4313">
      <w:pPr>
        <w:bidi w:val="0"/>
        <w:rPr>
          <w:rFonts w:hint="default"/>
          <w:lang w:val="en-US" w:eastAsia="zh-CN"/>
        </w:rPr>
      </w:pPr>
      <w:r>
        <w:rPr>
          <w:rFonts w:hint="eastAsia"/>
          <w:lang w:val="en-US" w:eastAsia="zh-CN"/>
        </w:rPr>
        <w:t>3、</w:t>
      </w:r>
      <w:r>
        <w:rPr>
          <w:lang w:val="en-US" w:eastAsia="zh-CN"/>
        </w:rPr>
        <w:t>个人防护用品配置情况</w:t>
      </w:r>
      <w:r>
        <w:rPr>
          <w:rFonts w:hint="eastAsia"/>
          <w:lang w:val="en-US" w:eastAsia="zh-CN"/>
        </w:rPr>
        <w:t>见下表。</w:t>
      </w:r>
    </w:p>
    <w:p w14:paraId="5B0995A5">
      <w:pPr>
        <w:widowControl w:val="0"/>
        <w:adjustRightInd w:val="0"/>
        <w:snapToGrid w:val="0"/>
        <w:spacing w:line="240" w:lineRule="auto"/>
        <w:ind w:firstLine="0" w:firstLineChars="0"/>
        <w:jc w:val="center"/>
        <w:rPr>
          <w:rFonts w:ascii="Times New Roman" w:hAnsi="Times New Roman" w:eastAsia="宋体" w:cs="宋体"/>
          <w:b/>
          <w:color w:val="auto"/>
          <w:kern w:val="2"/>
          <w:sz w:val="24"/>
          <w:szCs w:val="20"/>
          <w:lang w:val="en-US" w:eastAsia="zh-CN" w:bidi="ar-SA"/>
        </w:rPr>
      </w:pPr>
      <w:r>
        <w:rPr>
          <w:rFonts w:ascii="Times New Roman" w:hAnsi="Times New Roman" w:eastAsia="宋体" w:cs="宋体"/>
          <w:b/>
          <w:color w:val="auto"/>
          <w:kern w:val="2"/>
          <w:sz w:val="24"/>
          <w:szCs w:val="20"/>
          <w:lang w:val="en-US" w:eastAsia="zh-CN" w:bidi="ar-SA"/>
        </w:rPr>
        <w:t>表</w:t>
      </w:r>
      <w:r>
        <w:rPr>
          <w:rFonts w:hint="eastAsia" w:ascii="Times New Roman" w:hAnsi="Times New Roman" w:eastAsia="宋体" w:cs="宋体"/>
          <w:b/>
          <w:color w:val="auto"/>
          <w:kern w:val="2"/>
          <w:sz w:val="24"/>
          <w:szCs w:val="20"/>
          <w:lang w:val="en-US" w:eastAsia="zh-CN" w:bidi="ar-SA"/>
        </w:rPr>
        <w:t xml:space="preserve">2.4-6  </w:t>
      </w:r>
      <w:r>
        <w:rPr>
          <w:rFonts w:ascii="Times New Roman" w:hAnsi="Times New Roman" w:eastAsia="宋体" w:cs="宋体"/>
          <w:b/>
          <w:color w:val="auto"/>
          <w:kern w:val="2"/>
          <w:sz w:val="24"/>
          <w:szCs w:val="20"/>
          <w:lang w:val="en-US" w:eastAsia="zh-CN" w:bidi="ar-SA"/>
        </w:rPr>
        <w:t>个人防护用品配置情况</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5"/>
        <w:gridCol w:w="2077"/>
        <w:gridCol w:w="2566"/>
        <w:gridCol w:w="1045"/>
        <w:gridCol w:w="940"/>
        <w:gridCol w:w="1870"/>
      </w:tblGrid>
      <w:tr w14:paraId="7550860F">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5C559969">
            <w:pPr>
              <w:widowControl w:val="0"/>
              <w:adjustRightInd w:val="0"/>
              <w:snapToGrid w:val="0"/>
              <w:spacing w:line="240" w:lineRule="auto"/>
              <w:ind w:firstLine="0" w:firstLineChars="0"/>
              <w:jc w:val="center"/>
              <w:rPr>
                <w:rFonts w:ascii="Times New Roman" w:hAnsi="Times New Roman" w:eastAsia="宋体" w:cs="宋体"/>
                <w:b/>
                <w:bCs w:val="0"/>
                <w:color w:val="auto"/>
                <w:kern w:val="2"/>
                <w:sz w:val="21"/>
                <w:szCs w:val="21"/>
                <w:lang w:val="en-US" w:eastAsia="zh-CN" w:bidi="ar-SA"/>
              </w:rPr>
            </w:pPr>
            <w:r>
              <w:rPr>
                <w:rFonts w:ascii="Times New Roman" w:hAnsi="Times New Roman" w:eastAsia="宋体" w:cs="宋体"/>
                <w:b/>
                <w:bCs w:val="0"/>
                <w:color w:val="auto"/>
                <w:kern w:val="2"/>
                <w:sz w:val="21"/>
                <w:szCs w:val="21"/>
                <w:lang w:val="en-US" w:eastAsia="zh-CN" w:bidi="ar-SA"/>
              </w:rPr>
              <w:t>序号</w:t>
            </w:r>
          </w:p>
        </w:tc>
        <w:tc>
          <w:tcPr>
            <w:tcW w:w="2077" w:type="dxa"/>
            <w:noWrap w:val="0"/>
            <w:vAlign w:val="center"/>
          </w:tcPr>
          <w:p w14:paraId="1A1D41DB">
            <w:pPr>
              <w:widowControl w:val="0"/>
              <w:adjustRightInd w:val="0"/>
              <w:snapToGrid w:val="0"/>
              <w:spacing w:line="240" w:lineRule="auto"/>
              <w:ind w:firstLine="0" w:firstLineChars="0"/>
              <w:jc w:val="center"/>
              <w:rPr>
                <w:rFonts w:ascii="Times New Roman" w:hAnsi="Times New Roman" w:eastAsia="宋体" w:cs="宋体"/>
                <w:b/>
                <w:bCs w:val="0"/>
                <w:color w:val="auto"/>
                <w:kern w:val="2"/>
                <w:sz w:val="21"/>
                <w:szCs w:val="21"/>
                <w:lang w:val="en-US" w:eastAsia="zh-CN" w:bidi="ar-SA"/>
              </w:rPr>
            </w:pPr>
            <w:r>
              <w:rPr>
                <w:rFonts w:ascii="Times New Roman" w:hAnsi="Times New Roman" w:eastAsia="宋体" w:cs="宋体"/>
                <w:b/>
                <w:bCs w:val="0"/>
                <w:color w:val="auto"/>
                <w:kern w:val="2"/>
                <w:sz w:val="21"/>
                <w:szCs w:val="21"/>
                <w:lang w:val="en-US" w:eastAsia="zh-CN" w:bidi="ar-SA"/>
              </w:rPr>
              <w:t>个体防护用品种类</w:t>
            </w:r>
          </w:p>
        </w:tc>
        <w:tc>
          <w:tcPr>
            <w:tcW w:w="2566" w:type="dxa"/>
            <w:noWrap w:val="0"/>
            <w:vAlign w:val="center"/>
          </w:tcPr>
          <w:p w14:paraId="2517864F">
            <w:pPr>
              <w:widowControl w:val="0"/>
              <w:adjustRightInd w:val="0"/>
              <w:snapToGrid w:val="0"/>
              <w:spacing w:line="240" w:lineRule="auto"/>
              <w:ind w:firstLine="0" w:firstLineChars="0"/>
              <w:jc w:val="center"/>
              <w:rPr>
                <w:rFonts w:ascii="Times New Roman" w:hAnsi="Times New Roman" w:eastAsia="宋体" w:cs="宋体"/>
                <w:b/>
                <w:bCs w:val="0"/>
                <w:color w:val="auto"/>
                <w:kern w:val="2"/>
                <w:sz w:val="21"/>
                <w:szCs w:val="21"/>
                <w:lang w:val="en-US" w:eastAsia="zh-CN" w:bidi="ar-SA"/>
              </w:rPr>
            </w:pPr>
            <w:r>
              <w:rPr>
                <w:rFonts w:ascii="Times New Roman" w:hAnsi="Times New Roman" w:eastAsia="宋体" w:cs="宋体"/>
                <w:b/>
                <w:bCs w:val="0"/>
                <w:color w:val="auto"/>
                <w:kern w:val="2"/>
                <w:sz w:val="21"/>
                <w:szCs w:val="21"/>
                <w:lang w:val="en-US" w:eastAsia="zh-CN" w:bidi="ar-SA"/>
              </w:rPr>
              <w:t>配备工种</w:t>
            </w:r>
          </w:p>
        </w:tc>
        <w:tc>
          <w:tcPr>
            <w:tcW w:w="1045" w:type="dxa"/>
            <w:noWrap w:val="0"/>
            <w:vAlign w:val="center"/>
          </w:tcPr>
          <w:p w14:paraId="602161A3">
            <w:pPr>
              <w:widowControl w:val="0"/>
              <w:adjustRightInd w:val="0"/>
              <w:snapToGrid w:val="0"/>
              <w:spacing w:line="240" w:lineRule="auto"/>
              <w:ind w:firstLine="0" w:firstLineChars="0"/>
              <w:jc w:val="center"/>
              <w:rPr>
                <w:rFonts w:ascii="Times New Roman" w:hAnsi="Times New Roman" w:eastAsia="宋体" w:cs="宋体"/>
                <w:b/>
                <w:bCs w:val="0"/>
                <w:color w:val="auto"/>
                <w:kern w:val="2"/>
                <w:sz w:val="21"/>
                <w:szCs w:val="21"/>
                <w:lang w:val="en-US" w:eastAsia="zh-CN" w:bidi="ar-SA"/>
              </w:rPr>
            </w:pPr>
            <w:r>
              <w:rPr>
                <w:rFonts w:ascii="Times New Roman" w:hAnsi="Times New Roman" w:eastAsia="宋体" w:cs="宋体"/>
                <w:b/>
                <w:bCs w:val="0"/>
                <w:color w:val="auto"/>
                <w:kern w:val="2"/>
                <w:sz w:val="21"/>
                <w:szCs w:val="21"/>
                <w:lang w:val="en-US" w:eastAsia="zh-CN" w:bidi="ar-SA"/>
              </w:rPr>
              <w:t>配发标准</w:t>
            </w:r>
          </w:p>
        </w:tc>
        <w:tc>
          <w:tcPr>
            <w:tcW w:w="940" w:type="dxa"/>
            <w:noWrap w:val="0"/>
            <w:vAlign w:val="center"/>
          </w:tcPr>
          <w:p w14:paraId="3E419A46">
            <w:pPr>
              <w:widowControl w:val="0"/>
              <w:adjustRightInd w:val="0"/>
              <w:snapToGrid w:val="0"/>
              <w:spacing w:line="240" w:lineRule="auto"/>
              <w:ind w:firstLine="0" w:firstLineChars="0"/>
              <w:jc w:val="center"/>
              <w:rPr>
                <w:rFonts w:ascii="Times New Roman" w:hAnsi="Times New Roman" w:eastAsia="宋体" w:cs="宋体"/>
                <w:b/>
                <w:bCs w:val="0"/>
                <w:color w:val="auto"/>
                <w:kern w:val="2"/>
                <w:sz w:val="21"/>
                <w:szCs w:val="21"/>
                <w:lang w:val="en-US" w:eastAsia="zh-CN" w:bidi="ar-SA"/>
              </w:rPr>
            </w:pPr>
            <w:r>
              <w:rPr>
                <w:rFonts w:ascii="Times New Roman" w:hAnsi="Times New Roman" w:eastAsia="宋体" w:cs="宋体"/>
                <w:b/>
                <w:bCs w:val="0"/>
                <w:color w:val="auto"/>
                <w:kern w:val="2"/>
                <w:sz w:val="21"/>
                <w:szCs w:val="21"/>
                <w:lang w:val="en-US" w:eastAsia="zh-CN" w:bidi="ar-SA"/>
              </w:rPr>
              <w:t>配发数量</w:t>
            </w:r>
          </w:p>
        </w:tc>
        <w:tc>
          <w:tcPr>
            <w:tcW w:w="1870" w:type="dxa"/>
            <w:noWrap w:val="0"/>
            <w:vAlign w:val="center"/>
          </w:tcPr>
          <w:p w14:paraId="5E785311">
            <w:pPr>
              <w:widowControl w:val="0"/>
              <w:adjustRightInd w:val="0"/>
              <w:snapToGrid w:val="0"/>
              <w:spacing w:line="240" w:lineRule="auto"/>
              <w:ind w:firstLine="0" w:firstLineChars="0"/>
              <w:jc w:val="center"/>
              <w:rPr>
                <w:rFonts w:ascii="Times New Roman" w:hAnsi="Times New Roman" w:eastAsia="宋体" w:cs="宋体"/>
                <w:b/>
                <w:bCs w:val="0"/>
                <w:color w:val="auto"/>
                <w:kern w:val="2"/>
                <w:sz w:val="21"/>
                <w:szCs w:val="21"/>
                <w:lang w:val="en-US" w:eastAsia="zh-CN" w:bidi="ar-SA"/>
              </w:rPr>
            </w:pPr>
            <w:r>
              <w:rPr>
                <w:rFonts w:ascii="Times New Roman" w:hAnsi="Times New Roman" w:eastAsia="宋体" w:cs="宋体"/>
                <w:b/>
                <w:bCs w:val="0"/>
                <w:color w:val="auto"/>
                <w:kern w:val="2"/>
                <w:sz w:val="21"/>
                <w:szCs w:val="21"/>
                <w:lang w:val="en-US" w:eastAsia="zh-CN" w:bidi="ar-SA"/>
              </w:rPr>
              <w:t>维护保养</w:t>
            </w:r>
          </w:p>
        </w:tc>
      </w:tr>
      <w:tr w14:paraId="1A256CE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12213F51">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1</w:t>
            </w:r>
          </w:p>
        </w:tc>
        <w:tc>
          <w:tcPr>
            <w:tcW w:w="2077" w:type="dxa"/>
            <w:noWrap w:val="0"/>
            <w:vAlign w:val="center"/>
          </w:tcPr>
          <w:p w14:paraId="41CBC66E">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工作服</w:t>
            </w:r>
          </w:p>
        </w:tc>
        <w:tc>
          <w:tcPr>
            <w:tcW w:w="2566" w:type="dxa"/>
            <w:noWrap w:val="0"/>
            <w:vAlign w:val="center"/>
          </w:tcPr>
          <w:p w14:paraId="7A686308">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全体员工</w:t>
            </w:r>
          </w:p>
        </w:tc>
        <w:tc>
          <w:tcPr>
            <w:tcW w:w="1045" w:type="dxa"/>
            <w:noWrap w:val="0"/>
            <w:vAlign w:val="center"/>
          </w:tcPr>
          <w:p w14:paraId="59644FA2">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w:t>
            </w:r>
            <w:r>
              <w:rPr>
                <w:rFonts w:hint="eastAsia" w:ascii="Times New Roman" w:hAnsi="Times New Roman" w:eastAsia="宋体" w:cs="宋体"/>
                <w:b w:val="0"/>
                <w:bCs/>
                <w:color w:val="auto"/>
                <w:kern w:val="2"/>
                <w:sz w:val="21"/>
                <w:szCs w:val="21"/>
                <w:lang w:val="en-US" w:eastAsia="zh-CN" w:bidi="ar-SA"/>
              </w:rPr>
              <w:t>1</w:t>
            </w:r>
            <w:r>
              <w:rPr>
                <w:rFonts w:ascii="Times New Roman" w:hAnsi="Times New Roman" w:eastAsia="宋体" w:cs="宋体"/>
                <w:b w:val="0"/>
                <w:bCs/>
                <w:color w:val="auto"/>
                <w:kern w:val="2"/>
                <w:sz w:val="21"/>
                <w:szCs w:val="21"/>
                <w:lang w:val="en-US" w:eastAsia="zh-CN" w:bidi="ar-SA"/>
              </w:rPr>
              <w:t>套</w:t>
            </w:r>
          </w:p>
        </w:tc>
        <w:tc>
          <w:tcPr>
            <w:tcW w:w="940" w:type="dxa"/>
            <w:noWrap w:val="0"/>
            <w:vAlign w:val="center"/>
          </w:tcPr>
          <w:p w14:paraId="4424BCFA">
            <w:pPr>
              <w:widowControl w:val="0"/>
              <w:adjustRightInd w:val="0"/>
              <w:snapToGrid w:val="0"/>
              <w:spacing w:line="240" w:lineRule="auto"/>
              <w:ind w:firstLine="0" w:firstLineChars="0"/>
              <w:jc w:val="center"/>
              <w:rPr>
                <w:rFonts w:hint="default"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34</w:t>
            </w:r>
          </w:p>
        </w:tc>
        <w:tc>
          <w:tcPr>
            <w:tcW w:w="1870" w:type="dxa"/>
            <w:noWrap w:val="0"/>
            <w:vAlign w:val="center"/>
          </w:tcPr>
          <w:p w14:paraId="0555C51B">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定期清洗、消毒</w:t>
            </w:r>
          </w:p>
        </w:tc>
      </w:tr>
      <w:tr w14:paraId="3337DC32">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4F32B504">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2</w:t>
            </w:r>
          </w:p>
        </w:tc>
        <w:tc>
          <w:tcPr>
            <w:tcW w:w="2077" w:type="dxa"/>
            <w:noWrap w:val="0"/>
            <w:vAlign w:val="center"/>
          </w:tcPr>
          <w:p w14:paraId="27CBB204">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安全帽</w:t>
            </w:r>
          </w:p>
        </w:tc>
        <w:tc>
          <w:tcPr>
            <w:tcW w:w="2566" w:type="dxa"/>
            <w:noWrap w:val="0"/>
            <w:vAlign w:val="center"/>
          </w:tcPr>
          <w:p w14:paraId="5F69B9B5">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全体员工</w:t>
            </w:r>
          </w:p>
        </w:tc>
        <w:tc>
          <w:tcPr>
            <w:tcW w:w="1045" w:type="dxa"/>
            <w:noWrap w:val="0"/>
            <w:vAlign w:val="center"/>
          </w:tcPr>
          <w:p w14:paraId="36DA3B26">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w:t>
            </w:r>
            <w:r>
              <w:rPr>
                <w:rFonts w:hint="eastAsia" w:ascii="Times New Roman" w:hAnsi="Times New Roman" w:eastAsia="宋体" w:cs="宋体"/>
                <w:b w:val="0"/>
                <w:bCs/>
                <w:color w:val="auto"/>
                <w:kern w:val="2"/>
                <w:sz w:val="21"/>
                <w:szCs w:val="21"/>
                <w:lang w:val="en-US" w:eastAsia="zh-CN" w:bidi="ar-SA"/>
              </w:rPr>
              <w:t>1</w:t>
            </w:r>
            <w:r>
              <w:rPr>
                <w:rFonts w:ascii="Times New Roman" w:hAnsi="Times New Roman" w:eastAsia="宋体" w:cs="宋体"/>
                <w:b w:val="0"/>
                <w:bCs/>
                <w:color w:val="auto"/>
                <w:kern w:val="2"/>
                <w:sz w:val="21"/>
                <w:szCs w:val="21"/>
                <w:lang w:val="en-US" w:eastAsia="zh-CN" w:bidi="ar-SA"/>
              </w:rPr>
              <w:t>顶</w:t>
            </w:r>
          </w:p>
        </w:tc>
        <w:tc>
          <w:tcPr>
            <w:tcW w:w="940" w:type="dxa"/>
            <w:noWrap w:val="0"/>
            <w:vAlign w:val="center"/>
          </w:tcPr>
          <w:p w14:paraId="4297AA61">
            <w:pPr>
              <w:widowControl w:val="0"/>
              <w:adjustRightInd w:val="0"/>
              <w:snapToGrid w:val="0"/>
              <w:spacing w:line="240" w:lineRule="auto"/>
              <w:ind w:firstLine="0" w:firstLineChars="0"/>
              <w:jc w:val="center"/>
              <w:rPr>
                <w:rFonts w:hint="default"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34</w:t>
            </w:r>
          </w:p>
        </w:tc>
        <w:tc>
          <w:tcPr>
            <w:tcW w:w="1870" w:type="dxa"/>
            <w:noWrap w:val="0"/>
            <w:vAlign w:val="center"/>
          </w:tcPr>
          <w:p w14:paraId="350221AF">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定期检查</w:t>
            </w:r>
          </w:p>
        </w:tc>
      </w:tr>
      <w:tr w14:paraId="39D55CE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05346E3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3</w:t>
            </w:r>
          </w:p>
        </w:tc>
        <w:tc>
          <w:tcPr>
            <w:tcW w:w="2077" w:type="dxa"/>
            <w:noWrap w:val="0"/>
            <w:vAlign w:val="center"/>
          </w:tcPr>
          <w:p w14:paraId="2622ED7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安全绳</w:t>
            </w:r>
          </w:p>
        </w:tc>
        <w:tc>
          <w:tcPr>
            <w:tcW w:w="2566" w:type="dxa"/>
            <w:noWrap w:val="0"/>
            <w:vAlign w:val="center"/>
          </w:tcPr>
          <w:p w14:paraId="2806E82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边坡检查人员</w:t>
            </w:r>
          </w:p>
        </w:tc>
        <w:tc>
          <w:tcPr>
            <w:tcW w:w="1045" w:type="dxa"/>
            <w:noWrap w:val="0"/>
            <w:vAlign w:val="center"/>
          </w:tcPr>
          <w:p w14:paraId="12689FBB">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每人2套</w:t>
            </w:r>
          </w:p>
        </w:tc>
        <w:tc>
          <w:tcPr>
            <w:tcW w:w="940" w:type="dxa"/>
            <w:noWrap w:val="0"/>
            <w:vAlign w:val="center"/>
          </w:tcPr>
          <w:p w14:paraId="3D14C154">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4</w:t>
            </w:r>
          </w:p>
        </w:tc>
        <w:tc>
          <w:tcPr>
            <w:tcW w:w="1870" w:type="dxa"/>
            <w:noWrap w:val="0"/>
            <w:vAlign w:val="center"/>
          </w:tcPr>
          <w:p w14:paraId="4088D156">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定期检查</w:t>
            </w:r>
          </w:p>
        </w:tc>
      </w:tr>
      <w:tr w14:paraId="37B92750">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785AFEE9">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4</w:t>
            </w:r>
          </w:p>
        </w:tc>
        <w:tc>
          <w:tcPr>
            <w:tcW w:w="2077" w:type="dxa"/>
            <w:noWrap w:val="0"/>
            <w:vAlign w:val="center"/>
          </w:tcPr>
          <w:p w14:paraId="14BA963D">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防尘口罩（3Mn95）</w:t>
            </w:r>
          </w:p>
        </w:tc>
        <w:tc>
          <w:tcPr>
            <w:tcW w:w="2566" w:type="dxa"/>
            <w:noWrap w:val="0"/>
            <w:vAlign w:val="center"/>
          </w:tcPr>
          <w:p w14:paraId="2CC01270">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接尘人员</w:t>
            </w:r>
          </w:p>
        </w:tc>
        <w:tc>
          <w:tcPr>
            <w:tcW w:w="1045" w:type="dxa"/>
            <w:noWrap w:val="0"/>
            <w:vAlign w:val="center"/>
          </w:tcPr>
          <w:p w14:paraId="3A5D1575">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每人10个</w:t>
            </w:r>
          </w:p>
        </w:tc>
        <w:tc>
          <w:tcPr>
            <w:tcW w:w="940" w:type="dxa"/>
            <w:noWrap w:val="0"/>
            <w:vAlign w:val="center"/>
          </w:tcPr>
          <w:p w14:paraId="7CE891BE">
            <w:pPr>
              <w:widowControl w:val="0"/>
              <w:adjustRightInd w:val="0"/>
              <w:snapToGrid w:val="0"/>
              <w:spacing w:line="240" w:lineRule="auto"/>
              <w:ind w:firstLine="0" w:firstLineChars="0"/>
              <w:jc w:val="center"/>
              <w:rPr>
                <w:rFonts w:hint="default"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340</w:t>
            </w:r>
          </w:p>
        </w:tc>
        <w:tc>
          <w:tcPr>
            <w:tcW w:w="1870" w:type="dxa"/>
            <w:noWrap w:val="0"/>
            <w:vAlign w:val="center"/>
          </w:tcPr>
          <w:p w14:paraId="19340D78">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使用过后立即更换</w:t>
            </w:r>
          </w:p>
        </w:tc>
      </w:tr>
      <w:tr w14:paraId="095BB44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0E6DE2F4">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5</w:t>
            </w:r>
          </w:p>
        </w:tc>
        <w:tc>
          <w:tcPr>
            <w:tcW w:w="2077" w:type="dxa"/>
            <w:noWrap w:val="0"/>
            <w:vAlign w:val="center"/>
          </w:tcPr>
          <w:p w14:paraId="58C029EB">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防噪声耳塞</w:t>
            </w:r>
          </w:p>
        </w:tc>
        <w:tc>
          <w:tcPr>
            <w:tcW w:w="2566" w:type="dxa"/>
            <w:noWrap w:val="0"/>
            <w:vAlign w:val="center"/>
          </w:tcPr>
          <w:p w14:paraId="1902D161">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采场作业人员、管理人员</w:t>
            </w:r>
          </w:p>
        </w:tc>
        <w:tc>
          <w:tcPr>
            <w:tcW w:w="1045" w:type="dxa"/>
            <w:noWrap w:val="0"/>
            <w:vAlign w:val="center"/>
          </w:tcPr>
          <w:p w14:paraId="0F0CC079">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w:t>
            </w:r>
            <w:r>
              <w:rPr>
                <w:rFonts w:hint="eastAsia" w:ascii="Times New Roman" w:hAnsi="Times New Roman" w:eastAsia="宋体" w:cs="宋体"/>
                <w:b w:val="0"/>
                <w:bCs/>
                <w:color w:val="auto"/>
                <w:kern w:val="2"/>
                <w:sz w:val="21"/>
                <w:szCs w:val="21"/>
                <w:lang w:val="en-US" w:eastAsia="zh-CN" w:bidi="ar-SA"/>
              </w:rPr>
              <w:t>1</w:t>
            </w:r>
            <w:r>
              <w:rPr>
                <w:rFonts w:ascii="Times New Roman" w:hAnsi="Times New Roman" w:eastAsia="宋体" w:cs="宋体"/>
                <w:b w:val="0"/>
                <w:bCs/>
                <w:color w:val="auto"/>
                <w:kern w:val="2"/>
                <w:sz w:val="21"/>
                <w:szCs w:val="21"/>
                <w:lang w:val="en-US" w:eastAsia="zh-CN" w:bidi="ar-SA"/>
              </w:rPr>
              <w:t>个</w:t>
            </w:r>
          </w:p>
        </w:tc>
        <w:tc>
          <w:tcPr>
            <w:tcW w:w="940" w:type="dxa"/>
            <w:noWrap w:val="0"/>
            <w:vAlign w:val="center"/>
          </w:tcPr>
          <w:p w14:paraId="16CD2720">
            <w:pPr>
              <w:widowControl w:val="0"/>
              <w:adjustRightInd w:val="0"/>
              <w:snapToGrid w:val="0"/>
              <w:spacing w:line="240" w:lineRule="auto"/>
              <w:ind w:firstLine="0" w:firstLineChars="0"/>
              <w:jc w:val="center"/>
              <w:rPr>
                <w:rFonts w:hint="default"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34</w:t>
            </w:r>
          </w:p>
        </w:tc>
        <w:tc>
          <w:tcPr>
            <w:tcW w:w="1870" w:type="dxa"/>
            <w:noWrap w:val="0"/>
            <w:vAlign w:val="center"/>
          </w:tcPr>
          <w:p w14:paraId="6D41E623">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定期检查</w:t>
            </w:r>
          </w:p>
        </w:tc>
      </w:tr>
      <w:tr w14:paraId="2764DA3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433D592D">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6</w:t>
            </w:r>
          </w:p>
        </w:tc>
        <w:tc>
          <w:tcPr>
            <w:tcW w:w="2077" w:type="dxa"/>
            <w:noWrap w:val="0"/>
            <w:vAlign w:val="center"/>
          </w:tcPr>
          <w:p w14:paraId="4B010164">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防护手套</w:t>
            </w:r>
          </w:p>
        </w:tc>
        <w:tc>
          <w:tcPr>
            <w:tcW w:w="2566" w:type="dxa"/>
            <w:noWrap w:val="0"/>
            <w:vAlign w:val="center"/>
          </w:tcPr>
          <w:p w14:paraId="0801F018">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全体人员</w:t>
            </w:r>
          </w:p>
        </w:tc>
        <w:tc>
          <w:tcPr>
            <w:tcW w:w="1045" w:type="dxa"/>
            <w:noWrap w:val="0"/>
            <w:vAlign w:val="center"/>
          </w:tcPr>
          <w:p w14:paraId="031E12B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w:t>
            </w:r>
            <w:r>
              <w:rPr>
                <w:rFonts w:hint="eastAsia" w:ascii="Times New Roman" w:hAnsi="Times New Roman" w:eastAsia="宋体" w:cs="宋体"/>
                <w:b w:val="0"/>
                <w:bCs/>
                <w:color w:val="auto"/>
                <w:kern w:val="2"/>
                <w:sz w:val="21"/>
                <w:szCs w:val="21"/>
                <w:lang w:val="en-US" w:eastAsia="zh-CN" w:bidi="ar-SA"/>
              </w:rPr>
              <w:t>2</w:t>
            </w:r>
            <w:r>
              <w:rPr>
                <w:rFonts w:ascii="Times New Roman" w:hAnsi="Times New Roman" w:eastAsia="宋体" w:cs="宋体"/>
                <w:b w:val="0"/>
                <w:bCs/>
                <w:color w:val="auto"/>
                <w:kern w:val="2"/>
                <w:sz w:val="21"/>
                <w:szCs w:val="21"/>
                <w:lang w:val="en-US" w:eastAsia="zh-CN" w:bidi="ar-SA"/>
              </w:rPr>
              <w:t>套</w:t>
            </w:r>
          </w:p>
        </w:tc>
        <w:tc>
          <w:tcPr>
            <w:tcW w:w="940" w:type="dxa"/>
            <w:noWrap w:val="0"/>
            <w:vAlign w:val="center"/>
          </w:tcPr>
          <w:p w14:paraId="6484B569">
            <w:pPr>
              <w:widowControl w:val="0"/>
              <w:adjustRightInd w:val="0"/>
              <w:snapToGrid w:val="0"/>
              <w:spacing w:line="240" w:lineRule="auto"/>
              <w:ind w:firstLine="0" w:firstLineChars="0"/>
              <w:jc w:val="center"/>
              <w:rPr>
                <w:rFonts w:hint="default"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68</w:t>
            </w:r>
          </w:p>
        </w:tc>
        <w:tc>
          <w:tcPr>
            <w:tcW w:w="1870" w:type="dxa"/>
            <w:noWrap w:val="0"/>
            <w:vAlign w:val="center"/>
          </w:tcPr>
          <w:p w14:paraId="7C91F033">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定期更换</w:t>
            </w:r>
          </w:p>
        </w:tc>
      </w:tr>
      <w:tr w14:paraId="10F818F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0FAB6685">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7</w:t>
            </w:r>
          </w:p>
        </w:tc>
        <w:tc>
          <w:tcPr>
            <w:tcW w:w="2077" w:type="dxa"/>
            <w:noWrap w:val="0"/>
            <w:vAlign w:val="center"/>
          </w:tcPr>
          <w:p w14:paraId="2E4D73FC">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焊接面罩</w:t>
            </w:r>
          </w:p>
        </w:tc>
        <w:tc>
          <w:tcPr>
            <w:tcW w:w="2566" w:type="dxa"/>
            <w:noWrap w:val="0"/>
            <w:vAlign w:val="center"/>
          </w:tcPr>
          <w:p w14:paraId="04F708A1">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电焊工</w:t>
            </w:r>
          </w:p>
        </w:tc>
        <w:tc>
          <w:tcPr>
            <w:tcW w:w="1045" w:type="dxa"/>
            <w:noWrap w:val="0"/>
            <w:vAlign w:val="center"/>
          </w:tcPr>
          <w:p w14:paraId="58D86C88">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w:t>
            </w:r>
            <w:r>
              <w:rPr>
                <w:rFonts w:hint="eastAsia" w:ascii="Times New Roman" w:hAnsi="Times New Roman" w:eastAsia="宋体" w:cs="宋体"/>
                <w:b w:val="0"/>
                <w:bCs/>
                <w:color w:val="auto"/>
                <w:kern w:val="2"/>
                <w:sz w:val="21"/>
                <w:szCs w:val="21"/>
                <w:lang w:val="en-US" w:eastAsia="zh-CN" w:bidi="ar-SA"/>
              </w:rPr>
              <w:t>1</w:t>
            </w:r>
            <w:r>
              <w:rPr>
                <w:rFonts w:ascii="Times New Roman" w:hAnsi="Times New Roman" w:eastAsia="宋体" w:cs="宋体"/>
                <w:b w:val="0"/>
                <w:bCs/>
                <w:color w:val="auto"/>
                <w:kern w:val="2"/>
                <w:sz w:val="21"/>
                <w:szCs w:val="21"/>
                <w:lang w:val="en-US" w:eastAsia="zh-CN" w:bidi="ar-SA"/>
              </w:rPr>
              <w:t>套</w:t>
            </w:r>
          </w:p>
        </w:tc>
        <w:tc>
          <w:tcPr>
            <w:tcW w:w="940" w:type="dxa"/>
            <w:noWrap w:val="0"/>
            <w:vAlign w:val="center"/>
          </w:tcPr>
          <w:p w14:paraId="2285E3A4">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2</w:t>
            </w:r>
          </w:p>
        </w:tc>
        <w:tc>
          <w:tcPr>
            <w:tcW w:w="1870" w:type="dxa"/>
            <w:noWrap w:val="0"/>
            <w:vAlign w:val="center"/>
          </w:tcPr>
          <w:p w14:paraId="0A27789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定期检查</w:t>
            </w:r>
          </w:p>
        </w:tc>
      </w:tr>
      <w:tr w14:paraId="07D773B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6D8CCCBC">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8</w:t>
            </w:r>
          </w:p>
        </w:tc>
        <w:tc>
          <w:tcPr>
            <w:tcW w:w="2077" w:type="dxa"/>
            <w:noWrap w:val="0"/>
            <w:vAlign w:val="center"/>
          </w:tcPr>
          <w:p w14:paraId="34051CA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焊接手套</w:t>
            </w:r>
          </w:p>
        </w:tc>
        <w:tc>
          <w:tcPr>
            <w:tcW w:w="2566" w:type="dxa"/>
            <w:noWrap w:val="0"/>
            <w:vAlign w:val="center"/>
          </w:tcPr>
          <w:p w14:paraId="4CF3AA5B">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电焊工</w:t>
            </w:r>
          </w:p>
        </w:tc>
        <w:tc>
          <w:tcPr>
            <w:tcW w:w="1045" w:type="dxa"/>
            <w:noWrap w:val="0"/>
            <w:vAlign w:val="center"/>
          </w:tcPr>
          <w:p w14:paraId="3D556E3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w:t>
            </w:r>
            <w:r>
              <w:rPr>
                <w:rFonts w:hint="eastAsia" w:ascii="Times New Roman" w:hAnsi="Times New Roman" w:eastAsia="宋体" w:cs="宋体"/>
                <w:b w:val="0"/>
                <w:bCs/>
                <w:color w:val="auto"/>
                <w:kern w:val="2"/>
                <w:sz w:val="21"/>
                <w:szCs w:val="21"/>
                <w:lang w:val="en-US" w:eastAsia="zh-CN" w:bidi="ar-SA"/>
              </w:rPr>
              <w:t>1</w:t>
            </w:r>
            <w:r>
              <w:rPr>
                <w:rFonts w:ascii="Times New Roman" w:hAnsi="Times New Roman" w:eastAsia="宋体" w:cs="宋体"/>
                <w:b w:val="0"/>
                <w:bCs/>
                <w:color w:val="auto"/>
                <w:kern w:val="2"/>
                <w:sz w:val="21"/>
                <w:szCs w:val="21"/>
                <w:lang w:val="en-US" w:eastAsia="zh-CN" w:bidi="ar-SA"/>
              </w:rPr>
              <w:t>套</w:t>
            </w:r>
          </w:p>
        </w:tc>
        <w:tc>
          <w:tcPr>
            <w:tcW w:w="940" w:type="dxa"/>
            <w:noWrap w:val="0"/>
            <w:vAlign w:val="center"/>
          </w:tcPr>
          <w:p w14:paraId="6117E3DF">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2</w:t>
            </w:r>
          </w:p>
        </w:tc>
        <w:tc>
          <w:tcPr>
            <w:tcW w:w="1870" w:type="dxa"/>
            <w:noWrap w:val="0"/>
            <w:vAlign w:val="center"/>
          </w:tcPr>
          <w:p w14:paraId="6A2F4E67">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定期检查</w:t>
            </w:r>
          </w:p>
        </w:tc>
      </w:tr>
      <w:tr w14:paraId="457B7FB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5" w:type="dxa"/>
            <w:noWrap w:val="0"/>
            <w:vAlign w:val="center"/>
          </w:tcPr>
          <w:p w14:paraId="5450A04F">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9</w:t>
            </w:r>
          </w:p>
        </w:tc>
        <w:tc>
          <w:tcPr>
            <w:tcW w:w="2077" w:type="dxa"/>
            <w:noWrap w:val="0"/>
            <w:vAlign w:val="center"/>
          </w:tcPr>
          <w:p w14:paraId="6A886C2D">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防振动手套</w:t>
            </w:r>
          </w:p>
        </w:tc>
        <w:tc>
          <w:tcPr>
            <w:tcW w:w="2566" w:type="dxa"/>
            <w:noWrap w:val="0"/>
            <w:vAlign w:val="center"/>
          </w:tcPr>
          <w:p w14:paraId="75E17829">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接触振动人员</w:t>
            </w:r>
          </w:p>
        </w:tc>
        <w:tc>
          <w:tcPr>
            <w:tcW w:w="1045" w:type="dxa"/>
            <w:noWrap w:val="0"/>
            <w:vAlign w:val="center"/>
          </w:tcPr>
          <w:p w14:paraId="097E4E3C">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每人</w:t>
            </w:r>
            <w:r>
              <w:rPr>
                <w:rFonts w:hint="eastAsia" w:ascii="Times New Roman" w:hAnsi="Times New Roman" w:eastAsia="宋体" w:cs="宋体"/>
                <w:b w:val="0"/>
                <w:bCs/>
                <w:color w:val="auto"/>
                <w:kern w:val="2"/>
                <w:sz w:val="21"/>
                <w:szCs w:val="21"/>
                <w:lang w:val="en-US" w:eastAsia="zh-CN" w:bidi="ar-SA"/>
              </w:rPr>
              <w:t>1</w:t>
            </w:r>
            <w:r>
              <w:rPr>
                <w:rFonts w:ascii="Times New Roman" w:hAnsi="Times New Roman" w:eastAsia="宋体" w:cs="宋体"/>
                <w:b w:val="0"/>
                <w:bCs/>
                <w:color w:val="auto"/>
                <w:kern w:val="2"/>
                <w:sz w:val="21"/>
                <w:szCs w:val="21"/>
                <w:lang w:val="en-US" w:eastAsia="zh-CN" w:bidi="ar-SA"/>
              </w:rPr>
              <w:t>套</w:t>
            </w:r>
          </w:p>
        </w:tc>
        <w:tc>
          <w:tcPr>
            <w:tcW w:w="940" w:type="dxa"/>
            <w:noWrap w:val="0"/>
            <w:vAlign w:val="center"/>
          </w:tcPr>
          <w:p w14:paraId="648E3419">
            <w:pPr>
              <w:widowControl w:val="0"/>
              <w:adjustRightInd w:val="0"/>
              <w:snapToGrid w:val="0"/>
              <w:spacing w:line="240" w:lineRule="auto"/>
              <w:ind w:firstLine="0" w:firstLineChars="0"/>
              <w:jc w:val="center"/>
              <w:rPr>
                <w:rFonts w:hint="default" w:ascii="Times New Roman" w:hAnsi="Times New Roman" w:eastAsia="宋体" w:cs="宋体"/>
                <w:b w:val="0"/>
                <w:bCs/>
                <w:color w:val="auto"/>
                <w:kern w:val="2"/>
                <w:sz w:val="21"/>
                <w:szCs w:val="21"/>
                <w:lang w:val="en-US" w:eastAsia="zh-CN" w:bidi="ar-SA"/>
              </w:rPr>
            </w:pPr>
            <w:r>
              <w:rPr>
                <w:rFonts w:hint="eastAsia" w:ascii="Times New Roman" w:hAnsi="Times New Roman" w:eastAsia="宋体" w:cs="宋体"/>
                <w:b w:val="0"/>
                <w:bCs/>
                <w:color w:val="auto"/>
                <w:kern w:val="2"/>
                <w:sz w:val="21"/>
                <w:szCs w:val="21"/>
                <w:lang w:val="en-US" w:eastAsia="zh-CN" w:bidi="ar-SA"/>
              </w:rPr>
              <w:t>34</w:t>
            </w:r>
          </w:p>
        </w:tc>
        <w:tc>
          <w:tcPr>
            <w:tcW w:w="1870" w:type="dxa"/>
            <w:noWrap w:val="0"/>
            <w:vAlign w:val="center"/>
          </w:tcPr>
          <w:p w14:paraId="6B9B2B3A">
            <w:pPr>
              <w:widowControl w:val="0"/>
              <w:adjustRightInd w:val="0"/>
              <w:snapToGrid w:val="0"/>
              <w:spacing w:line="240" w:lineRule="auto"/>
              <w:ind w:firstLine="0" w:firstLineChars="0"/>
              <w:jc w:val="center"/>
              <w:rPr>
                <w:rFonts w:ascii="Times New Roman" w:hAnsi="Times New Roman" w:eastAsia="宋体" w:cs="宋体"/>
                <w:b w:val="0"/>
                <w:bCs/>
                <w:color w:val="auto"/>
                <w:kern w:val="2"/>
                <w:sz w:val="21"/>
                <w:szCs w:val="21"/>
                <w:lang w:val="en-US" w:eastAsia="zh-CN" w:bidi="ar-SA"/>
              </w:rPr>
            </w:pPr>
            <w:r>
              <w:rPr>
                <w:rFonts w:ascii="Times New Roman" w:hAnsi="Times New Roman" w:eastAsia="宋体" w:cs="宋体"/>
                <w:b w:val="0"/>
                <w:bCs/>
                <w:color w:val="auto"/>
                <w:kern w:val="2"/>
                <w:sz w:val="21"/>
                <w:szCs w:val="21"/>
                <w:lang w:val="en-US" w:eastAsia="zh-CN" w:bidi="ar-SA"/>
              </w:rPr>
              <w:t>定期更换</w:t>
            </w:r>
          </w:p>
        </w:tc>
      </w:tr>
    </w:tbl>
    <w:p w14:paraId="45D7E102">
      <w:pPr>
        <w:bidi w:val="0"/>
      </w:pPr>
      <w:r>
        <w:rPr>
          <w:rFonts w:hint="eastAsia"/>
          <w:lang w:val="en-US" w:eastAsia="zh-CN"/>
        </w:rPr>
        <w:t>3、</w:t>
      </w:r>
      <w:r>
        <w:t>结论：矿山个人安全防护满足竣工验收要求。</w:t>
      </w:r>
    </w:p>
    <w:p w14:paraId="4B28836D">
      <w:pPr>
        <w:pStyle w:val="4"/>
        <w:rPr>
          <w:rFonts w:hint="eastAsia"/>
          <w:lang w:val="en-US" w:eastAsia="zh-CN"/>
        </w:rPr>
      </w:pPr>
      <w:bookmarkStart w:id="222" w:name="_Toc214284018"/>
      <w:bookmarkStart w:id="223" w:name="_Toc32030"/>
      <w:bookmarkStart w:id="224" w:name="_Toc7019"/>
      <w:r>
        <w:t>2.4.1</w:t>
      </w:r>
      <w:r>
        <w:rPr>
          <w:rFonts w:hint="eastAsia"/>
          <w:lang w:val="en-US" w:eastAsia="zh-CN"/>
        </w:rPr>
        <w:t>1</w:t>
      </w:r>
      <w:r>
        <w:t>安全标志</w:t>
      </w:r>
      <w:bookmarkEnd w:id="222"/>
      <w:bookmarkEnd w:id="223"/>
      <w:bookmarkEnd w:id="224"/>
    </w:p>
    <w:p w14:paraId="145927F5">
      <w:pPr>
        <w:bidi w:val="0"/>
      </w:pPr>
      <w:r>
        <w:t>设计根据矿山的实际情况，设置的安全标志情况如表</w:t>
      </w:r>
      <w:r>
        <w:rPr>
          <w:rFonts w:hint="eastAsia"/>
          <w:lang w:val="en-US" w:eastAsia="zh-CN"/>
        </w:rPr>
        <w:t>2.4-7</w:t>
      </w:r>
      <w:r>
        <w:t>所示，矿山在后续的生产过程中可根据实际情况进行增、减，但必须保证所设置的安全标志清晰、完好。</w:t>
      </w:r>
    </w:p>
    <w:p w14:paraId="101F4B26">
      <w:pPr>
        <w:pStyle w:val="45"/>
        <w:spacing w:before="0" w:beforeLines="-2147483648" w:after="0" w:afterLines="-2147483648" w:line="240" w:lineRule="auto"/>
        <w:rPr>
          <w:rFonts w:ascii="Times New Roman" w:hAnsi="Times New Roman" w:eastAsia="宋体" w:cs="宋体"/>
          <w:spacing w:val="0"/>
          <w:sz w:val="24"/>
          <w:szCs w:val="20"/>
        </w:rPr>
      </w:pPr>
      <w:r>
        <w:rPr>
          <w:rFonts w:ascii="Times New Roman" w:hAnsi="Times New Roman" w:eastAsia="宋体" w:cs="宋体"/>
          <w:spacing w:val="0"/>
          <w:sz w:val="24"/>
          <w:szCs w:val="20"/>
        </w:rPr>
        <w:t>表</w:t>
      </w:r>
      <w:r>
        <w:rPr>
          <w:rFonts w:hint="eastAsia" w:ascii="Times New Roman" w:hAnsi="Times New Roman" w:eastAsia="宋体" w:cs="宋体"/>
          <w:spacing w:val="0"/>
          <w:sz w:val="24"/>
          <w:szCs w:val="20"/>
          <w:lang w:val="en-US" w:eastAsia="zh-CN"/>
        </w:rPr>
        <w:t>2.4-</w:t>
      </w:r>
      <w:r>
        <w:rPr>
          <w:rFonts w:hint="eastAsia" w:cs="宋体"/>
          <w:spacing w:val="0"/>
          <w:sz w:val="24"/>
          <w:szCs w:val="20"/>
          <w:lang w:val="en-US" w:eastAsia="zh-CN"/>
        </w:rPr>
        <w:t>7</w:t>
      </w:r>
      <w:r>
        <w:rPr>
          <w:rFonts w:ascii="Times New Roman" w:hAnsi="Times New Roman" w:eastAsia="宋体" w:cs="宋体"/>
          <w:spacing w:val="0"/>
          <w:sz w:val="24"/>
          <w:szCs w:val="20"/>
        </w:rPr>
        <w:t>安全标志设置表</w:t>
      </w:r>
    </w:p>
    <w:tbl>
      <w:tblPr>
        <w:tblStyle w:val="35"/>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478"/>
        <w:gridCol w:w="1285"/>
        <w:gridCol w:w="3727"/>
        <w:gridCol w:w="3483"/>
      </w:tblGrid>
      <w:tr w14:paraId="3AFA3BA6">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jc w:val="center"/>
        </w:trPr>
        <w:tc>
          <w:tcPr>
            <w:tcW w:w="478" w:type="dxa"/>
            <w:noWrap w:val="0"/>
            <w:vAlign w:val="center"/>
          </w:tcPr>
          <w:p w14:paraId="5E4012D5">
            <w:pPr>
              <w:pStyle w:val="81"/>
              <w:spacing w:before="0" w:beforeLines="-2147483648" w:after="0" w:afterLines="-2147483648"/>
              <w:rPr>
                <w:rFonts w:ascii="Times New Roman" w:hAnsi="Times New Roman" w:eastAsia="宋体"/>
                <w:spacing w:val="0"/>
                <w:sz w:val="21"/>
              </w:rPr>
            </w:pPr>
            <w:r>
              <w:rPr>
                <w:rFonts w:ascii="Times New Roman" w:hAnsi="Times New Roman" w:eastAsia="宋体"/>
                <w:spacing w:val="0"/>
                <w:sz w:val="21"/>
              </w:rPr>
              <w:t>序号</w:t>
            </w:r>
          </w:p>
        </w:tc>
        <w:tc>
          <w:tcPr>
            <w:tcW w:w="1285" w:type="dxa"/>
            <w:noWrap w:val="0"/>
            <w:vAlign w:val="center"/>
          </w:tcPr>
          <w:p w14:paraId="53078DC6">
            <w:pPr>
              <w:pStyle w:val="81"/>
              <w:spacing w:before="0" w:beforeLines="-2147483648" w:after="0" w:afterLines="-2147483648"/>
              <w:rPr>
                <w:rFonts w:ascii="Times New Roman" w:hAnsi="Times New Roman" w:eastAsia="宋体"/>
                <w:spacing w:val="0"/>
                <w:sz w:val="21"/>
              </w:rPr>
            </w:pPr>
            <w:r>
              <w:rPr>
                <w:rFonts w:ascii="Times New Roman" w:hAnsi="Times New Roman" w:eastAsia="宋体"/>
                <w:spacing w:val="0"/>
                <w:sz w:val="21"/>
              </w:rPr>
              <w:t>设置位置</w:t>
            </w:r>
          </w:p>
        </w:tc>
        <w:tc>
          <w:tcPr>
            <w:tcW w:w="3727" w:type="dxa"/>
            <w:noWrap w:val="0"/>
            <w:vAlign w:val="center"/>
          </w:tcPr>
          <w:p w14:paraId="7CA52CAF">
            <w:pPr>
              <w:pStyle w:val="81"/>
              <w:spacing w:before="0" w:beforeLines="-2147483648" w:after="0" w:afterLines="-2147483648"/>
              <w:rPr>
                <w:rFonts w:ascii="Times New Roman" w:hAnsi="Times New Roman" w:eastAsia="宋体"/>
                <w:spacing w:val="0"/>
                <w:sz w:val="21"/>
              </w:rPr>
            </w:pPr>
            <w:r>
              <w:rPr>
                <w:rFonts w:ascii="Times New Roman" w:hAnsi="Times New Roman" w:eastAsia="宋体"/>
                <w:spacing w:val="0"/>
                <w:sz w:val="21"/>
              </w:rPr>
              <w:t>安全警示牌名称</w:t>
            </w:r>
          </w:p>
        </w:tc>
        <w:tc>
          <w:tcPr>
            <w:tcW w:w="3483" w:type="dxa"/>
            <w:noWrap w:val="0"/>
            <w:vAlign w:val="center"/>
          </w:tcPr>
          <w:p w14:paraId="694F026E">
            <w:pPr>
              <w:pStyle w:val="81"/>
              <w:spacing w:before="0" w:beforeLines="-2147483648" w:after="0" w:afterLines="-2147483648"/>
              <w:rPr>
                <w:rFonts w:ascii="Times New Roman" w:hAnsi="Times New Roman" w:eastAsia="宋体"/>
                <w:spacing w:val="0"/>
                <w:sz w:val="21"/>
              </w:rPr>
            </w:pPr>
            <w:r>
              <w:rPr>
                <w:rFonts w:ascii="Times New Roman" w:hAnsi="Times New Roman" w:eastAsia="宋体"/>
                <w:spacing w:val="0"/>
                <w:sz w:val="21"/>
              </w:rPr>
              <w:t>设置数量</w:t>
            </w:r>
          </w:p>
        </w:tc>
      </w:tr>
      <w:tr w14:paraId="24612A1D">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252FC4CA">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1</w:t>
            </w:r>
          </w:p>
        </w:tc>
        <w:tc>
          <w:tcPr>
            <w:tcW w:w="1285" w:type="dxa"/>
            <w:noWrap w:val="0"/>
            <w:vAlign w:val="center"/>
          </w:tcPr>
          <w:p w14:paraId="421D590A">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采场边界</w:t>
            </w:r>
          </w:p>
          <w:p w14:paraId="36E27B4E">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采空区边界</w:t>
            </w:r>
          </w:p>
        </w:tc>
        <w:tc>
          <w:tcPr>
            <w:tcW w:w="3727" w:type="dxa"/>
            <w:noWrap w:val="0"/>
            <w:vAlign w:val="center"/>
          </w:tcPr>
          <w:p w14:paraId="5B6214FA">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非工作人员，禁止进入采场，危险、请勿靠近，当心坍塌、当心坠落等</w:t>
            </w:r>
          </w:p>
        </w:tc>
        <w:tc>
          <w:tcPr>
            <w:tcW w:w="3483" w:type="dxa"/>
            <w:noWrap w:val="0"/>
            <w:vAlign w:val="center"/>
          </w:tcPr>
          <w:p w14:paraId="5A0788D5">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w:t>
            </w:r>
            <w:r>
              <w:rPr>
                <w:rFonts w:hint="eastAsia" w:ascii="Times New Roman" w:hAnsi="Times New Roman" w:eastAsia="宋体"/>
                <w:b w:val="0"/>
                <w:bCs/>
                <w:spacing w:val="0"/>
                <w:sz w:val="21"/>
              </w:rPr>
              <w:t>20</w:t>
            </w:r>
            <w:r>
              <w:rPr>
                <w:rFonts w:ascii="Times New Roman" w:hAnsi="Times New Roman" w:eastAsia="宋体"/>
                <w:b w:val="0"/>
                <w:bCs/>
                <w:spacing w:val="0"/>
                <w:sz w:val="21"/>
              </w:rPr>
              <w:t>块。</w:t>
            </w:r>
          </w:p>
        </w:tc>
      </w:tr>
      <w:tr w14:paraId="50243D43">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0EB27A83">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2</w:t>
            </w:r>
          </w:p>
        </w:tc>
        <w:tc>
          <w:tcPr>
            <w:tcW w:w="1285" w:type="dxa"/>
            <w:noWrap w:val="0"/>
            <w:vAlign w:val="center"/>
          </w:tcPr>
          <w:p w14:paraId="219EF690">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采场底部</w:t>
            </w:r>
          </w:p>
        </w:tc>
        <w:tc>
          <w:tcPr>
            <w:tcW w:w="3727" w:type="dxa"/>
            <w:noWrap w:val="0"/>
            <w:vAlign w:val="center"/>
          </w:tcPr>
          <w:p w14:paraId="13F7E94F">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当心落石、当心坍塌、当心滑坡等</w:t>
            </w:r>
          </w:p>
        </w:tc>
        <w:tc>
          <w:tcPr>
            <w:tcW w:w="3483" w:type="dxa"/>
            <w:noWrap w:val="0"/>
            <w:vAlign w:val="center"/>
          </w:tcPr>
          <w:p w14:paraId="5EB5393F">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根据实际情况设置，但每处不少于1块，总数不少于10块。</w:t>
            </w:r>
          </w:p>
        </w:tc>
      </w:tr>
      <w:tr w14:paraId="4CB755C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3AB58F90">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3</w:t>
            </w:r>
          </w:p>
        </w:tc>
        <w:tc>
          <w:tcPr>
            <w:tcW w:w="1285" w:type="dxa"/>
            <w:noWrap w:val="0"/>
            <w:vAlign w:val="center"/>
          </w:tcPr>
          <w:p w14:paraId="23B22E86">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爆破警戒范围</w:t>
            </w:r>
          </w:p>
        </w:tc>
        <w:tc>
          <w:tcPr>
            <w:tcW w:w="3727" w:type="dxa"/>
            <w:noWrap w:val="0"/>
            <w:vAlign w:val="center"/>
          </w:tcPr>
          <w:p w14:paraId="0382734C">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爆破警戒区域，严禁进入</w:t>
            </w:r>
          </w:p>
        </w:tc>
        <w:tc>
          <w:tcPr>
            <w:tcW w:w="3483" w:type="dxa"/>
            <w:noWrap w:val="0"/>
            <w:vAlign w:val="center"/>
          </w:tcPr>
          <w:p w14:paraId="5565C68A">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w:t>
            </w:r>
            <w:r>
              <w:rPr>
                <w:rFonts w:hint="eastAsia" w:ascii="Times New Roman" w:hAnsi="Times New Roman" w:eastAsia="宋体"/>
                <w:b w:val="0"/>
                <w:bCs/>
                <w:spacing w:val="0"/>
                <w:sz w:val="21"/>
              </w:rPr>
              <w:t>8</w:t>
            </w:r>
            <w:r>
              <w:rPr>
                <w:rFonts w:ascii="Times New Roman" w:hAnsi="Times New Roman" w:eastAsia="宋体"/>
                <w:b w:val="0"/>
                <w:bCs/>
                <w:spacing w:val="0"/>
                <w:sz w:val="21"/>
              </w:rPr>
              <w:t>块。</w:t>
            </w:r>
          </w:p>
        </w:tc>
      </w:tr>
      <w:tr w14:paraId="3675626B">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0BFFA8FD">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4</w:t>
            </w:r>
          </w:p>
        </w:tc>
        <w:tc>
          <w:tcPr>
            <w:tcW w:w="1285" w:type="dxa"/>
            <w:noWrap w:val="0"/>
            <w:vAlign w:val="center"/>
          </w:tcPr>
          <w:p w14:paraId="6C508B83">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运输道路</w:t>
            </w:r>
          </w:p>
        </w:tc>
        <w:tc>
          <w:tcPr>
            <w:tcW w:w="3727" w:type="dxa"/>
            <w:noWrap w:val="0"/>
            <w:vAlign w:val="center"/>
          </w:tcPr>
          <w:p w14:paraId="71A60679">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减速慢行、严禁超载、严禁超速、限速标识，当心塌方等</w:t>
            </w:r>
          </w:p>
        </w:tc>
        <w:tc>
          <w:tcPr>
            <w:tcW w:w="3483" w:type="dxa"/>
            <w:noWrap w:val="0"/>
            <w:vAlign w:val="center"/>
          </w:tcPr>
          <w:p w14:paraId="6381D8F7">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w:t>
            </w:r>
            <w:r>
              <w:rPr>
                <w:rFonts w:hint="eastAsia" w:ascii="Times New Roman" w:hAnsi="Times New Roman" w:eastAsia="宋体"/>
                <w:b w:val="0"/>
                <w:bCs/>
                <w:spacing w:val="0"/>
                <w:sz w:val="21"/>
              </w:rPr>
              <w:t>10</w:t>
            </w:r>
            <w:r>
              <w:rPr>
                <w:rFonts w:ascii="Times New Roman" w:hAnsi="Times New Roman" w:eastAsia="宋体"/>
                <w:b w:val="0"/>
                <w:bCs/>
                <w:spacing w:val="0"/>
                <w:sz w:val="21"/>
              </w:rPr>
              <w:t>块。</w:t>
            </w:r>
          </w:p>
        </w:tc>
      </w:tr>
      <w:tr w14:paraId="14C6BA89">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76F8E83B">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5</w:t>
            </w:r>
          </w:p>
        </w:tc>
        <w:tc>
          <w:tcPr>
            <w:tcW w:w="1285" w:type="dxa"/>
            <w:noWrap w:val="0"/>
            <w:vAlign w:val="center"/>
          </w:tcPr>
          <w:p w14:paraId="501D4ED2">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采场边坡</w:t>
            </w:r>
          </w:p>
        </w:tc>
        <w:tc>
          <w:tcPr>
            <w:tcW w:w="3727" w:type="dxa"/>
            <w:noWrap w:val="0"/>
            <w:vAlign w:val="center"/>
          </w:tcPr>
          <w:p w14:paraId="0B7FC844">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当心滚石、当心滑坡、当心坍塌、当心高处坠落、严禁靠近、注意安全</w:t>
            </w:r>
          </w:p>
        </w:tc>
        <w:tc>
          <w:tcPr>
            <w:tcW w:w="3483" w:type="dxa"/>
            <w:noWrap w:val="0"/>
            <w:vAlign w:val="center"/>
          </w:tcPr>
          <w:p w14:paraId="32F11C0E">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w:t>
            </w:r>
            <w:r>
              <w:rPr>
                <w:rFonts w:hint="eastAsia" w:ascii="Times New Roman" w:hAnsi="Times New Roman" w:eastAsia="宋体"/>
                <w:b w:val="0"/>
                <w:bCs/>
                <w:spacing w:val="0"/>
                <w:sz w:val="21"/>
              </w:rPr>
              <w:t>6</w:t>
            </w:r>
            <w:r>
              <w:rPr>
                <w:rFonts w:ascii="Times New Roman" w:hAnsi="Times New Roman" w:eastAsia="宋体"/>
                <w:b w:val="0"/>
                <w:bCs/>
                <w:spacing w:val="0"/>
                <w:sz w:val="21"/>
              </w:rPr>
              <w:t>块。</w:t>
            </w:r>
          </w:p>
        </w:tc>
      </w:tr>
      <w:tr w14:paraId="2D817B9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496AD94C">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6</w:t>
            </w:r>
          </w:p>
        </w:tc>
        <w:tc>
          <w:tcPr>
            <w:tcW w:w="1285" w:type="dxa"/>
            <w:noWrap w:val="0"/>
            <w:vAlign w:val="center"/>
          </w:tcPr>
          <w:p w14:paraId="3712389C">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变压器、变电室</w:t>
            </w:r>
          </w:p>
        </w:tc>
        <w:tc>
          <w:tcPr>
            <w:tcW w:w="3727" w:type="dxa"/>
            <w:noWrap w:val="0"/>
            <w:vAlign w:val="center"/>
          </w:tcPr>
          <w:p w14:paraId="0D7576DA">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高压危险、小心触电、必须佩戴劳动防护用品、注意安全、正在检修，严禁合闸</w:t>
            </w:r>
          </w:p>
        </w:tc>
        <w:tc>
          <w:tcPr>
            <w:tcW w:w="3483" w:type="dxa"/>
            <w:noWrap w:val="0"/>
            <w:vAlign w:val="center"/>
          </w:tcPr>
          <w:p w14:paraId="56E6144D">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根据实际情况设置，但每处不少于1块，总数不少于4块。</w:t>
            </w:r>
          </w:p>
        </w:tc>
      </w:tr>
      <w:tr w14:paraId="1BFB3A91">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6CBB4D5F">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7</w:t>
            </w:r>
          </w:p>
        </w:tc>
        <w:tc>
          <w:tcPr>
            <w:tcW w:w="1285" w:type="dxa"/>
            <w:noWrap w:val="0"/>
            <w:vAlign w:val="center"/>
          </w:tcPr>
          <w:p w14:paraId="158F38E0">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道路交叉路口、急弯处</w:t>
            </w:r>
          </w:p>
        </w:tc>
        <w:tc>
          <w:tcPr>
            <w:tcW w:w="3727" w:type="dxa"/>
            <w:noWrap w:val="0"/>
            <w:vAlign w:val="center"/>
          </w:tcPr>
          <w:p w14:paraId="602BE7B1">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减速慢行</w:t>
            </w:r>
          </w:p>
        </w:tc>
        <w:tc>
          <w:tcPr>
            <w:tcW w:w="3483" w:type="dxa"/>
            <w:noWrap w:val="0"/>
            <w:vAlign w:val="center"/>
          </w:tcPr>
          <w:p w14:paraId="14E8721E">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根据实际情况设置，但每处不少于1块，总数不少于7块。</w:t>
            </w:r>
          </w:p>
        </w:tc>
      </w:tr>
      <w:tr w14:paraId="192EED47">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0DF16280">
            <w:pPr>
              <w:pStyle w:val="81"/>
              <w:spacing w:before="0" w:beforeLines="-2147483648" w:after="0" w:afterLines="-2147483648"/>
              <w:rPr>
                <w:rFonts w:ascii="Times New Roman" w:hAnsi="Times New Roman" w:eastAsia="宋体"/>
                <w:b w:val="0"/>
                <w:bCs/>
                <w:spacing w:val="0"/>
                <w:sz w:val="21"/>
              </w:rPr>
            </w:pPr>
            <w:r>
              <w:rPr>
                <w:rFonts w:ascii="Times New Roman" w:hAnsi="Times New Roman" w:eastAsia="宋体"/>
                <w:b w:val="0"/>
                <w:bCs/>
                <w:spacing w:val="0"/>
                <w:sz w:val="21"/>
              </w:rPr>
              <w:t>8</w:t>
            </w:r>
          </w:p>
        </w:tc>
        <w:tc>
          <w:tcPr>
            <w:tcW w:w="1285" w:type="dxa"/>
            <w:noWrap w:val="0"/>
            <w:vAlign w:val="center"/>
          </w:tcPr>
          <w:p w14:paraId="25C2C32D">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厂区道路入口处</w:t>
            </w:r>
          </w:p>
        </w:tc>
        <w:tc>
          <w:tcPr>
            <w:tcW w:w="3727" w:type="dxa"/>
            <w:noWrap w:val="0"/>
            <w:vAlign w:val="center"/>
          </w:tcPr>
          <w:p w14:paraId="61258888">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内有车辆出入减速慢行</w:t>
            </w:r>
          </w:p>
        </w:tc>
        <w:tc>
          <w:tcPr>
            <w:tcW w:w="3483" w:type="dxa"/>
            <w:noWrap w:val="0"/>
            <w:vAlign w:val="center"/>
          </w:tcPr>
          <w:p w14:paraId="5BDA6EE7">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根据实际情况设置，但每处不少于1块，总数不少于2块。</w:t>
            </w:r>
          </w:p>
        </w:tc>
      </w:tr>
      <w:tr w14:paraId="23594AE8">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14" w:hRule="atLeast"/>
          <w:jc w:val="center"/>
        </w:trPr>
        <w:tc>
          <w:tcPr>
            <w:tcW w:w="478" w:type="dxa"/>
            <w:noWrap w:val="0"/>
            <w:vAlign w:val="center"/>
          </w:tcPr>
          <w:p w14:paraId="650785D7">
            <w:pPr>
              <w:pStyle w:val="81"/>
              <w:spacing w:before="0" w:beforeLines="-2147483648" w:after="0" w:afterLines="-2147483648"/>
              <w:jc w:val="both"/>
              <w:rPr>
                <w:rFonts w:hint="eastAsia" w:ascii="Times New Roman" w:hAnsi="Times New Roman" w:eastAsia="宋体"/>
                <w:b w:val="0"/>
                <w:bCs/>
                <w:spacing w:val="0"/>
                <w:sz w:val="21"/>
              </w:rPr>
            </w:pPr>
            <w:r>
              <w:rPr>
                <w:rFonts w:hint="eastAsia" w:ascii="Times New Roman" w:hAnsi="Times New Roman" w:eastAsia="宋体"/>
                <w:b w:val="0"/>
                <w:bCs/>
                <w:spacing w:val="0"/>
                <w:sz w:val="21"/>
              </w:rPr>
              <w:t>9</w:t>
            </w:r>
          </w:p>
        </w:tc>
        <w:tc>
          <w:tcPr>
            <w:tcW w:w="1285" w:type="dxa"/>
            <w:noWrap w:val="0"/>
            <w:vAlign w:val="center"/>
          </w:tcPr>
          <w:p w14:paraId="69FD5470">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破碎站</w:t>
            </w:r>
          </w:p>
        </w:tc>
        <w:tc>
          <w:tcPr>
            <w:tcW w:w="3727" w:type="dxa"/>
            <w:noWrap w:val="0"/>
            <w:vAlign w:val="center"/>
          </w:tcPr>
          <w:p w14:paraId="6D520506">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当心触电、当心坠落、严禁靠近、当心机械伤害、必须佩戴劳动防护用品</w:t>
            </w:r>
          </w:p>
        </w:tc>
        <w:tc>
          <w:tcPr>
            <w:tcW w:w="3483" w:type="dxa"/>
            <w:noWrap w:val="0"/>
            <w:vAlign w:val="center"/>
          </w:tcPr>
          <w:p w14:paraId="2F6ACF69">
            <w:pPr>
              <w:pStyle w:val="81"/>
              <w:spacing w:before="0" w:beforeLines="-2147483648" w:after="0" w:afterLines="-2147483648"/>
              <w:jc w:val="both"/>
              <w:rPr>
                <w:rFonts w:ascii="Times New Roman" w:hAnsi="Times New Roman" w:eastAsia="宋体"/>
                <w:b w:val="0"/>
                <w:bCs/>
                <w:spacing w:val="0"/>
                <w:sz w:val="21"/>
              </w:rPr>
            </w:pPr>
            <w:r>
              <w:rPr>
                <w:rFonts w:ascii="Times New Roman" w:hAnsi="Times New Roman" w:eastAsia="宋体"/>
                <w:b w:val="0"/>
                <w:bCs/>
                <w:spacing w:val="0"/>
                <w:sz w:val="21"/>
              </w:rPr>
              <w:t>根据实际情况设置，但每处不少于1块</w:t>
            </w:r>
          </w:p>
        </w:tc>
      </w:tr>
    </w:tbl>
    <w:p w14:paraId="32E53869">
      <w:pPr>
        <w:bidi w:val="0"/>
      </w:pPr>
      <w:r>
        <w:t>结论：矿山</w:t>
      </w:r>
      <w:r>
        <w:rPr>
          <w:rFonts w:hint="eastAsia"/>
          <w:lang w:val="en-US" w:eastAsia="zh-CN"/>
        </w:rPr>
        <w:t>安全标志设置</w:t>
      </w:r>
      <w:r>
        <w:t>满足竣工验收要求。</w:t>
      </w:r>
    </w:p>
    <w:p w14:paraId="37557679">
      <w:pPr>
        <w:pStyle w:val="4"/>
        <w:bidi w:val="0"/>
        <w:rPr>
          <w:lang w:val="en-US" w:eastAsia="en-US"/>
        </w:rPr>
      </w:pPr>
      <w:bookmarkStart w:id="225" w:name="_Toc25079"/>
      <w:bookmarkStart w:id="226" w:name="_Toc5814"/>
      <w:r>
        <w:rPr>
          <w:lang w:val="en-US" w:eastAsia="en-US"/>
        </w:rPr>
        <w:t>2.4.12安全管理</w:t>
      </w:r>
      <w:bookmarkEnd w:id="225"/>
      <w:bookmarkEnd w:id="226"/>
    </w:p>
    <w:p w14:paraId="3D0E76A7">
      <w:pPr>
        <w:pStyle w:val="5"/>
        <w:bidi w:val="0"/>
        <w:rPr>
          <w:lang w:val="en-US" w:eastAsia="en-US"/>
        </w:rPr>
      </w:pPr>
      <w:bookmarkStart w:id="227" w:name="_Toc6021"/>
      <w:r>
        <w:rPr>
          <w:lang w:val="en-US" w:eastAsia="en-US"/>
        </w:rPr>
        <w:fldChar w:fldCharType="begin"/>
      </w:r>
      <w:r>
        <w:rPr>
          <w:lang w:val="en-US" w:eastAsia="en-US"/>
        </w:rPr>
        <w:instrText xml:space="preserve"> HYPERLINK "2.4.12.1" </w:instrText>
      </w:r>
      <w:r>
        <w:rPr>
          <w:lang w:val="en-US" w:eastAsia="en-US"/>
        </w:rPr>
        <w:fldChar w:fldCharType="separate"/>
      </w:r>
      <w:r>
        <w:rPr>
          <w:lang w:val="en-US" w:eastAsia="en-US"/>
        </w:rPr>
        <w:t>2.4.12.1</w:t>
      </w:r>
      <w:r>
        <w:rPr>
          <w:lang w:val="en-US" w:eastAsia="en-US"/>
        </w:rPr>
        <w:fldChar w:fldCharType="end"/>
      </w:r>
      <w:r>
        <w:rPr>
          <w:lang w:val="en-US" w:eastAsia="en-US"/>
        </w:rPr>
        <w:t>安全组织机构</w:t>
      </w:r>
      <w:bookmarkEnd w:id="227"/>
    </w:p>
    <w:p w14:paraId="503E4A83">
      <w:pPr>
        <w:bidi w:val="0"/>
      </w:pPr>
      <w:r>
        <w:rPr>
          <w:rFonts w:hint="eastAsia"/>
        </w:rPr>
        <w:t>本矿山</w:t>
      </w:r>
      <w:r>
        <w:t>为</w:t>
      </w:r>
      <w:r>
        <w:rPr>
          <w:rFonts w:hint="eastAsia"/>
        </w:rPr>
        <w:t>扩</w:t>
      </w:r>
      <w:r>
        <w:t>建</w:t>
      </w:r>
      <w:r>
        <w:rPr>
          <w:rFonts w:hint="eastAsia"/>
        </w:rPr>
        <w:t>矿山</w:t>
      </w:r>
      <w:r>
        <w:t>，</w:t>
      </w:r>
      <w:r>
        <w:rPr>
          <w:rFonts w:hint="eastAsia"/>
        </w:rPr>
        <w:t>矿山在项目实施过程中应</w:t>
      </w:r>
      <w:r>
        <w:t>严格</w:t>
      </w:r>
      <w:r>
        <w:rPr>
          <w:rFonts w:hint="eastAsia"/>
        </w:rPr>
        <w:t>设置安全</w:t>
      </w:r>
      <w:r>
        <w:rPr>
          <w:rFonts w:hint="eastAsia"/>
          <w:lang w:val="en-US" w:eastAsia="zh-CN"/>
        </w:rPr>
        <w:t>管理</w:t>
      </w:r>
      <w:r>
        <w:rPr>
          <w:rFonts w:hint="eastAsia"/>
        </w:rPr>
        <w:t>机构、矿山事故抢救和医疗急救组织，加强安全教育机构建设确保安全生产。</w:t>
      </w:r>
    </w:p>
    <w:p w14:paraId="6CE09349">
      <w:pPr>
        <w:bidi w:val="0"/>
        <w:rPr>
          <w:rFonts w:hint="eastAsia"/>
        </w:rPr>
      </w:pPr>
      <w:r>
        <w:rPr>
          <w:rFonts w:hint="eastAsia"/>
        </w:rPr>
        <w:t>矿山应成立矿山安全生产</w:t>
      </w:r>
      <w:r>
        <w:rPr>
          <w:rFonts w:hint="eastAsia"/>
          <w:lang w:val="en-US" w:eastAsia="zh-CN"/>
        </w:rPr>
        <w:t>领导小组</w:t>
      </w:r>
      <w:r>
        <w:rPr>
          <w:rFonts w:hint="eastAsia"/>
        </w:rPr>
        <w:t>。由</w:t>
      </w:r>
      <w:r>
        <w:rPr>
          <w:rFonts w:hint="eastAsia"/>
          <w:lang w:val="en-US" w:eastAsia="zh-CN"/>
        </w:rPr>
        <w:t>矿长</w:t>
      </w:r>
      <w:r>
        <w:rPr>
          <w:rFonts w:hint="eastAsia"/>
        </w:rPr>
        <w:t>担任</w:t>
      </w:r>
      <w:r>
        <w:rPr>
          <w:rFonts w:hint="eastAsia"/>
          <w:lang w:val="en-US" w:eastAsia="zh-CN"/>
        </w:rPr>
        <w:t>组长</w:t>
      </w:r>
      <w:r>
        <w:rPr>
          <w:rFonts w:hint="eastAsia"/>
        </w:rPr>
        <w:t>，分管安全的</w:t>
      </w:r>
      <w:r>
        <w:t>副</w:t>
      </w:r>
      <w:r>
        <w:rPr>
          <w:rFonts w:hint="eastAsia"/>
          <w:lang w:val="en-US" w:eastAsia="zh-CN"/>
        </w:rPr>
        <w:t>矿长</w:t>
      </w:r>
      <w:r>
        <w:rPr>
          <w:rFonts w:hint="eastAsia"/>
        </w:rPr>
        <w:t>担任副</w:t>
      </w:r>
      <w:r>
        <w:rPr>
          <w:rFonts w:hint="eastAsia"/>
          <w:lang w:val="en-US" w:eastAsia="zh-CN"/>
        </w:rPr>
        <w:t>组长</w:t>
      </w:r>
      <w:r>
        <w:rPr>
          <w:rFonts w:hint="eastAsia"/>
        </w:rPr>
        <w:t>，成员：</w:t>
      </w:r>
      <w:r>
        <w:rPr>
          <w:rFonts w:hint="eastAsia"/>
          <w:lang w:val="en-US" w:eastAsia="zh-CN"/>
        </w:rPr>
        <w:t>安全环境部部长、生产</w:t>
      </w:r>
      <w:r>
        <w:rPr>
          <w:rFonts w:hint="eastAsia"/>
        </w:rPr>
        <w:t>部部长、各</w:t>
      </w:r>
      <w:r>
        <w:rPr>
          <w:rFonts w:hint="eastAsia"/>
          <w:lang w:val="en-US" w:eastAsia="zh-CN"/>
        </w:rPr>
        <w:t>部门（</w:t>
      </w:r>
      <w:r>
        <w:rPr>
          <w:rFonts w:hint="eastAsia"/>
        </w:rPr>
        <w:t>车间</w:t>
      </w:r>
      <w:r>
        <w:rPr>
          <w:rFonts w:hint="eastAsia"/>
          <w:lang w:eastAsia="zh-CN"/>
        </w:rPr>
        <w:t>）</w:t>
      </w:r>
      <w:r>
        <w:rPr>
          <w:rFonts w:hint="eastAsia"/>
        </w:rPr>
        <w:t>负责人。</w:t>
      </w:r>
    </w:p>
    <w:p w14:paraId="00BD6454">
      <w:pPr>
        <w:bidi w:val="0"/>
        <w:rPr>
          <w:rFonts w:hint="eastAsia"/>
        </w:rPr>
      </w:pPr>
      <w:r>
        <w:rPr>
          <w:rFonts w:hint="eastAsia"/>
        </w:rPr>
        <w:t>设</w:t>
      </w:r>
      <w:r>
        <w:rPr>
          <w:rFonts w:hint="eastAsia"/>
          <w:lang w:val="en-US" w:eastAsia="zh-CN"/>
        </w:rPr>
        <w:t>置</w:t>
      </w:r>
      <w:r>
        <w:rPr>
          <w:rFonts w:hint="eastAsia"/>
        </w:rPr>
        <w:t>主管安全的副</w:t>
      </w:r>
      <w:r>
        <w:rPr>
          <w:rFonts w:hint="eastAsia"/>
          <w:lang w:val="en-US" w:eastAsia="zh-CN"/>
        </w:rPr>
        <w:t>矿长</w:t>
      </w:r>
      <w:r>
        <w:rPr>
          <w:rFonts w:hint="eastAsia"/>
        </w:rPr>
        <w:t>，</w:t>
      </w:r>
      <w:r>
        <w:rPr>
          <w:rFonts w:hint="eastAsia"/>
          <w:lang w:val="en-US" w:eastAsia="zh-CN"/>
        </w:rPr>
        <w:t>组建</w:t>
      </w:r>
      <w:r>
        <w:rPr>
          <w:rFonts w:hint="eastAsia"/>
        </w:rPr>
        <w:t>安全环保部负责安全管理工作。各部门形成完整的安全管理体系，层层落实。分部门、分专业按相关行业安全法规、规程制定各部门、各专业安全操作规程。</w:t>
      </w:r>
    </w:p>
    <w:p w14:paraId="2C5E5824">
      <w:pPr>
        <w:pStyle w:val="5"/>
        <w:bidi w:val="0"/>
        <w:rPr>
          <w:rFonts w:hint="default" w:eastAsia="宋体"/>
          <w:lang w:val="en-US" w:eastAsia="zh-CN"/>
        </w:rPr>
      </w:pPr>
      <w:bookmarkStart w:id="228" w:name="_Toc15172"/>
      <w:r>
        <w:rPr>
          <w:lang w:val="en-US" w:eastAsia="en-US"/>
        </w:rPr>
        <w:fldChar w:fldCharType="begin"/>
      </w:r>
      <w:r>
        <w:rPr>
          <w:lang w:val="en-US" w:eastAsia="en-US"/>
        </w:rPr>
        <w:instrText xml:space="preserve"> HYPERLINK "2.4.12.1" </w:instrText>
      </w:r>
      <w:r>
        <w:rPr>
          <w:lang w:val="en-US" w:eastAsia="en-US"/>
        </w:rPr>
        <w:fldChar w:fldCharType="separate"/>
      </w:r>
      <w:r>
        <w:rPr>
          <w:lang w:val="en-US" w:eastAsia="en-US"/>
        </w:rPr>
        <w:t>2.4.12.</w:t>
      </w:r>
      <w:r>
        <w:rPr>
          <w:rFonts w:hint="eastAsia"/>
          <w:lang w:val="en-US" w:eastAsia="zh-CN"/>
        </w:rPr>
        <w:t>2</w:t>
      </w:r>
      <w:r>
        <w:rPr>
          <w:lang w:val="en-US" w:eastAsia="en-US"/>
        </w:rPr>
        <w:fldChar w:fldCharType="end"/>
      </w:r>
      <w:r>
        <w:rPr>
          <w:lang w:val="en-US" w:eastAsia="en-US"/>
        </w:rPr>
        <w:t>安全</w:t>
      </w:r>
      <w:r>
        <w:rPr>
          <w:rFonts w:hint="eastAsia"/>
          <w:lang w:val="en-US" w:eastAsia="zh-CN"/>
        </w:rPr>
        <w:t>管理</w:t>
      </w:r>
      <w:r>
        <w:rPr>
          <w:lang w:val="en-US" w:eastAsia="en-US"/>
        </w:rPr>
        <w:t>人员</w:t>
      </w:r>
      <w:r>
        <w:rPr>
          <w:rFonts w:hint="eastAsia"/>
          <w:lang w:val="en-US" w:eastAsia="zh-CN"/>
        </w:rPr>
        <w:t>及持证情况</w:t>
      </w:r>
      <w:bookmarkEnd w:id="228"/>
    </w:p>
    <w:p w14:paraId="0AF1C21F">
      <w:pPr>
        <w:bidi w:val="0"/>
      </w:pPr>
      <w:r>
        <w:rPr>
          <w:rFonts w:hint="eastAsia"/>
        </w:rPr>
        <w:t>1</w:t>
      </w:r>
      <w:r>
        <w:rPr>
          <w:rFonts w:hint="eastAsia"/>
          <w:lang w:eastAsia="zh-CN"/>
        </w:rPr>
        <w:t>、</w:t>
      </w:r>
      <w:r>
        <w:t>安全管理人员</w:t>
      </w:r>
    </w:p>
    <w:p w14:paraId="77B0CD6A">
      <w:pPr>
        <w:bidi w:val="0"/>
      </w:pPr>
      <w:r>
        <w:t>根据《中华人民共和国安全生产法》规定矿山企业应当配备专职安全生产管理人员从事安全生产管理工作。</w:t>
      </w:r>
    </w:p>
    <w:p w14:paraId="59450A0C">
      <w:pPr>
        <w:bidi w:val="0"/>
        <w:rPr>
          <w:rFonts w:hint="default" w:eastAsia="宋体"/>
          <w:lang w:val="en-US" w:eastAsia="zh-CN"/>
        </w:rPr>
      </w:pPr>
      <w:r>
        <w:rPr>
          <w:rFonts w:hint="eastAsia"/>
          <w:lang w:val="en-US" w:eastAsia="zh-CN"/>
        </w:rPr>
        <w:t>矿山配备了主要负责人、安全生产管理人员和专职安全员。</w:t>
      </w:r>
    </w:p>
    <w:p w14:paraId="54C55783">
      <w:pPr>
        <w:bidi w:val="0"/>
      </w:pPr>
      <w:r>
        <w:t>矿山</w:t>
      </w:r>
      <w:r>
        <w:rPr>
          <w:rFonts w:hint="eastAsia"/>
          <w:lang w:val="en-US" w:eastAsia="zh-CN"/>
        </w:rPr>
        <w:t>配置了“五职矿长”和“五科人员”，</w:t>
      </w:r>
      <w:r>
        <w:t>按规定配备专职安全管理人员2人，兼职安全管理人员</w:t>
      </w:r>
      <w:r>
        <w:rPr>
          <w:rFonts w:hint="eastAsia"/>
        </w:rPr>
        <w:t>2</w:t>
      </w:r>
      <w:r>
        <w:t>人。</w:t>
      </w:r>
    </w:p>
    <w:p w14:paraId="415376EB">
      <w:pPr>
        <w:bidi w:val="0"/>
        <w:rPr>
          <w:lang w:val="en-US" w:eastAsia="en-US"/>
        </w:rPr>
      </w:pPr>
      <w:r>
        <w:rPr>
          <w:rFonts w:hint="eastAsia"/>
          <w:lang w:val="en-US" w:eastAsia="zh-CN"/>
        </w:rPr>
        <w:t>2、</w:t>
      </w:r>
      <w:r>
        <w:rPr>
          <w:lang w:val="en-US" w:eastAsia="en-US"/>
        </w:rPr>
        <w:t>安全生产管理人员职责：</w:t>
      </w:r>
    </w:p>
    <w:p w14:paraId="20CFC5E1">
      <w:pPr>
        <w:bidi w:val="0"/>
        <w:rPr>
          <w:lang w:val="en-US" w:eastAsia="en-US"/>
        </w:rPr>
      </w:pPr>
      <w:r>
        <w:rPr>
          <w:lang w:val="en-US" w:eastAsia="en-US"/>
        </w:rPr>
        <w:t>（1）组织或者参与拟订本单位安全生产规章制度、操作规程和生产安全事故应急救援预案；</w:t>
      </w:r>
    </w:p>
    <w:p w14:paraId="672809F5">
      <w:pPr>
        <w:bidi w:val="0"/>
        <w:rPr>
          <w:lang w:val="en-US" w:eastAsia="en-US"/>
        </w:rPr>
      </w:pPr>
      <w:r>
        <w:rPr>
          <w:lang w:val="en-US" w:eastAsia="en-US"/>
        </w:rPr>
        <w:t>（2）组织或者参与本单位安全生产教育和培训，如实记录安全生产教育和培训情况；</w:t>
      </w:r>
    </w:p>
    <w:p w14:paraId="3C89DCA1">
      <w:pPr>
        <w:bidi w:val="0"/>
        <w:rPr>
          <w:lang w:val="en-US" w:eastAsia="en-US"/>
        </w:rPr>
      </w:pPr>
      <w:r>
        <w:rPr>
          <w:lang w:val="en-US" w:eastAsia="en-US"/>
        </w:rPr>
        <w:t>（3）组织开展危险源辨识和评估，督促落实本单位重大危险源的安全管理措施；</w:t>
      </w:r>
    </w:p>
    <w:p w14:paraId="7B5814D0">
      <w:pPr>
        <w:bidi w:val="0"/>
        <w:rPr>
          <w:lang w:val="en-US" w:eastAsia="en-US"/>
        </w:rPr>
      </w:pPr>
      <w:r>
        <w:rPr>
          <w:lang w:val="en-US" w:eastAsia="en-US"/>
        </w:rPr>
        <w:t>（4）组织或者参与本单位应急救援演练；</w:t>
      </w:r>
    </w:p>
    <w:p w14:paraId="3DA59806">
      <w:pPr>
        <w:bidi w:val="0"/>
        <w:rPr>
          <w:lang w:val="en-US" w:eastAsia="en-US"/>
        </w:rPr>
      </w:pPr>
      <w:r>
        <w:rPr>
          <w:lang w:val="en-US" w:eastAsia="en-US"/>
        </w:rPr>
        <w:t>（5）检查本单位的安全生产状况，及时排查生产安全事故隐患，提出改进安全生产管理的建议；</w:t>
      </w:r>
    </w:p>
    <w:p w14:paraId="0F33CFE3">
      <w:pPr>
        <w:bidi w:val="0"/>
        <w:rPr>
          <w:lang w:val="en-US" w:eastAsia="en-US"/>
        </w:rPr>
      </w:pPr>
      <w:r>
        <w:rPr>
          <w:lang w:val="en-US" w:eastAsia="en-US"/>
        </w:rPr>
        <w:t>（6）制止和纠正违章指挥、强令冒险作业、违反操作规程的行为；</w:t>
      </w:r>
    </w:p>
    <w:p w14:paraId="56A6CBB1">
      <w:pPr>
        <w:bidi w:val="0"/>
        <w:rPr>
          <w:lang w:val="en-US" w:eastAsia="en-US"/>
        </w:rPr>
      </w:pPr>
      <w:r>
        <w:rPr>
          <w:lang w:val="en-US" w:eastAsia="en-US"/>
        </w:rPr>
        <w:t>（7）督促落实本单位安全生产整改措施。</w:t>
      </w:r>
    </w:p>
    <w:p w14:paraId="6853E5E8">
      <w:pPr>
        <w:bidi w:val="0"/>
        <w:rPr>
          <w:lang w:val="en-US" w:eastAsia="en-US"/>
        </w:rPr>
      </w:pPr>
      <w:r>
        <w:rPr>
          <w:lang w:val="en-US" w:eastAsia="en-US"/>
        </w:rPr>
        <w:t>（8）督促落实安全生产规章制度和操作规程；</w:t>
      </w:r>
    </w:p>
    <w:p w14:paraId="392E1E87">
      <w:pPr>
        <w:bidi w:val="0"/>
        <w:rPr>
          <w:lang w:val="en-US" w:eastAsia="en-US"/>
        </w:rPr>
      </w:pPr>
      <w:r>
        <w:rPr>
          <w:lang w:val="en-US" w:eastAsia="en-US"/>
        </w:rPr>
        <w:t>（9）组织开展危险源辨识、安全风险分析和安全评估；</w:t>
      </w:r>
    </w:p>
    <w:p w14:paraId="47CFE4DC">
      <w:pPr>
        <w:bidi w:val="0"/>
        <w:rPr>
          <w:lang w:val="en-US" w:eastAsia="en-US"/>
        </w:rPr>
      </w:pPr>
      <w:r>
        <w:rPr>
          <w:lang w:val="en-US" w:eastAsia="en-US"/>
        </w:rPr>
        <w:t>（10）督促设施、设备管理者和使用者定期进行安全检测、检验、检查；</w:t>
      </w:r>
    </w:p>
    <w:p w14:paraId="707D28D6">
      <w:pPr>
        <w:bidi w:val="0"/>
        <w:rPr>
          <w:lang w:val="en-US" w:eastAsia="en-US"/>
        </w:rPr>
      </w:pPr>
      <w:r>
        <w:rPr>
          <w:lang w:val="en-US" w:eastAsia="en-US"/>
        </w:rPr>
        <w:t>（11）督促从业人员依法持证上岗、正确佩戴和使用劳动防护用品；</w:t>
      </w:r>
    </w:p>
    <w:p w14:paraId="74B4A60D">
      <w:pPr>
        <w:bidi w:val="0"/>
        <w:rPr>
          <w:lang w:val="en-US" w:eastAsia="en-US"/>
        </w:rPr>
      </w:pPr>
      <w:r>
        <w:rPr>
          <w:lang w:val="en-US" w:eastAsia="en-US"/>
        </w:rPr>
        <w:t>（12）及时报告事故隐患排查治理信息和安全生产情况。</w:t>
      </w:r>
    </w:p>
    <w:p w14:paraId="5D352A81">
      <w:pPr>
        <w:bidi w:val="0"/>
        <w:rPr>
          <w:lang w:val="en-US" w:eastAsia="en-US"/>
        </w:rPr>
      </w:pPr>
      <w:r>
        <w:rPr>
          <w:rFonts w:hint="eastAsia"/>
          <w:lang w:val="en-US" w:eastAsia="zh-CN"/>
        </w:rPr>
        <w:t>3、</w:t>
      </w:r>
      <w:r>
        <w:rPr>
          <w:lang w:val="en-US" w:eastAsia="en-US"/>
        </w:rPr>
        <w:t>安全</w:t>
      </w:r>
      <w:r>
        <w:rPr>
          <w:rFonts w:hint="eastAsia"/>
          <w:lang w:val="en-US" w:eastAsia="zh-CN"/>
        </w:rPr>
        <w:t>管理</w:t>
      </w:r>
      <w:r>
        <w:rPr>
          <w:lang w:val="en-US" w:eastAsia="en-US"/>
        </w:rPr>
        <w:t>人员持证情况</w:t>
      </w:r>
    </w:p>
    <w:p w14:paraId="66581349">
      <w:pPr>
        <w:bidi w:val="0"/>
        <w:rPr>
          <w:lang w:val="en-US" w:eastAsia="en-US"/>
        </w:rPr>
      </w:pPr>
      <w:r>
        <w:rPr>
          <w:lang w:val="en-US" w:eastAsia="en-US"/>
        </w:rPr>
        <w:t>矿山主要负责人、安全生产管理人员均经过相关部门培训取证并持证上岗，其他人员上岗前按相关规定进行内部培训，平时定期组织全体员工进行安全法律法规、规章制度和岗位技能的教育、学习，矿山安全</w:t>
      </w:r>
      <w:r>
        <w:rPr>
          <w:rFonts w:hint="eastAsia"/>
          <w:lang w:val="en-US" w:eastAsia="zh-CN"/>
        </w:rPr>
        <w:t>管理</w:t>
      </w:r>
      <w:r>
        <w:rPr>
          <w:lang w:val="en-US" w:eastAsia="en-US"/>
        </w:rPr>
        <w:t>人员持证情况见表2</w:t>
      </w:r>
      <w:r>
        <w:rPr>
          <w:rFonts w:hint="eastAsia"/>
          <w:lang w:val="en-US" w:eastAsia="zh-CN"/>
        </w:rPr>
        <w:t>.4</w:t>
      </w:r>
      <w:r>
        <w:rPr>
          <w:lang w:val="en-US" w:eastAsia="en-US"/>
        </w:rPr>
        <w:t>-</w:t>
      </w:r>
      <w:r>
        <w:rPr>
          <w:rFonts w:hint="eastAsia"/>
          <w:lang w:val="en-US" w:eastAsia="zh-CN"/>
        </w:rPr>
        <w:t>8</w:t>
      </w:r>
      <w:r>
        <w:rPr>
          <w:lang w:val="en-US" w:eastAsia="en-US"/>
        </w:rPr>
        <w:t>。</w:t>
      </w:r>
    </w:p>
    <w:p w14:paraId="5B6F7466">
      <w:pPr>
        <w:pStyle w:val="47"/>
        <w:bidi w:val="0"/>
        <w:rPr>
          <w:lang w:val="en-US" w:eastAsia="en-US"/>
        </w:rPr>
      </w:pPr>
      <w:r>
        <w:rPr>
          <w:lang w:val="en-US" w:eastAsia="en-US"/>
        </w:rPr>
        <w:t>表2</w:t>
      </w:r>
      <w:r>
        <w:rPr>
          <w:rFonts w:hint="eastAsia"/>
          <w:lang w:val="en-US" w:eastAsia="zh-CN"/>
        </w:rPr>
        <w:t>.4</w:t>
      </w:r>
      <w:r>
        <w:rPr>
          <w:lang w:val="en-US" w:eastAsia="en-US"/>
        </w:rPr>
        <w:t>-</w:t>
      </w:r>
      <w:r>
        <w:rPr>
          <w:rFonts w:hint="eastAsia"/>
          <w:lang w:val="en-US" w:eastAsia="zh-CN"/>
        </w:rPr>
        <w:t>8</w:t>
      </w:r>
      <w:r>
        <w:rPr>
          <w:lang w:val="en-US" w:eastAsia="en-US"/>
        </w:rPr>
        <w:t>矿山安全</w:t>
      </w:r>
      <w:r>
        <w:rPr>
          <w:rFonts w:hint="eastAsia"/>
          <w:lang w:val="en-US" w:eastAsia="zh-CN"/>
        </w:rPr>
        <w:t>管理</w:t>
      </w:r>
      <w:r>
        <w:rPr>
          <w:lang w:val="en-US" w:eastAsia="en-US"/>
        </w:rPr>
        <w:t>人员持证情况表</w:t>
      </w:r>
    </w:p>
    <w:tbl>
      <w:tblPr>
        <w:tblStyle w:val="78"/>
        <w:tblpPr w:leftFromText="180" w:rightFromText="180" w:vertAnchor="text" w:horzAnchor="page" w:tblpX="1690" w:tblpY="111"/>
        <w:tblOverlap w:val="never"/>
        <w:tblW w:w="9055"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73"/>
        <w:gridCol w:w="670"/>
        <w:gridCol w:w="2063"/>
        <w:gridCol w:w="1931"/>
        <w:gridCol w:w="2154"/>
        <w:gridCol w:w="1364"/>
      </w:tblGrid>
      <w:tr w14:paraId="3754719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73" w:type="dxa"/>
            <w:noWrap w:val="0"/>
            <w:vAlign w:val="center"/>
          </w:tcPr>
          <w:p w14:paraId="12BF8CE4">
            <w:pPr>
              <w:pStyle w:val="54"/>
              <w:bidi w:val="0"/>
              <w:rPr>
                <w:lang w:eastAsia="en-US"/>
              </w:rPr>
            </w:pPr>
            <w:r>
              <w:rPr>
                <w:lang w:eastAsia="en-US"/>
              </w:rPr>
              <w:t>姓名</w:t>
            </w:r>
          </w:p>
        </w:tc>
        <w:tc>
          <w:tcPr>
            <w:tcW w:w="670" w:type="dxa"/>
            <w:noWrap w:val="0"/>
            <w:vAlign w:val="center"/>
          </w:tcPr>
          <w:p w14:paraId="22BEC17F">
            <w:pPr>
              <w:pStyle w:val="54"/>
              <w:bidi w:val="0"/>
              <w:rPr>
                <w:lang w:eastAsia="en-US"/>
              </w:rPr>
            </w:pPr>
            <w:r>
              <w:rPr>
                <w:lang w:eastAsia="en-US"/>
              </w:rPr>
              <w:t>性别</w:t>
            </w:r>
          </w:p>
        </w:tc>
        <w:tc>
          <w:tcPr>
            <w:tcW w:w="2063" w:type="dxa"/>
            <w:noWrap w:val="0"/>
            <w:vAlign w:val="center"/>
          </w:tcPr>
          <w:p w14:paraId="68C571E2">
            <w:pPr>
              <w:pStyle w:val="54"/>
              <w:bidi w:val="0"/>
              <w:rPr>
                <w:lang w:eastAsia="en-US"/>
              </w:rPr>
            </w:pPr>
            <w:r>
              <w:rPr>
                <w:lang w:eastAsia="en-US"/>
              </w:rPr>
              <w:t>人员类型</w:t>
            </w:r>
          </w:p>
        </w:tc>
        <w:tc>
          <w:tcPr>
            <w:tcW w:w="1931" w:type="dxa"/>
            <w:noWrap w:val="0"/>
            <w:vAlign w:val="center"/>
          </w:tcPr>
          <w:p w14:paraId="79360764">
            <w:pPr>
              <w:pStyle w:val="54"/>
              <w:bidi w:val="0"/>
              <w:rPr>
                <w:lang w:eastAsia="en-US"/>
              </w:rPr>
            </w:pPr>
            <w:r>
              <w:rPr>
                <w:lang w:eastAsia="en-US"/>
              </w:rPr>
              <w:t>发证单位</w:t>
            </w:r>
          </w:p>
        </w:tc>
        <w:tc>
          <w:tcPr>
            <w:tcW w:w="2154" w:type="dxa"/>
            <w:noWrap w:val="0"/>
            <w:vAlign w:val="center"/>
          </w:tcPr>
          <w:p w14:paraId="12DA8A2D">
            <w:pPr>
              <w:pStyle w:val="54"/>
              <w:bidi w:val="0"/>
              <w:rPr>
                <w:lang w:eastAsia="en-US"/>
              </w:rPr>
            </w:pPr>
            <w:r>
              <w:rPr>
                <w:lang w:eastAsia="en-US"/>
              </w:rPr>
              <w:t>证书编号</w:t>
            </w:r>
          </w:p>
        </w:tc>
        <w:tc>
          <w:tcPr>
            <w:tcW w:w="1364" w:type="dxa"/>
            <w:noWrap w:val="0"/>
            <w:vAlign w:val="center"/>
          </w:tcPr>
          <w:p w14:paraId="62704A24">
            <w:pPr>
              <w:pStyle w:val="54"/>
              <w:bidi w:val="0"/>
              <w:rPr>
                <w:lang w:eastAsia="en-US"/>
              </w:rPr>
            </w:pPr>
            <w:r>
              <w:rPr>
                <w:lang w:eastAsia="en-US"/>
              </w:rPr>
              <w:t>有效期</w:t>
            </w:r>
          </w:p>
        </w:tc>
      </w:tr>
      <w:tr w14:paraId="38A4EDC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73" w:type="dxa"/>
            <w:noWrap w:val="0"/>
            <w:vAlign w:val="center"/>
          </w:tcPr>
          <w:p w14:paraId="163D6721">
            <w:pPr>
              <w:pStyle w:val="54"/>
              <w:bidi w:val="0"/>
              <w:rPr>
                <w:rFonts w:hint="default" w:eastAsia="宋体"/>
                <w:lang w:val="en-US" w:eastAsia="zh-CN"/>
              </w:rPr>
            </w:pPr>
            <w:r>
              <w:rPr>
                <w:rFonts w:hint="eastAsia"/>
                <w:lang w:val="en-US" w:eastAsia="zh-CN"/>
              </w:rPr>
              <w:t>伏帮光</w:t>
            </w:r>
          </w:p>
        </w:tc>
        <w:tc>
          <w:tcPr>
            <w:tcW w:w="670" w:type="dxa"/>
            <w:noWrap w:val="0"/>
            <w:vAlign w:val="center"/>
          </w:tcPr>
          <w:p w14:paraId="550ED81F">
            <w:pPr>
              <w:pStyle w:val="54"/>
              <w:bidi w:val="0"/>
              <w:rPr>
                <w:lang w:eastAsia="en-US"/>
              </w:rPr>
            </w:pPr>
            <w:r>
              <w:rPr>
                <w:lang w:eastAsia="en-US"/>
              </w:rPr>
              <w:t>男</w:t>
            </w:r>
          </w:p>
        </w:tc>
        <w:tc>
          <w:tcPr>
            <w:tcW w:w="2063" w:type="dxa"/>
            <w:noWrap w:val="0"/>
            <w:vAlign w:val="center"/>
          </w:tcPr>
          <w:p w14:paraId="058E9D6F">
            <w:pPr>
              <w:pStyle w:val="54"/>
              <w:bidi w:val="0"/>
              <w:rPr>
                <w:lang w:eastAsia="en-US"/>
              </w:rPr>
            </w:pPr>
            <w:r>
              <w:rPr>
                <w:lang w:eastAsia="en-US"/>
              </w:rPr>
              <w:t>主要负责人</w:t>
            </w:r>
          </w:p>
        </w:tc>
        <w:tc>
          <w:tcPr>
            <w:tcW w:w="1931" w:type="dxa"/>
            <w:noWrap w:val="0"/>
            <w:vAlign w:val="center"/>
          </w:tcPr>
          <w:p w14:paraId="168BCBCA">
            <w:pPr>
              <w:pStyle w:val="54"/>
              <w:bidi w:val="0"/>
              <w:rPr>
                <w:lang w:eastAsia="en-US"/>
              </w:rPr>
            </w:pPr>
            <w:r>
              <w:rPr>
                <w:lang w:eastAsia="en-US"/>
              </w:rPr>
              <w:t>文山州应急管理局</w:t>
            </w:r>
          </w:p>
        </w:tc>
        <w:tc>
          <w:tcPr>
            <w:tcW w:w="2154" w:type="dxa"/>
            <w:noWrap w:val="0"/>
            <w:vAlign w:val="center"/>
          </w:tcPr>
          <w:p w14:paraId="7BCA7260">
            <w:pPr>
              <w:pStyle w:val="54"/>
              <w:bidi w:val="0"/>
              <w:rPr>
                <w:rFonts w:hint="default" w:eastAsia="宋体"/>
                <w:lang w:val="en-US" w:eastAsia="zh-CN"/>
              </w:rPr>
            </w:pPr>
            <w:r>
              <w:rPr>
                <w:rFonts w:hint="eastAsia"/>
                <w:lang w:val="en-US" w:eastAsia="zh-CN"/>
              </w:rPr>
              <w:t>532627197102222318</w:t>
            </w:r>
          </w:p>
        </w:tc>
        <w:tc>
          <w:tcPr>
            <w:tcW w:w="1364" w:type="dxa"/>
            <w:noWrap w:val="0"/>
            <w:vAlign w:val="center"/>
          </w:tcPr>
          <w:p w14:paraId="50DF7D15">
            <w:pPr>
              <w:pStyle w:val="54"/>
              <w:bidi w:val="0"/>
              <w:rPr>
                <w:rFonts w:hint="default" w:eastAsia="宋体"/>
                <w:lang w:val="en-US" w:eastAsia="zh-CN"/>
              </w:rPr>
            </w:pPr>
            <w:r>
              <w:rPr>
                <w:rFonts w:hint="default" w:eastAsia="宋体"/>
                <w:lang w:val="en-US" w:eastAsia="zh-CN"/>
              </w:rPr>
              <w:t>2028-07-15</w:t>
            </w:r>
          </w:p>
        </w:tc>
      </w:tr>
      <w:tr w14:paraId="42CDB3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73" w:type="dxa"/>
            <w:noWrap w:val="0"/>
            <w:vAlign w:val="center"/>
          </w:tcPr>
          <w:p w14:paraId="70DBFE49">
            <w:pPr>
              <w:pStyle w:val="54"/>
              <w:bidi w:val="0"/>
              <w:rPr>
                <w:rFonts w:hint="default" w:eastAsia="宋体"/>
                <w:lang w:val="en-US" w:eastAsia="zh-CN"/>
              </w:rPr>
            </w:pPr>
            <w:r>
              <w:rPr>
                <w:rFonts w:hint="default" w:eastAsia="宋体"/>
                <w:lang w:val="en-US" w:eastAsia="zh-CN"/>
              </w:rPr>
              <w:t>杨海军</w:t>
            </w:r>
          </w:p>
        </w:tc>
        <w:tc>
          <w:tcPr>
            <w:tcW w:w="670" w:type="dxa"/>
            <w:noWrap w:val="0"/>
            <w:vAlign w:val="center"/>
          </w:tcPr>
          <w:p w14:paraId="759C33B4">
            <w:pPr>
              <w:pStyle w:val="54"/>
              <w:bidi w:val="0"/>
              <w:rPr>
                <w:lang w:eastAsia="en-US"/>
              </w:rPr>
            </w:pPr>
            <w:r>
              <w:rPr>
                <w:lang w:eastAsia="en-US"/>
              </w:rPr>
              <w:t>男</w:t>
            </w:r>
          </w:p>
        </w:tc>
        <w:tc>
          <w:tcPr>
            <w:tcW w:w="2063" w:type="dxa"/>
            <w:noWrap w:val="0"/>
            <w:vAlign w:val="center"/>
          </w:tcPr>
          <w:p w14:paraId="0620C5CE">
            <w:pPr>
              <w:pStyle w:val="54"/>
              <w:bidi w:val="0"/>
              <w:rPr>
                <w:lang w:eastAsia="en-US"/>
              </w:rPr>
            </w:pPr>
            <w:r>
              <w:rPr>
                <w:rFonts w:hint="eastAsia"/>
                <w:lang w:eastAsia="en-US"/>
              </w:rPr>
              <w:t>主要负责人</w:t>
            </w:r>
          </w:p>
        </w:tc>
        <w:tc>
          <w:tcPr>
            <w:tcW w:w="1931" w:type="dxa"/>
            <w:noWrap w:val="0"/>
            <w:vAlign w:val="center"/>
          </w:tcPr>
          <w:p w14:paraId="5D4256C0">
            <w:pPr>
              <w:pStyle w:val="54"/>
              <w:bidi w:val="0"/>
              <w:rPr>
                <w:lang w:eastAsia="en-US"/>
              </w:rPr>
            </w:pPr>
            <w:r>
              <w:rPr>
                <w:lang w:eastAsia="en-US"/>
              </w:rPr>
              <w:t>文山州应急管理局</w:t>
            </w:r>
          </w:p>
        </w:tc>
        <w:tc>
          <w:tcPr>
            <w:tcW w:w="2154" w:type="dxa"/>
            <w:noWrap w:val="0"/>
            <w:vAlign w:val="center"/>
          </w:tcPr>
          <w:p w14:paraId="67D20D5C">
            <w:pPr>
              <w:pStyle w:val="54"/>
              <w:bidi w:val="0"/>
              <w:rPr>
                <w:rFonts w:hint="default" w:eastAsia="宋体"/>
                <w:lang w:val="en-US" w:eastAsia="zh-CN"/>
              </w:rPr>
            </w:pPr>
            <w:r>
              <w:rPr>
                <w:rFonts w:hint="default" w:eastAsia="宋体"/>
                <w:lang w:val="en-US" w:eastAsia="zh-CN"/>
              </w:rPr>
              <w:t>532502197309170612</w:t>
            </w:r>
          </w:p>
        </w:tc>
        <w:tc>
          <w:tcPr>
            <w:tcW w:w="1364" w:type="dxa"/>
            <w:noWrap w:val="0"/>
            <w:vAlign w:val="center"/>
          </w:tcPr>
          <w:p w14:paraId="1BDA088B">
            <w:pPr>
              <w:pStyle w:val="54"/>
              <w:bidi w:val="0"/>
              <w:rPr>
                <w:rFonts w:hint="eastAsia"/>
                <w:lang w:eastAsia="zh-CN"/>
              </w:rPr>
            </w:pPr>
            <w:r>
              <w:rPr>
                <w:rFonts w:hint="eastAsia"/>
                <w:lang w:eastAsia="zh-CN"/>
              </w:rPr>
              <w:t>2028-07-15</w:t>
            </w:r>
          </w:p>
        </w:tc>
      </w:tr>
      <w:tr w14:paraId="38CD87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73" w:type="dxa"/>
            <w:noWrap w:val="0"/>
            <w:vAlign w:val="center"/>
          </w:tcPr>
          <w:p w14:paraId="62B75B26">
            <w:pPr>
              <w:pStyle w:val="54"/>
              <w:bidi w:val="0"/>
              <w:rPr>
                <w:rFonts w:hint="default" w:eastAsia="宋体"/>
                <w:lang w:val="en-US" w:eastAsia="zh-CN"/>
              </w:rPr>
            </w:pPr>
            <w:r>
              <w:rPr>
                <w:rFonts w:hint="default" w:eastAsia="宋体"/>
                <w:lang w:val="en-US" w:eastAsia="zh-CN"/>
              </w:rPr>
              <w:t>梁大猛</w:t>
            </w:r>
          </w:p>
        </w:tc>
        <w:tc>
          <w:tcPr>
            <w:tcW w:w="670" w:type="dxa"/>
            <w:noWrap w:val="0"/>
            <w:vAlign w:val="center"/>
          </w:tcPr>
          <w:p w14:paraId="7CDA390A">
            <w:pPr>
              <w:pStyle w:val="54"/>
              <w:bidi w:val="0"/>
              <w:rPr>
                <w:lang w:eastAsia="en-US"/>
              </w:rPr>
            </w:pPr>
            <w:r>
              <w:rPr>
                <w:lang w:eastAsia="en-US"/>
              </w:rPr>
              <w:t>男</w:t>
            </w:r>
          </w:p>
        </w:tc>
        <w:tc>
          <w:tcPr>
            <w:tcW w:w="2063" w:type="dxa"/>
            <w:noWrap w:val="0"/>
            <w:vAlign w:val="center"/>
          </w:tcPr>
          <w:p w14:paraId="0E1BBBFC">
            <w:pPr>
              <w:pStyle w:val="54"/>
              <w:bidi w:val="0"/>
              <w:rPr>
                <w:lang w:eastAsia="en-US"/>
              </w:rPr>
            </w:pPr>
            <w:r>
              <w:rPr>
                <w:lang w:eastAsia="en-US"/>
              </w:rPr>
              <w:t>安全生产管理人员</w:t>
            </w:r>
          </w:p>
        </w:tc>
        <w:tc>
          <w:tcPr>
            <w:tcW w:w="1931" w:type="dxa"/>
            <w:noWrap w:val="0"/>
            <w:vAlign w:val="center"/>
          </w:tcPr>
          <w:p w14:paraId="03CD0A3C">
            <w:pPr>
              <w:pStyle w:val="54"/>
              <w:bidi w:val="0"/>
              <w:rPr>
                <w:lang w:eastAsia="en-US"/>
              </w:rPr>
            </w:pPr>
            <w:r>
              <w:rPr>
                <w:rFonts w:hint="eastAsia"/>
                <w:lang w:eastAsia="en-US"/>
              </w:rPr>
              <w:t>百色市应急管理局</w:t>
            </w:r>
          </w:p>
        </w:tc>
        <w:tc>
          <w:tcPr>
            <w:tcW w:w="2154" w:type="dxa"/>
            <w:noWrap w:val="0"/>
            <w:vAlign w:val="center"/>
          </w:tcPr>
          <w:p w14:paraId="354A9E8B">
            <w:pPr>
              <w:pStyle w:val="54"/>
              <w:bidi w:val="0"/>
              <w:rPr>
                <w:rFonts w:hint="default" w:eastAsia="宋体"/>
                <w:lang w:val="en-US" w:eastAsia="zh-CN"/>
              </w:rPr>
            </w:pPr>
            <w:r>
              <w:rPr>
                <w:rFonts w:hint="default" w:eastAsia="宋体"/>
                <w:lang w:val="en-US" w:eastAsia="zh-CN"/>
              </w:rPr>
              <w:t>532627198606301110</w:t>
            </w:r>
          </w:p>
        </w:tc>
        <w:tc>
          <w:tcPr>
            <w:tcW w:w="1364" w:type="dxa"/>
            <w:noWrap w:val="0"/>
            <w:vAlign w:val="center"/>
          </w:tcPr>
          <w:p w14:paraId="451BFB92">
            <w:pPr>
              <w:pStyle w:val="54"/>
              <w:bidi w:val="0"/>
              <w:rPr>
                <w:rFonts w:hint="default" w:eastAsia="宋体"/>
                <w:lang w:val="en-US" w:eastAsia="zh-CN"/>
              </w:rPr>
            </w:pPr>
            <w:r>
              <w:rPr>
                <w:rFonts w:hint="default" w:eastAsia="宋体"/>
                <w:lang w:val="en-US" w:eastAsia="zh-CN"/>
              </w:rPr>
              <w:t>2027-09-24</w:t>
            </w:r>
          </w:p>
        </w:tc>
      </w:tr>
      <w:tr w14:paraId="1E23F9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873" w:type="dxa"/>
            <w:noWrap w:val="0"/>
            <w:vAlign w:val="center"/>
          </w:tcPr>
          <w:p w14:paraId="288E19D6">
            <w:pPr>
              <w:pStyle w:val="54"/>
              <w:bidi w:val="0"/>
              <w:rPr>
                <w:rFonts w:hint="default" w:eastAsia="宋体"/>
                <w:lang w:val="en-US" w:eastAsia="zh-CN"/>
              </w:rPr>
            </w:pPr>
            <w:r>
              <w:rPr>
                <w:rFonts w:hint="default" w:eastAsia="宋体"/>
                <w:lang w:val="en-US" w:eastAsia="zh-CN"/>
              </w:rPr>
              <w:t>胡仕鸿</w:t>
            </w:r>
          </w:p>
        </w:tc>
        <w:tc>
          <w:tcPr>
            <w:tcW w:w="670" w:type="dxa"/>
            <w:noWrap w:val="0"/>
            <w:vAlign w:val="center"/>
          </w:tcPr>
          <w:p w14:paraId="30ABB03F">
            <w:pPr>
              <w:pStyle w:val="54"/>
              <w:bidi w:val="0"/>
              <w:rPr>
                <w:rFonts w:hint="eastAsia" w:eastAsia="宋体"/>
                <w:lang w:val="en-US" w:eastAsia="zh-CN"/>
              </w:rPr>
            </w:pPr>
            <w:r>
              <w:rPr>
                <w:rFonts w:hint="eastAsia"/>
                <w:lang w:val="en-US" w:eastAsia="zh-CN"/>
              </w:rPr>
              <w:t>男</w:t>
            </w:r>
          </w:p>
        </w:tc>
        <w:tc>
          <w:tcPr>
            <w:tcW w:w="2063" w:type="dxa"/>
            <w:noWrap w:val="0"/>
            <w:vAlign w:val="center"/>
          </w:tcPr>
          <w:p w14:paraId="63981FF7">
            <w:pPr>
              <w:pStyle w:val="54"/>
              <w:bidi w:val="0"/>
              <w:rPr>
                <w:lang w:eastAsia="en-US"/>
              </w:rPr>
            </w:pPr>
            <w:r>
              <w:rPr>
                <w:rFonts w:hint="eastAsia"/>
                <w:lang w:eastAsia="en-US"/>
              </w:rPr>
              <w:t>安全生产管理人员</w:t>
            </w:r>
          </w:p>
        </w:tc>
        <w:tc>
          <w:tcPr>
            <w:tcW w:w="1931" w:type="dxa"/>
            <w:noWrap w:val="0"/>
            <w:vAlign w:val="center"/>
          </w:tcPr>
          <w:p w14:paraId="20013BC4">
            <w:pPr>
              <w:pStyle w:val="54"/>
              <w:bidi w:val="0"/>
              <w:rPr>
                <w:rFonts w:hint="eastAsia"/>
                <w:lang w:eastAsia="en-US"/>
              </w:rPr>
            </w:pPr>
            <w:r>
              <w:rPr>
                <w:rFonts w:hint="eastAsia"/>
                <w:lang w:eastAsia="en-US"/>
              </w:rPr>
              <w:t>文山州应急管理局</w:t>
            </w:r>
          </w:p>
        </w:tc>
        <w:tc>
          <w:tcPr>
            <w:tcW w:w="2154" w:type="dxa"/>
            <w:noWrap w:val="0"/>
            <w:vAlign w:val="center"/>
          </w:tcPr>
          <w:p w14:paraId="3A5ACF5B">
            <w:pPr>
              <w:pStyle w:val="54"/>
              <w:bidi w:val="0"/>
              <w:rPr>
                <w:rFonts w:hint="default" w:eastAsia="宋体"/>
                <w:lang w:val="en-US" w:eastAsia="zh-CN"/>
              </w:rPr>
            </w:pPr>
            <w:r>
              <w:rPr>
                <w:rFonts w:hint="default" w:eastAsia="宋体"/>
                <w:lang w:val="en-US" w:eastAsia="zh-CN"/>
              </w:rPr>
              <w:t>532627197401132515</w:t>
            </w:r>
          </w:p>
        </w:tc>
        <w:tc>
          <w:tcPr>
            <w:tcW w:w="1364" w:type="dxa"/>
            <w:noWrap w:val="0"/>
            <w:vAlign w:val="center"/>
          </w:tcPr>
          <w:p w14:paraId="0294507A">
            <w:pPr>
              <w:pStyle w:val="54"/>
              <w:bidi w:val="0"/>
              <w:rPr>
                <w:rFonts w:hint="default" w:eastAsia="宋体"/>
                <w:lang w:val="en-US" w:eastAsia="zh-CN"/>
              </w:rPr>
            </w:pPr>
            <w:r>
              <w:rPr>
                <w:rFonts w:hint="default" w:eastAsia="宋体"/>
                <w:lang w:val="en-US" w:eastAsia="zh-CN"/>
              </w:rPr>
              <w:t>2028-07-15</w:t>
            </w:r>
          </w:p>
        </w:tc>
      </w:tr>
    </w:tbl>
    <w:p w14:paraId="3D512199">
      <w:pPr>
        <w:widowControl/>
        <w:kinsoku w:val="0"/>
        <w:autoSpaceDE w:val="0"/>
        <w:autoSpaceDN w:val="0"/>
        <w:spacing w:line="128" w:lineRule="exact"/>
        <w:ind w:firstLine="0" w:firstLineChars="0"/>
        <w:jc w:val="left"/>
        <w:textAlignment w:val="baseline"/>
        <w:rPr>
          <w:rFonts w:ascii="Arial" w:hAnsi="Arial" w:eastAsia="Arial" w:cs="Arial"/>
          <w:snapToGrid w:val="0"/>
          <w:color w:val="000000"/>
          <w:spacing w:val="0"/>
          <w:kern w:val="0"/>
          <w:sz w:val="21"/>
          <w:szCs w:val="21"/>
          <w:lang w:eastAsia="en-US"/>
        </w:rPr>
      </w:pPr>
    </w:p>
    <w:p w14:paraId="162CED61">
      <w:pPr>
        <w:bidi w:val="0"/>
        <w:rPr>
          <w:rFonts w:hint="default" w:eastAsia="宋体"/>
          <w:color w:val="C00000"/>
          <w:lang w:val="en-US" w:eastAsia="zh-CN"/>
        </w:rPr>
      </w:pPr>
      <w:bookmarkStart w:id="229" w:name="bookmark38"/>
      <w:bookmarkEnd w:id="229"/>
      <w:bookmarkStart w:id="230" w:name="_Toc28853"/>
      <w:bookmarkStart w:id="231" w:name="_Toc28553"/>
      <w:bookmarkStart w:id="232" w:name="_Toc214284024"/>
      <w:r>
        <w:rPr>
          <w:rFonts w:hint="eastAsia"/>
          <w:lang w:val="en-US" w:eastAsia="zh-CN"/>
        </w:rPr>
        <w:t>4、结论：</w:t>
      </w:r>
      <w:r>
        <w:rPr>
          <w:lang w:val="en-US" w:eastAsia="en-US"/>
        </w:rPr>
        <w:t>安全</w:t>
      </w:r>
      <w:r>
        <w:rPr>
          <w:rFonts w:hint="eastAsia"/>
          <w:lang w:val="en-US" w:eastAsia="zh-CN"/>
        </w:rPr>
        <w:t>管理</w:t>
      </w:r>
      <w:r>
        <w:rPr>
          <w:lang w:val="en-US" w:eastAsia="en-US"/>
        </w:rPr>
        <w:t>人员</w:t>
      </w:r>
      <w:r>
        <w:rPr>
          <w:rFonts w:hint="eastAsia"/>
          <w:lang w:val="en-US" w:eastAsia="zh-CN"/>
        </w:rPr>
        <w:t>及持证情况满足要求。但未配置注册安全工程师。</w:t>
      </w:r>
    </w:p>
    <w:p w14:paraId="5B2F686E">
      <w:pPr>
        <w:pStyle w:val="5"/>
        <w:bidi w:val="0"/>
        <w:rPr>
          <w:rFonts w:hint="default" w:eastAsia="宋体"/>
          <w:lang w:val="en-US" w:eastAsia="zh-CN"/>
        </w:rPr>
      </w:pPr>
      <w:r>
        <w:rPr>
          <w:lang w:val="en-US" w:eastAsia="en-US"/>
        </w:rPr>
        <w:fldChar w:fldCharType="begin"/>
      </w:r>
      <w:r>
        <w:rPr>
          <w:lang w:val="en-US" w:eastAsia="en-US"/>
        </w:rPr>
        <w:instrText xml:space="preserve"> HYPERLINK "2.4.12.1" </w:instrText>
      </w:r>
      <w:r>
        <w:rPr>
          <w:lang w:val="en-US" w:eastAsia="en-US"/>
        </w:rPr>
        <w:fldChar w:fldCharType="separate"/>
      </w:r>
      <w:r>
        <w:rPr>
          <w:lang w:val="en-US" w:eastAsia="en-US"/>
        </w:rPr>
        <w:t>2.4.12.</w:t>
      </w:r>
      <w:r>
        <w:rPr>
          <w:rFonts w:hint="eastAsia"/>
          <w:lang w:val="en-US" w:eastAsia="zh-CN"/>
        </w:rPr>
        <w:t>3</w:t>
      </w:r>
      <w:r>
        <w:rPr>
          <w:lang w:val="en-US" w:eastAsia="en-US"/>
        </w:rPr>
        <w:fldChar w:fldCharType="end"/>
      </w:r>
      <w:r>
        <w:rPr>
          <w:rFonts w:hint="eastAsia"/>
          <w:lang w:val="en-US" w:eastAsia="zh-CN"/>
        </w:rPr>
        <w:t>特种作业</w:t>
      </w:r>
      <w:r>
        <w:rPr>
          <w:lang w:val="en-US" w:eastAsia="en-US"/>
        </w:rPr>
        <w:t>人员</w:t>
      </w:r>
      <w:r>
        <w:rPr>
          <w:rFonts w:hint="eastAsia"/>
          <w:lang w:val="en-US" w:eastAsia="zh-CN"/>
        </w:rPr>
        <w:t>及持证情况</w:t>
      </w:r>
      <w:bookmarkEnd w:id="230"/>
    </w:p>
    <w:p w14:paraId="10E101C2">
      <w:pPr>
        <w:kinsoku w:val="0"/>
        <w:autoSpaceDE w:val="0"/>
        <w:autoSpaceDN w:val="0"/>
        <w:adjustRightInd w:val="0"/>
        <w:snapToGrid w:val="0"/>
        <w:spacing w:before="212" w:line="357" w:lineRule="auto"/>
        <w:ind w:left="162" w:right="141" w:firstLine="555"/>
        <w:jc w:val="both"/>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5"/>
          <w:kern w:val="0"/>
          <w:sz w:val="28"/>
          <w:szCs w:val="28"/>
          <w:lang w:val="en-US" w:eastAsia="en-US" w:bidi="ar-SA"/>
        </w:rPr>
        <w:t>矿山</w:t>
      </w:r>
      <w:r>
        <w:rPr>
          <w:rFonts w:ascii="宋体" w:hAnsi="宋体" w:eastAsia="宋体" w:cs="宋体"/>
          <w:snapToGrid w:val="0"/>
          <w:color w:val="000000"/>
          <w:spacing w:val="7"/>
          <w:kern w:val="0"/>
          <w:sz w:val="28"/>
          <w:szCs w:val="28"/>
          <w:lang w:val="en-US" w:eastAsia="en-US" w:bidi="ar-SA"/>
        </w:rPr>
        <w:t>特种作业人员均培训后持证上岗</w:t>
      </w:r>
      <w:r>
        <w:rPr>
          <w:rFonts w:hint="eastAsia" w:ascii="宋体" w:hAnsi="宋体" w:eastAsia="宋体" w:cs="宋体"/>
          <w:snapToGrid w:val="0"/>
          <w:color w:val="000000"/>
          <w:spacing w:val="7"/>
          <w:kern w:val="0"/>
          <w:sz w:val="28"/>
          <w:szCs w:val="28"/>
          <w:lang w:val="en-US" w:eastAsia="zh-CN" w:bidi="ar-SA"/>
        </w:rPr>
        <w:t>，矿山按要求配备2名电工作业人员</w:t>
      </w:r>
      <w:r>
        <w:rPr>
          <w:rFonts w:ascii="宋体" w:hAnsi="宋体" w:eastAsia="宋体" w:cs="宋体"/>
          <w:snapToGrid w:val="0"/>
          <w:color w:val="000000"/>
          <w:spacing w:val="7"/>
          <w:kern w:val="0"/>
          <w:sz w:val="28"/>
          <w:szCs w:val="28"/>
          <w:lang w:val="en-US" w:eastAsia="en-US" w:bidi="ar-SA"/>
        </w:rPr>
        <w:t>。</w:t>
      </w:r>
      <w:r>
        <w:rPr>
          <w:rFonts w:ascii="宋体" w:hAnsi="宋体" w:eastAsia="宋体" w:cs="宋体"/>
          <w:snapToGrid w:val="0"/>
          <w:color w:val="000000"/>
          <w:spacing w:val="-1"/>
          <w:kern w:val="0"/>
          <w:sz w:val="28"/>
          <w:szCs w:val="28"/>
          <w:lang w:val="en-US" w:eastAsia="en-US" w:bidi="ar-SA"/>
        </w:rPr>
        <w:t>矿山</w:t>
      </w:r>
      <w:r>
        <w:rPr>
          <w:rFonts w:ascii="宋体" w:hAnsi="宋体" w:eastAsia="宋体" w:cs="宋体"/>
          <w:snapToGrid w:val="0"/>
          <w:color w:val="000000"/>
          <w:spacing w:val="7"/>
          <w:kern w:val="0"/>
          <w:sz w:val="28"/>
          <w:szCs w:val="28"/>
          <w:lang w:val="en-US" w:eastAsia="en-US" w:bidi="ar-SA"/>
        </w:rPr>
        <w:t>特种作业人员</w:t>
      </w:r>
      <w:r>
        <w:rPr>
          <w:rFonts w:ascii="宋体" w:hAnsi="宋体" w:eastAsia="宋体" w:cs="宋体"/>
          <w:snapToGrid w:val="0"/>
          <w:color w:val="000000"/>
          <w:spacing w:val="-1"/>
          <w:kern w:val="0"/>
          <w:sz w:val="28"/>
          <w:szCs w:val="28"/>
          <w:lang w:val="en-US" w:eastAsia="en-US" w:bidi="ar-SA"/>
        </w:rPr>
        <w:t>持证情况见表2</w:t>
      </w:r>
      <w:r>
        <w:rPr>
          <w:rFonts w:hint="eastAsia" w:ascii="宋体" w:hAnsi="宋体" w:eastAsia="宋体" w:cs="宋体"/>
          <w:snapToGrid w:val="0"/>
          <w:color w:val="000000"/>
          <w:spacing w:val="-1"/>
          <w:kern w:val="0"/>
          <w:sz w:val="28"/>
          <w:szCs w:val="28"/>
          <w:lang w:val="en-US" w:eastAsia="zh-CN" w:bidi="ar-SA"/>
        </w:rPr>
        <w:t>.4</w:t>
      </w:r>
      <w:r>
        <w:rPr>
          <w:rFonts w:ascii="宋体" w:hAnsi="宋体" w:eastAsia="宋体" w:cs="宋体"/>
          <w:snapToGrid w:val="0"/>
          <w:color w:val="000000"/>
          <w:spacing w:val="-1"/>
          <w:kern w:val="0"/>
          <w:sz w:val="28"/>
          <w:szCs w:val="28"/>
          <w:lang w:val="en-US" w:eastAsia="en-US" w:bidi="ar-SA"/>
        </w:rPr>
        <w:t>-</w:t>
      </w:r>
      <w:r>
        <w:rPr>
          <w:rFonts w:hint="eastAsia" w:ascii="宋体" w:hAnsi="宋体" w:eastAsia="宋体" w:cs="宋体"/>
          <w:snapToGrid w:val="0"/>
          <w:color w:val="000000"/>
          <w:spacing w:val="-2"/>
          <w:kern w:val="0"/>
          <w:sz w:val="28"/>
          <w:szCs w:val="28"/>
          <w:lang w:val="en-US" w:eastAsia="zh-CN" w:bidi="ar-SA"/>
        </w:rPr>
        <w:t>9</w:t>
      </w:r>
      <w:r>
        <w:rPr>
          <w:rFonts w:ascii="宋体" w:hAnsi="宋体" w:eastAsia="宋体" w:cs="宋体"/>
          <w:snapToGrid w:val="0"/>
          <w:color w:val="000000"/>
          <w:spacing w:val="-2"/>
          <w:kern w:val="0"/>
          <w:sz w:val="28"/>
          <w:szCs w:val="28"/>
          <w:lang w:val="en-US" w:eastAsia="en-US" w:bidi="ar-SA"/>
        </w:rPr>
        <w:t>。</w:t>
      </w:r>
    </w:p>
    <w:p w14:paraId="689894CD">
      <w:pPr>
        <w:pStyle w:val="45"/>
        <w:bidi w:val="0"/>
        <w:rPr>
          <w:lang w:val="en-US" w:eastAsia="en-US"/>
        </w:rPr>
      </w:pPr>
      <w:r>
        <w:rPr>
          <w:lang w:val="en-US" w:eastAsia="en-US"/>
        </w:rPr>
        <w:t>表2</w:t>
      </w:r>
      <w:r>
        <w:rPr>
          <w:rFonts w:hint="eastAsia"/>
          <w:lang w:val="en-US" w:eastAsia="zh-CN"/>
        </w:rPr>
        <w:t>.4</w:t>
      </w:r>
      <w:r>
        <w:rPr>
          <w:lang w:val="en-US" w:eastAsia="en-US"/>
        </w:rPr>
        <w:t>-</w:t>
      </w:r>
      <w:r>
        <w:rPr>
          <w:rFonts w:hint="eastAsia"/>
          <w:lang w:val="en-US" w:eastAsia="zh-CN"/>
        </w:rPr>
        <w:t>9</w:t>
      </w:r>
      <w:r>
        <w:rPr>
          <w:lang w:val="en-US" w:eastAsia="en-US"/>
        </w:rPr>
        <w:t>矿山人员资格证书一览表</w:t>
      </w:r>
    </w:p>
    <w:tbl>
      <w:tblPr>
        <w:tblStyle w:val="78"/>
        <w:tblW w:w="9239"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971"/>
        <w:gridCol w:w="851"/>
        <w:gridCol w:w="954"/>
        <w:gridCol w:w="2536"/>
        <w:gridCol w:w="2223"/>
        <w:gridCol w:w="1704"/>
      </w:tblGrid>
      <w:tr w14:paraId="742EBDB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971" w:type="dxa"/>
            <w:noWrap w:val="0"/>
            <w:vAlign w:val="top"/>
          </w:tcPr>
          <w:p w14:paraId="015181AF">
            <w:pPr>
              <w:widowControl/>
              <w:kinsoku w:val="0"/>
              <w:autoSpaceDE w:val="0"/>
              <w:autoSpaceDN w:val="0"/>
              <w:spacing w:before="125" w:line="221" w:lineRule="auto"/>
              <w:ind w:left="281"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姓名</w:t>
            </w:r>
          </w:p>
        </w:tc>
        <w:tc>
          <w:tcPr>
            <w:tcW w:w="851" w:type="dxa"/>
            <w:noWrap w:val="0"/>
            <w:vAlign w:val="top"/>
          </w:tcPr>
          <w:p w14:paraId="24BF508F">
            <w:pPr>
              <w:widowControl/>
              <w:kinsoku w:val="0"/>
              <w:autoSpaceDE w:val="0"/>
              <w:autoSpaceDN w:val="0"/>
              <w:spacing w:before="125" w:line="221" w:lineRule="auto"/>
              <w:ind w:left="222"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5"/>
                <w:kern w:val="0"/>
                <w:sz w:val="21"/>
                <w:szCs w:val="21"/>
                <w:lang w:eastAsia="en-US"/>
              </w:rPr>
              <w:t>性别</w:t>
            </w:r>
          </w:p>
        </w:tc>
        <w:tc>
          <w:tcPr>
            <w:tcW w:w="954" w:type="dxa"/>
            <w:noWrap w:val="0"/>
            <w:vAlign w:val="top"/>
          </w:tcPr>
          <w:p w14:paraId="61C14CAD">
            <w:pPr>
              <w:widowControl/>
              <w:kinsoku w:val="0"/>
              <w:autoSpaceDE w:val="0"/>
              <w:autoSpaceDN w:val="0"/>
              <w:spacing w:before="125" w:line="221" w:lineRule="auto"/>
              <w:ind w:left="0" w:leftChars="0"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人员类型</w:t>
            </w:r>
          </w:p>
        </w:tc>
        <w:tc>
          <w:tcPr>
            <w:tcW w:w="2536" w:type="dxa"/>
            <w:noWrap w:val="0"/>
            <w:vAlign w:val="top"/>
          </w:tcPr>
          <w:p w14:paraId="20236F82">
            <w:pPr>
              <w:widowControl/>
              <w:kinsoku w:val="0"/>
              <w:autoSpaceDE w:val="0"/>
              <w:autoSpaceDN w:val="0"/>
              <w:spacing w:before="125" w:line="221" w:lineRule="auto"/>
              <w:ind w:left="554"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发证单位</w:t>
            </w:r>
          </w:p>
        </w:tc>
        <w:tc>
          <w:tcPr>
            <w:tcW w:w="2223" w:type="dxa"/>
            <w:noWrap w:val="0"/>
            <w:vAlign w:val="top"/>
          </w:tcPr>
          <w:p w14:paraId="7F0FE9D4">
            <w:pPr>
              <w:widowControl/>
              <w:kinsoku w:val="0"/>
              <w:autoSpaceDE w:val="0"/>
              <w:autoSpaceDN w:val="0"/>
              <w:spacing w:before="125" w:line="220" w:lineRule="auto"/>
              <w:ind w:left="720"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3"/>
                <w:kern w:val="0"/>
                <w:sz w:val="21"/>
                <w:szCs w:val="21"/>
                <w:lang w:eastAsia="en-US"/>
              </w:rPr>
              <w:t>证书编号</w:t>
            </w:r>
          </w:p>
        </w:tc>
        <w:tc>
          <w:tcPr>
            <w:tcW w:w="1704" w:type="dxa"/>
            <w:noWrap w:val="0"/>
            <w:vAlign w:val="top"/>
          </w:tcPr>
          <w:p w14:paraId="2E7B58E6">
            <w:pPr>
              <w:widowControl/>
              <w:kinsoku w:val="0"/>
              <w:autoSpaceDE w:val="0"/>
              <w:autoSpaceDN w:val="0"/>
              <w:spacing w:before="125" w:line="221" w:lineRule="auto"/>
              <w:ind w:left="388"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有效期</w:t>
            </w:r>
          </w:p>
        </w:tc>
      </w:tr>
      <w:tr w14:paraId="339450F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971" w:type="dxa"/>
            <w:noWrap w:val="0"/>
            <w:vAlign w:val="top"/>
          </w:tcPr>
          <w:p w14:paraId="6E063BB2">
            <w:pPr>
              <w:widowControl/>
              <w:kinsoku w:val="0"/>
              <w:autoSpaceDE w:val="0"/>
              <w:autoSpaceDN w:val="0"/>
              <w:spacing w:before="125" w:line="223" w:lineRule="auto"/>
              <w:ind w:left="176" w:firstLine="0" w:firstLineChars="0"/>
              <w:jc w:val="left"/>
              <w:textAlignment w:val="baseline"/>
              <w:rPr>
                <w:rFonts w:hint="default" w:ascii="宋体" w:hAnsi="宋体" w:eastAsia="宋体" w:cs="宋体"/>
                <w:snapToGrid w:val="0"/>
                <w:color w:val="000000"/>
                <w:spacing w:val="0"/>
                <w:kern w:val="0"/>
                <w:sz w:val="21"/>
                <w:szCs w:val="21"/>
                <w:lang w:val="en-US" w:eastAsia="zh-CN"/>
              </w:rPr>
            </w:pPr>
            <w:r>
              <w:rPr>
                <w:rFonts w:hint="eastAsia" w:ascii="宋体" w:hAnsi="宋体" w:cs="宋体"/>
                <w:snapToGrid w:val="0"/>
                <w:color w:val="000000"/>
                <w:spacing w:val="0"/>
                <w:kern w:val="0"/>
                <w:sz w:val="21"/>
                <w:szCs w:val="21"/>
                <w:lang w:val="en-US" w:eastAsia="zh-CN"/>
              </w:rPr>
              <w:t>韦  明</w:t>
            </w:r>
          </w:p>
        </w:tc>
        <w:tc>
          <w:tcPr>
            <w:tcW w:w="851" w:type="dxa"/>
            <w:noWrap w:val="0"/>
            <w:vAlign w:val="top"/>
          </w:tcPr>
          <w:p w14:paraId="6CAC924B">
            <w:pPr>
              <w:widowControl/>
              <w:kinsoku w:val="0"/>
              <w:autoSpaceDE w:val="0"/>
              <w:autoSpaceDN w:val="0"/>
              <w:spacing w:before="125" w:line="221" w:lineRule="auto"/>
              <w:ind w:left="334"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0"/>
                <w:kern w:val="0"/>
                <w:sz w:val="21"/>
                <w:szCs w:val="21"/>
                <w:lang w:eastAsia="en-US"/>
              </w:rPr>
              <w:t>男</w:t>
            </w:r>
          </w:p>
        </w:tc>
        <w:tc>
          <w:tcPr>
            <w:tcW w:w="954" w:type="dxa"/>
            <w:noWrap w:val="0"/>
            <w:vAlign w:val="top"/>
          </w:tcPr>
          <w:p w14:paraId="6E131E03">
            <w:pPr>
              <w:widowControl/>
              <w:kinsoku w:val="0"/>
              <w:autoSpaceDE w:val="0"/>
              <w:autoSpaceDN w:val="0"/>
              <w:spacing w:before="125" w:line="221" w:lineRule="auto"/>
              <w:ind w:left="0" w:leftChars="0" w:firstLine="0" w:firstLineChars="0"/>
              <w:jc w:val="both"/>
              <w:textAlignment w:val="baseline"/>
              <w:rPr>
                <w:rFonts w:ascii="宋体" w:hAnsi="宋体" w:eastAsia="宋体" w:cs="宋体"/>
                <w:snapToGrid w:val="0"/>
                <w:color w:val="000000"/>
                <w:spacing w:val="0"/>
                <w:kern w:val="0"/>
                <w:sz w:val="21"/>
                <w:szCs w:val="21"/>
                <w:lang w:eastAsia="en-US"/>
              </w:rPr>
            </w:pPr>
            <w:r>
              <w:rPr>
                <w:rFonts w:hint="eastAsia" w:ascii="宋体" w:hAnsi="宋体" w:cs="宋体"/>
                <w:snapToGrid w:val="0"/>
                <w:color w:val="000000"/>
                <w:spacing w:val="-8"/>
                <w:kern w:val="0"/>
                <w:sz w:val="21"/>
                <w:szCs w:val="21"/>
                <w:lang w:val="en-US" w:eastAsia="zh-CN"/>
              </w:rPr>
              <w:t>高压</w:t>
            </w:r>
            <w:r>
              <w:rPr>
                <w:rFonts w:ascii="宋体" w:hAnsi="宋体" w:eastAsia="宋体" w:cs="宋体"/>
                <w:snapToGrid w:val="0"/>
                <w:color w:val="000000"/>
                <w:spacing w:val="-8"/>
                <w:kern w:val="0"/>
                <w:sz w:val="21"/>
                <w:szCs w:val="21"/>
                <w:lang w:eastAsia="en-US"/>
              </w:rPr>
              <w:t>电工</w:t>
            </w:r>
          </w:p>
        </w:tc>
        <w:tc>
          <w:tcPr>
            <w:tcW w:w="2536" w:type="dxa"/>
            <w:noWrap w:val="0"/>
            <w:vAlign w:val="top"/>
          </w:tcPr>
          <w:p w14:paraId="2F2AADD6">
            <w:pPr>
              <w:widowControl/>
              <w:kinsoku w:val="0"/>
              <w:autoSpaceDE w:val="0"/>
              <w:autoSpaceDN w:val="0"/>
              <w:spacing w:before="124" w:line="221" w:lineRule="auto"/>
              <w:ind w:left="129" w:firstLine="0" w:firstLineChars="0"/>
              <w:jc w:val="left"/>
              <w:textAlignment w:val="baseline"/>
              <w:rPr>
                <w:rFonts w:hint="default" w:ascii="宋体" w:hAnsi="宋体" w:eastAsia="宋体" w:cs="宋体"/>
                <w:snapToGrid w:val="0"/>
                <w:color w:val="000000"/>
                <w:spacing w:val="0"/>
                <w:kern w:val="0"/>
                <w:sz w:val="21"/>
                <w:szCs w:val="21"/>
                <w:lang w:val="en-US" w:eastAsia="zh-CN"/>
              </w:rPr>
            </w:pPr>
            <w:r>
              <w:rPr>
                <w:rFonts w:hint="eastAsia" w:ascii="宋体" w:hAnsi="宋体" w:cs="宋体"/>
                <w:snapToGrid w:val="0"/>
                <w:color w:val="000000"/>
                <w:spacing w:val="0"/>
                <w:kern w:val="0"/>
                <w:sz w:val="21"/>
                <w:szCs w:val="21"/>
                <w:lang w:val="en-US" w:eastAsia="zh-CN"/>
              </w:rPr>
              <w:t>浙江省应急管理厅</w:t>
            </w:r>
          </w:p>
        </w:tc>
        <w:tc>
          <w:tcPr>
            <w:tcW w:w="2223" w:type="dxa"/>
            <w:noWrap w:val="0"/>
            <w:vAlign w:val="top"/>
          </w:tcPr>
          <w:p w14:paraId="39A58303">
            <w:pPr>
              <w:widowControl/>
              <w:kinsoku w:val="0"/>
              <w:autoSpaceDE w:val="0"/>
              <w:autoSpaceDN w:val="0"/>
              <w:spacing w:before="159" w:line="183" w:lineRule="auto"/>
              <w:ind w:left="141" w:firstLine="0" w:firstLineChars="0"/>
              <w:jc w:val="left"/>
              <w:textAlignment w:val="baseline"/>
              <w:rPr>
                <w:rFonts w:ascii="宋体" w:hAnsi="宋体" w:eastAsia="宋体" w:cs="宋体"/>
                <w:snapToGrid w:val="0"/>
                <w:color w:val="000000"/>
                <w:spacing w:val="0"/>
                <w:kern w:val="0"/>
                <w:sz w:val="21"/>
                <w:szCs w:val="21"/>
                <w:lang w:eastAsia="en-US"/>
              </w:rPr>
            </w:pPr>
            <w:r>
              <w:rPr>
                <w:rFonts w:hint="eastAsia" w:ascii="宋体" w:hAnsi="宋体" w:eastAsia="宋体" w:cs="宋体"/>
                <w:snapToGrid w:val="0"/>
                <w:color w:val="000000"/>
                <w:spacing w:val="0"/>
                <w:kern w:val="0"/>
                <w:sz w:val="21"/>
                <w:szCs w:val="21"/>
                <w:lang w:eastAsia="en-US"/>
              </w:rPr>
              <w:t>1420502197906020017</w:t>
            </w:r>
          </w:p>
        </w:tc>
        <w:tc>
          <w:tcPr>
            <w:tcW w:w="1704" w:type="dxa"/>
            <w:noWrap w:val="0"/>
            <w:vAlign w:val="top"/>
          </w:tcPr>
          <w:p w14:paraId="5FFC64F8">
            <w:pPr>
              <w:widowControl/>
              <w:kinsoku w:val="0"/>
              <w:autoSpaceDE w:val="0"/>
              <w:autoSpaceDN w:val="0"/>
              <w:spacing w:before="124" w:line="241" w:lineRule="auto"/>
              <w:ind w:left="181" w:firstLine="0" w:firstLineChars="0"/>
              <w:jc w:val="left"/>
              <w:textAlignment w:val="baseline"/>
              <w:rPr>
                <w:rFonts w:hint="default" w:ascii="宋体" w:hAnsi="宋体" w:eastAsia="宋体" w:cs="宋体"/>
                <w:snapToGrid w:val="0"/>
                <w:color w:val="000000"/>
                <w:spacing w:val="0"/>
                <w:kern w:val="0"/>
                <w:sz w:val="21"/>
                <w:szCs w:val="21"/>
                <w:lang w:val="en-US" w:eastAsia="zh-CN"/>
              </w:rPr>
            </w:pPr>
            <w:r>
              <w:rPr>
                <w:rFonts w:hint="eastAsia" w:ascii="宋体" w:hAnsi="宋体" w:cs="宋体"/>
                <w:snapToGrid w:val="0"/>
                <w:color w:val="000000"/>
                <w:spacing w:val="0"/>
                <w:kern w:val="0"/>
                <w:sz w:val="21"/>
                <w:szCs w:val="21"/>
                <w:lang w:val="en-US" w:eastAsia="zh-CN"/>
              </w:rPr>
              <w:t>2027年9月28日</w:t>
            </w:r>
          </w:p>
        </w:tc>
      </w:tr>
      <w:tr w14:paraId="103730D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971" w:type="dxa"/>
            <w:noWrap w:val="0"/>
            <w:vAlign w:val="top"/>
          </w:tcPr>
          <w:p w14:paraId="1DAEF4A8">
            <w:pPr>
              <w:widowControl/>
              <w:kinsoku w:val="0"/>
              <w:autoSpaceDE w:val="0"/>
              <w:autoSpaceDN w:val="0"/>
              <w:spacing w:before="125" w:line="221" w:lineRule="auto"/>
              <w:ind w:left="177" w:firstLine="0" w:firstLineChars="0"/>
              <w:jc w:val="left"/>
              <w:textAlignment w:val="baseline"/>
              <w:rPr>
                <w:rFonts w:hint="default" w:ascii="宋体" w:hAnsi="宋体" w:eastAsia="宋体" w:cs="宋体"/>
                <w:snapToGrid w:val="0"/>
                <w:color w:val="000000"/>
                <w:spacing w:val="-2"/>
                <w:kern w:val="0"/>
                <w:sz w:val="21"/>
                <w:szCs w:val="21"/>
                <w:lang w:val="en-US" w:eastAsia="zh-CN"/>
              </w:rPr>
            </w:pPr>
            <w:r>
              <w:rPr>
                <w:rFonts w:hint="eastAsia" w:ascii="宋体" w:hAnsi="宋体" w:cs="宋体"/>
                <w:snapToGrid w:val="0"/>
                <w:color w:val="000000"/>
                <w:spacing w:val="-2"/>
                <w:kern w:val="0"/>
                <w:sz w:val="21"/>
                <w:szCs w:val="21"/>
                <w:lang w:val="en-US" w:eastAsia="zh-CN"/>
              </w:rPr>
              <w:t>农云涛</w:t>
            </w:r>
          </w:p>
        </w:tc>
        <w:tc>
          <w:tcPr>
            <w:tcW w:w="851" w:type="dxa"/>
            <w:noWrap w:val="0"/>
            <w:vAlign w:val="top"/>
          </w:tcPr>
          <w:p w14:paraId="2D8CE4D5">
            <w:pPr>
              <w:widowControl/>
              <w:kinsoku w:val="0"/>
              <w:autoSpaceDE w:val="0"/>
              <w:autoSpaceDN w:val="0"/>
              <w:spacing w:before="126" w:line="221" w:lineRule="auto"/>
              <w:ind w:left="334" w:firstLine="0" w:firstLineChars="0"/>
              <w:jc w:val="left"/>
              <w:textAlignment w:val="baseline"/>
              <w:rPr>
                <w:rFonts w:hint="eastAsia" w:ascii="宋体" w:hAnsi="宋体" w:eastAsia="宋体" w:cs="宋体"/>
                <w:snapToGrid w:val="0"/>
                <w:color w:val="000000"/>
                <w:spacing w:val="0"/>
                <w:kern w:val="0"/>
                <w:sz w:val="21"/>
                <w:szCs w:val="21"/>
                <w:lang w:val="en-US" w:eastAsia="zh-CN"/>
              </w:rPr>
            </w:pPr>
            <w:r>
              <w:rPr>
                <w:rFonts w:hint="eastAsia" w:ascii="宋体" w:hAnsi="宋体" w:cs="宋体"/>
                <w:snapToGrid w:val="0"/>
                <w:color w:val="000000"/>
                <w:spacing w:val="0"/>
                <w:kern w:val="0"/>
                <w:sz w:val="21"/>
                <w:szCs w:val="21"/>
                <w:lang w:val="en-US" w:eastAsia="zh-CN"/>
              </w:rPr>
              <w:t>男</w:t>
            </w:r>
          </w:p>
        </w:tc>
        <w:tc>
          <w:tcPr>
            <w:tcW w:w="954" w:type="dxa"/>
            <w:noWrap w:val="0"/>
            <w:vAlign w:val="top"/>
          </w:tcPr>
          <w:p w14:paraId="590C0621">
            <w:pPr>
              <w:widowControl/>
              <w:kinsoku w:val="0"/>
              <w:autoSpaceDE w:val="0"/>
              <w:autoSpaceDN w:val="0"/>
              <w:spacing w:before="125" w:line="221" w:lineRule="auto"/>
              <w:ind w:left="0" w:leftChars="0" w:firstLine="0" w:firstLineChars="0"/>
              <w:jc w:val="both"/>
              <w:textAlignment w:val="baseline"/>
              <w:rPr>
                <w:rFonts w:ascii="宋体" w:hAnsi="宋体" w:eastAsia="宋体" w:cs="宋体"/>
                <w:snapToGrid w:val="0"/>
                <w:color w:val="000000"/>
                <w:spacing w:val="-1"/>
                <w:kern w:val="0"/>
                <w:sz w:val="21"/>
                <w:szCs w:val="21"/>
                <w:lang w:eastAsia="en-US"/>
              </w:rPr>
            </w:pPr>
            <w:r>
              <w:rPr>
                <w:rFonts w:hint="eastAsia" w:ascii="宋体" w:hAnsi="宋体" w:cs="宋体"/>
                <w:snapToGrid w:val="0"/>
                <w:color w:val="000000"/>
                <w:spacing w:val="-8"/>
                <w:kern w:val="0"/>
                <w:sz w:val="21"/>
                <w:szCs w:val="21"/>
                <w:lang w:val="en-US" w:eastAsia="zh-CN"/>
              </w:rPr>
              <w:t>维修</w:t>
            </w:r>
            <w:r>
              <w:rPr>
                <w:rFonts w:ascii="宋体" w:hAnsi="宋体" w:eastAsia="宋体" w:cs="宋体"/>
                <w:snapToGrid w:val="0"/>
                <w:color w:val="000000"/>
                <w:spacing w:val="-8"/>
                <w:kern w:val="0"/>
                <w:sz w:val="21"/>
                <w:szCs w:val="21"/>
                <w:lang w:eastAsia="en-US"/>
              </w:rPr>
              <w:t>电工</w:t>
            </w:r>
          </w:p>
        </w:tc>
        <w:tc>
          <w:tcPr>
            <w:tcW w:w="2536" w:type="dxa"/>
            <w:noWrap w:val="0"/>
            <w:vAlign w:val="top"/>
          </w:tcPr>
          <w:p w14:paraId="6D1F523D">
            <w:pPr>
              <w:widowControl/>
              <w:kinsoku w:val="0"/>
              <w:autoSpaceDE w:val="0"/>
              <w:autoSpaceDN w:val="0"/>
              <w:spacing w:before="125" w:line="221" w:lineRule="auto"/>
              <w:ind w:left="131" w:firstLine="0" w:firstLineChars="0"/>
              <w:jc w:val="left"/>
              <w:textAlignment w:val="baseline"/>
              <w:rPr>
                <w:rFonts w:hint="default" w:ascii="宋体" w:hAnsi="宋体" w:eastAsia="宋体" w:cs="宋体"/>
                <w:snapToGrid w:val="0"/>
                <w:color w:val="000000"/>
                <w:spacing w:val="-1"/>
                <w:kern w:val="0"/>
                <w:sz w:val="21"/>
                <w:szCs w:val="21"/>
                <w:lang w:val="en-US" w:eastAsia="zh-CN"/>
              </w:rPr>
            </w:pPr>
            <w:r>
              <w:rPr>
                <w:rFonts w:hint="eastAsia" w:ascii="宋体" w:hAnsi="宋体" w:cs="宋体"/>
                <w:snapToGrid w:val="0"/>
                <w:color w:val="000000"/>
                <w:spacing w:val="-1"/>
                <w:kern w:val="0"/>
                <w:sz w:val="21"/>
                <w:szCs w:val="21"/>
                <w:lang w:val="en-US" w:eastAsia="zh-CN"/>
              </w:rPr>
              <w:t>人力资源和社会保障部</w:t>
            </w:r>
          </w:p>
        </w:tc>
        <w:tc>
          <w:tcPr>
            <w:tcW w:w="2223" w:type="dxa"/>
            <w:noWrap w:val="0"/>
            <w:vAlign w:val="top"/>
          </w:tcPr>
          <w:p w14:paraId="49042B31">
            <w:pPr>
              <w:widowControl/>
              <w:kinsoku w:val="0"/>
              <w:autoSpaceDE w:val="0"/>
              <w:autoSpaceDN w:val="0"/>
              <w:spacing w:before="160" w:line="183" w:lineRule="auto"/>
              <w:ind w:left="141" w:firstLine="0" w:firstLineChars="0"/>
              <w:jc w:val="left"/>
              <w:textAlignment w:val="baseline"/>
              <w:rPr>
                <w:rFonts w:ascii="宋体" w:hAnsi="宋体" w:eastAsia="宋体" w:cs="宋体"/>
                <w:snapToGrid w:val="0"/>
                <w:color w:val="000000"/>
                <w:spacing w:val="-1"/>
                <w:kern w:val="0"/>
                <w:sz w:val="21"/>
                <w:szCs w:val="21"/>
                <w:lang w:eastAsia="en-US"/>
              </w:rPr>
            </w:pPr>
            <w:r>
              <w:rPr>
                <w:rFonts w:hint="eastAsia" w:ascii="宋体" w:hAnsi="宋体" w:eastAsia="宋体" w:cs="宋体"/>
                <w:snapToGrid w:val="0"/>
                <w:color w:val="000000"/>
                <w:spacing w:val="-1"/>
                <w:kern w:val="0"/>
                <w:sz w:val="21"/>
                <w:szCs w:val="21"/>
                <w:lang w:eastAsia="en-US"/>
              </w:rPr>
              <w:t>1224070000511656</w:t>
            </w:r>
          </w:p>
        </w:tc>
        <w:tc>
          <w:tcPr>
            <w:tcW w:w="1704" w:type="dxa"/>
            <w:noWrap w:val="0"/>
            <w:vAlign w:val="top"/>
          </w:tcPr>
          <w:p w14:paraId="7F7AA515">
            <w:pPr>
              <w:widowControl/>
              <w:kinsoku w:val="0"/>
              <w:autoSpaceDE w:val="0"/>
              <w:autoSpaceDN w:val="0"/>
              <w:spacing w:before="126" w:line="241" w:lineRule="auto"/>
              <w:ind w:left="181" w:firstLine="0" w:firstLineChars="0"/>
              <w:jc w:val="left"/>
              <w:textAlignment w:val="baseline"/>
              <w:rPr>
                <w:rFonts w:hint="default" w:ascii="宋体" w:hAnsi="宋体" w:eastAsia="宋体" w:cs="宋体"/>
                <w:snapToGrid w:val="0"/>
                <w:color w:val="000000"/>
                <w:spacing w:val="-1"/>
                <w:kern w:val="0"/>
                <w:sz w:val="21"/>
                <w:szCs w:val="21"/>
                <w:lang w:val="en-US" w:eastAsia="zh-CN"/>
              </w:rPr>
            </w:pPr>
            <w:r>
              <w:rPr>
                <w:rFonts w:hint="eastAsia" w:ascii="宋体" w:hAnsi="宋体" w:cs="宋体"/>
                <w:snapToGrid w:val="0"/>
                <w:color w:val="000000"/>
                <w:spacing w:val="-1"/>
                <w:kern w:val="0"/>
                <w:sz w:val="21"/>
                <w:szCs w:val="21"/>
                <w:lang w:val="en-US" w:eastAsia="zh-CN"/>
              </w:rPr>
              <w:t>无</w:t>
            </w:r>
          </w:p>
        </w:tc>
      </w:tr>
      <w:tr w14:paraId="6AE2030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33" w:hRule="atLeast"/>
        </w:trPr>
        <w:tc>
          <w:tcPr>
            <w:tcW w:w="971" w:type="dxa"/>
            <w:noWrap w:val="0"/>
            <w:vAlign w:val="top"/>
          </w:tcPr>
          <w:p w14:paraId="6FAE4348">
            <w:pPr>
              <w:widowControl/>
              <w:kinsoku w:val="0"/>
              <w:autoSpaceDE w:val="0"/>
              <w:autoSpaceDN w:val="0"/>
              <w:spacing w:before="125" w:line="221" w:lineRule="auto"/>
              <w:ind w:left="177" w:firstLine="0" w:firstLineChars="0"/>
              <w:jc w:val="left"/>
              <w:textAlignment w:val="baseline"/>
              <w:rPr>
                <w:rFonts w:ascii="宋体" w:hAnsi="宋体" w:eastAsia="宋体" w:cs="宋体"/>
                <w:snapToGrid w:val="0"/>
                <w:color w:val="000000"/>
                <w:spacing w:val="0"/>
                <w:kern w:val="0"/>
                <w:sz w:val="21"/>
                <w:szCs w:val="21"/>
                <w:lang w:eastAsia="en-US"/>
              </w:rPr>
            </w:pPr>
            <w:r>
              <w:rPr>
                <w:rFonts w:hint="eastAsia" w:ascii="宋体" w:hAnsi="宋体" w:eastAsia="宋体" w:cs="宋体"/>
                <w:snapToGrid w:val="0"/>
                <w:color w:val="000000"/>
                <w:spacing w:val="0"/>
                <w:kern w:val="0"/>
                <w:sz w:val="21"/>
                <w:szCs w:val="21"/>
                <w:lang w:eastAsia="en-US"/>
              </w:rPr>
              <w:t>伏光鹅</w:t>
            </w:r>
          </w:p>
        </w:tc>
        <w:tc>
          <w:tcPr>
            <w:tcW w:w="851" w:type="dxa"/>
            <w:noWrap w:val="0"/>
            <w:vAlign w:val="top"/>
          </w:tcPr>
          <w:p w14:paraId="0A52CB3D">
            <w:pPr>
              <w:widowControl/>
              <w:kinsoku w:val="0"/>
              <w:autoSpaceDE w:val="0"/>
              <w:autoSpaceDN w:val="0"/>
              <w:spacing w:before="126" w:line="221" w:lineRule="auto"/>
              <w:jc w:val="left"/>
              <w:textAlignment w:val="baseline"/>
              <w:rPr>
                <w:rFonts w:hint="default" w:ascii="宋体" w:hAnsi="宋体" w:eastAsia="宋体" w:cs="宋体"/>
                <w:snapToGrid w:val="0"/>
                <w:color w:val="000000"/>
                <w:spacing w:val="0"/>
                <w:kern w:val="0"/>
                <w:sz w:val="21"/>
                <w:szCs w:val="21"/>
                <w:lang w:val="en-US" w:eastAsia="zh-CN"/>
              </w:rPr>
            </w:pPr>
            <w:r>
              <w:rPr>
                <w:rFonts w:hint="eastAsia" w:ascii="宋体" w:hAnsi="宋体" w:cs="宋体"/>
                <w:snapToGrid w:val="0"/>
                <w:color w:val="000000"/>
                <w:spacing w:val="0"/>
                <w:kern w:val="0"/>
                <w:sz w:val="21"/>
                <w:szCs w:val="21"/>
                <w:lang w:val="en-US" w:eastAsia="zh-CN"/>
              </w:rPr>
              <w:t>女</w:t>
            </w:r>
          </w:p>
        </w:tc>
        <w:tc>
          <w:tcPr>
            <w:tcW w:w="954" w:type="dxa"/>
            <w:noWrap w:val="0"/>
            <w:vAlign w:val="top"/>
          </w:tcPr>
          <w:p w14:paraId="4EE3E001">
            <w:pPr>
              <w:widowControl/>
              <w:kinsoku w:val="0"/>
              <w:autoSpaceDE w:val="0"/>
              <w:autoSpaceDN w:val="0"/>
              <w:spacing w:before="125" w:line="221" w:lineRule="auto"/>
              <w:ind w:left="0" w:leftChars="0" w:firstLine="0" w:firstLineChars="0"/>
              <w:jc w:val="both"/>
              <w:textAlignment w:val="baseline"/>
              <w:rPr>
                <w:rFonts w:hint="eastAsia" w:ascii="宋体" w:hAnsi="宋体" w:eastAsia="宋体" w:cs="宋体"/>
                <w:snapToGrid w:val="0"/>
                <w:color w:val="000000"/>
                <w:spacing w:val="0"/>
                <w:kern w:val="0"/>
                <w:sz w:val="21"/>
                <w:szCs w:val="21"/>
                <w:lang w:eastAsia="zh-CN"/>
              </w:rPr>
            </w:pPr>
            <w:r>
              <w:rPr>
                <w:rFonts w:ascii="宋体" w:hAnsi="宋体" w:eastAsia="宋体" w:cs="宋体"/>
                <w:snapToGrid w:val="0"/>
                <w:color w:val="000000"/>
                <w:spacing w:val="-1"/>
                <w:kern w:val="0"/>
                <w:sz w:val="21"/>
                <w:szCs w:val="21"/>
                <w:lang w:eastAsia="en-US"/>
              </w:rPr>
              <w:t>焊</w:t>
            </w:r>
            <w:r>
              <w:rPr>
                <w:rFonts w:hint="eastAsia" w:ascii="宋体" w:hAnsi="宋体" w:cs="宋体"/>
                <w:snapToGrid w:val="0"/>
                <w:color w:val="000000"/>
                <w:spacing w:val="-1"/>
                <w:kern w:val="0"/>
                <w:sz w:val="21"/>
                <w:szCs w:val="21"/>
                <w:lang w:val="en-US" w:eastAsia="zh-CN"/>
              </w:rPr>
              <w:t>工</w:t>
            </w:r>
          </w:p>
        </w:tc>
        <w:tc>
          <w:tcPr>
            <w:tcW w:w="2536" w:type="dxa"/>
            <w:noWrap w:val="0"/>
            <w:vAlign w:val="top"/>
          </w:tcPr>
          <w:p w14:paraId="136387EE">
            <w:pPr>
              <w:widowControl/>
              <w:kinsoku w:val="0"/>
              <w:autoSpaceDE w:val="0"/>
              <w:autoSpaceDN w:val="0"/>
              <w:spacing w:before="125" w:line="221" w:lineRule="auto"/>
              <w:ind w:left="131" w:firstLine="0" w:firstLineChars="0"/>
              <w:jc w:val="left"/>
              <w:textAlignment w:val="baseline"/>
              <w:rPr>
                <w:rFonts w:hint="default" w:ascii="宋体" w:hAnsi="宋体" w:eastAsia="宋体" w:cs="宋体"/>
                <w:snapToGrid w:val="0"/>
                <w:color w:val="000000"/>
                <w:spacing w:val="0"/>
                <w:kern w:val="0"/>
                <w:sz w:val="21"/>
                <w:szCs w:val="21"/>
                <w:lang w:val="en-US" w:eastAsia="zh-CN"/>
              </w:rPr>
            </w:pPr>
            <w:r>
              <w:rPr>
                <w:rFonts w:hint="eastAsia" w:ascii="宋体" w:hAnsi="宋体" w:cs="宋体"/>
                <w:snapToGrid w:val="0"/>
                <w:color w:val="000000"/>
                <w:spacing w:val="0"/>
                <w:kern w:val="0"/>
                <w:sz w:val="21"/>
                <w:szCs w:val="21"/>
                <w:lang w:val="en-US" w:eastAsia="zh-CN"/>
              </w:rPr>
              <w:t>云南省住房和城乡建设厅</w:t>
            </w:r>
          </w:p>
        </w:tc>
        <w:tc>
          <w:tcPr>
            <w:tcW w:w="2223" w:type="dxa"/>
            <w:noWrap w:val="0"/>
            <w:vAlign w:val="top"/>
          </w:tcPr>
          <w:p w14:paraId="4E84E603">
            <w:pPr>
              <w:widowControl/>
              <w:kinsoku w:val="0"/>
              <w:autoSpaceDE w:val="0"/>
              <w:autoSpaceDN w:val="0"/>
              <w:spacing w:before="160" w:line="183" w:lineRule="auto"/>
              <w:ind w:left="141" w:firstLine="0" w:firstLineChars="0"/>
              <w:jc w:val="left"/>
              <w:textAlignment w:val="baseline"/>
              <w:rPr>
                <w:rFonts w:ascii="宋体" w:hAnsi="宋体" w:eastAsia="宋体" w:cs="宋体"/>
                <w:snapToGrid w:val="0"/>
                <w:color w:val="000000"/>
                <w:spacing w:val="0"/>
                <w:kern w:val="0"/>
                <w:sz w:val="21"/>
                <w:szCs w:val="21"/>
                <w:lang w:eastAsia="en-US"/>
              </w:rPr>
            </w:pPr>
            <w:r>
              <w:rPr>
                <w:rFonts w:hint="eastAsia" w:ascii="宋体" w:hAnsi="宋体" w:eastAsia="宋体" w:cs="宋体"/>
                <w:snapToGrid w:val="0"/>
                <w:color w:val="000000"/>
                <w:spacing w:val="0"/>
                <w:kern w:val="0"/>
                <w:sz w:val="21"/>
                <w:szCs w:val="21"/>
                <w:lang w:eastAsia="en-US"/>
              </w:rPr>
              <w:t>云H992024050242</w:t>
            </w:r>
          </w:p>
        </w:tc>
        <w:tc>
          <w:tcPr>
            <w:tcW w:w="1704" w:type="dxa"/>
            <w:noWrap w:val="0"/>
            <w:vAlign w:val="top"/>
          </w:tcPr>
          <w:p w14:paraId="1E7DCA5A">
            <w:pPr>
              <w:widowControl/>
              <w:kinsoku w:val="0"/>
              <w:autoSpaceDE w:val="0"/>
              <w:autoSpaceDN w:val="0"/>
              <w:spacing w:before="126" w:line="241" w:lineRule="auto"/>
              <w:ind w:left="181" w:firstLine="0" w:firstLineChars="0"/>
              <w:jc w:val="left"/>
              <w:textAlignment w:val="baseline"/>
              <w:rPr>
                <w:rFonts w:ascii="宋体" w:hAnsi="宋体" w:eastAsia="宋体" w:cs="宋体"/>
                <w:snapToGrid w:val="0"/>
                <w:color w:val="000000"/>
                <w:spacing w:val="0"/>
                <w:kern w:val="0"/>
                <w:sz w:val="21"/>
                <w:szCs w:val="21"/>
                <w:lang w:eastAsia="en-US"/>
              </w:rPr>
            </w:pPr>
            <w:r>
              <w:rPr>
                <w:rFonts w:hint="eastAsia" w:ascii="宋体" w:hAnsi="宋体" w:eastAsia="宋体" w:cs="宋体"/>
                <w:snapToGrid w:val="0"/>
                <w:color w:val="000000"/>
                <w:spacing w:val="0"/>
                <w:kern w:val="0"/>
                <w:sz w:val="21"/>
                <w:szCs w:val="21"/>
                <w:lang w:eastAsia="en-US"/>
              </w:rPr>
              <w:t>2026年3月3日</w:t>
            </w:r>
          </w:p>
        </w:tc>
      </w:tr>
    </w:tbl>
    <w:p w14:paraId="64DBDDC1">
      <w:pPr>
        <w:bidi w:val="0"/>
        <w:rPr>
          <w:rFonts w:hint="default"/>
          <w:lang w:val="en-US" w:eastAsia="zh-CN"/>
        </w:rPr>
      </w:pPr>
      <w:r>
        <w:rPr>
          <w:rFonts w:hint="eastAsia"/>
          <w:lang w:val="en-US" w:eastAsia="zh-CN"/>
        </w:rPr>
        <w:t>结论：特种作业</w:t>
      </w:r>
      <w:r>
        <w:rPr>
          <w:lang w:val="en-US" w:eastAsia="en-US"/>
        </w:rPr>
        <w:t>人员</w:t>
      </w:r>
      <w:r>
        <w:rPr>
          <w:rFonts w:hint="eastAsia"/>
          <w:lang w:val="en-US" w:eastAsia="zh-CN"/>
        </w:rPr>
        <w:t>及持证情况满足要求。</w:t>
      </w:r>
    </w:p>
    <w:p w14:paraId="6FFA5A75">
      <w:pPr>
        <w:pStyle w:val="5"/>
        <w:bidi w:val="0"/>
        <w:rPr>
          <w:rFonts w:hint="default"/>
          <w:lang w:val="en-US" w:eastAsia="zh-CN"/>
        </w:rPr>
      </w:pPr>
      <w:bookmarkStart w:id="233" w:name="_Toc29893"/>
      <w:r>
        <w:rPr>
          <w:lang w:val="en-US" w:eastAsia="en-US"/>
        </w:rPr>
        <w:fldChar w:fldCharType="begin"/>
      </w:r>
      <w:r>
        <w:rPr>
          <w:lang w:val="en-US" w:eastAsia="en-US"/>
        </w:rPr>
        <w:instrText xml:space="preserve"> HYPERLINK "2.4.12.1" </w:instrText>
      </w:r>
      <w:r>
        <w:rPr>
          <w:lang w:val="en-US" w:eastAsia="en-US"/>
        </w:rPr>
        <w:fldChar w:fldCharType="separate"/>
      </w:r>
      <w:r>
        <w:rPr>
          <w:lang w:val="en-US" w:eastAsia="en-US"/>
        </w:rPr>
        <w:t>2.4.12.</w:t>
      </w:r>
      <w:r>
        <w:rPr>
          <w:rFonts w:hint="eastAsia"/>
          <w:lang w:val="en-US" w:eastAsia="zh-CN"/>
        </w:rPr>
        <w:t>4</w:t>
      </w:r>
      <w:r>
        <w:rPr>
          <w:lang w:val="en-US" w:eastAsia="en-US"/>
        </w:rPr>
        <w:fldChar w:fldCharType="end"/>
      </w:r>
      <w:r>
        <w:rPr>
          <w:rFonts w:hint="eastAsia"/>
          <w:lang w:val="en-US" w:eastAsia="zh-CN"/>
        </w:rPr>
        <w:t>“五职矿长”和“五科人员”</w:t>
      </w:r>
      <w:bookmarkEnd w:id="233"/>
      <w:r>
        <w:rPr>
          <w:rFonts w:hint="eastAsia"/>
          <w:lang w:val="en-US" w:eastAsia="zh-CN"/>
        </w:rPr>
        <w:t>及劳动定员</w:t>
      </w:r>
    </w:p>
    <w:p w14:paraId="774445D4">
      <w:pPr>
        <w:numPr>
          <w:ilvl w:val="0"/>
          <w:numId w:val="8"/>
        </w:numPr>
        <w:ind w:firstLine="560"/>
        <w:rPr>
          <w:rFonts w:hint="eastAsia"/>
          <w:lang w:val="en-US" w:eastAsia="zh-CN"/>
        </w:rPr>
      </w:pPr>
      <w:r>
        <w:rPr>
          <w:rFonts w:hint="eastAsia"/>
          <w:lang w:val="en-US" w:eastAsia="zh-CN"/>
        </w:rPr>
        <w:t>设计情况</w:t>
      </w:r>
    </w:p>
    <w:p w14:paraId="1096BE79">
      <w:pPr>
        <w:bidi w:val="0"/>
      </w:pPr>
      <w:r>
        <w:t>根据矿山的实际情况，应配备采矿、地质、机电等专业的工程技术人员。同时，要设立技术总负责人或总工程师，在企业主要负责人的领导下，对矿山安全生产技术工作负总责。企业自身工程技术人员不足的，相关技术工作可委托符合条件的中介机构承担，也可以聘请企业外部人员兼职。</w:t>
      </w:r>
    </w:p>
    <w:p w14:paraId="36FA6733">
      <w:pPr>
        <w:bidi w:val="0"/>
        <w:rPr>
          <w:rFonts w:hint="default"/>
          <w:lang w:val="en-US" w:eastAsia="zh-CN"/>
        </w:rPr>
      </w:pPr>
      <w:r>
        <w:rPr>
          <w:rFonts w:hint="eastAsia"/>
          <w:lang w:val="en-US" w:eastAsia="zh-CN"/>
        </w:rPr>
        <w:t>2、建设情况</w:t>
      </w:r>
    </w:p>
    <w:p w14:paraId="7FD437F3">
      <w:pPr>
        <w:bidi w:val="0"/>
        <w:rPr>
          <w:rFonts w:hint="eastAsia"/>
          <w:lang w:val="en-US" w:eastAsia="zh-CN"/>
        </w:rPr>
      </w:pPr>
      <w:r>
        <w:rPr>
          <w:rFonts w:hint="eastAsia"/>
          <w:lang w:val="en-US" w:eastAsia="zh-CN"/>
        </w:rPr>
        <w:t>（1）“五职矿长”配备情况：</w:t>
      </w:r>
    </w:p>
    <w:p w14:paraId="7D9C542D">
      <w:pPr>
        <w:pStyle w:val="47"/>
        <w:bidi w:val="0"/>
        <w:rPr>
          <w:lang w:val="en-US" w:eastAsia="en-US"/>
        </w:rPr>
      </w:pPr>
      <w:r>
        <w:rPr>
          <w:lang w:val="en-US" w:eastAsia="en-US"/>
        </w:rPr>
        <w:t>表2</w:t>
      </w:r>
      <w:r>
        <w:rPr>
          <w:rFonts w:hint="eastAsia"/>
          <w:lang w:val="en-US" w:eastAsia="zh-CN"/>
        </w:rPr>
        <w:t>.4</w:t>
      </w:r>
      <w:r>
        <w:rPr>
          <w:lang w:val="en-US" w:eastAsia="en-US"/>
        </w:rPr>
        <w:t>-</w:t>
      </w:r>
      <w:r>
        <w:rPr>
          <w:rFonts w:hint="eastAsia"/>
          <w:lang w:val="en-US" w:eastAsia="zh-CN"/>
        </w:rPr>
        <w:t>10“五职矿长”配备名单</w:t>
      </w:r>
    </w:p>
    <w:p w14:paraId="50B26BBD">
      <w:pPr>
        <w:widowControl/>
        <w:kinsoku w:val="0"/>
        <w:autoSpaceDE w:val="0"/>
        <w:autoSpaceDN w:val="0"/>
        <w:spacing w:line="128" w:lineRule="exact"/>
        <w:ind w:firstLine="0" w:firstLineChars="0"/>
        <w:jc w:val="left"/>
        <w:textAlignment w:val="baseline"/>
        <w:rPr>
          <w:rFonts w:ascii="Arial" w:hAnsi="Arial" w:eastAsia="Arial" w:cs="Arial"/>
          <w:snapToGrid w:val="0"/>
          <w:color w:val="000000"/>
          <w:spacing w:val="0"/>
          <w:kern w:val="0"/>
          <w:sz w:val="21"/>
          <w:szCs w:val="21"/>
          <w:lang w:eastAsia="en-US"/>
        </w:rPr>
      </w:pPr>
    </w:p>
    <w:tbl>
      <w:tblPr>
        <w:tblStyle w:val="78"/>
        <w:tblW w:w="91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6"/>
        <w:gridCol w:w="1187"/>
        <w:gridCol w:w="886"/>
        <w:gridCol w:w="2727"/>
        <w:gridCol w:w="1106"/>
        <w:gridCol w:w="1241"/>
      </w:tblGrid>
      <w:tr w14:paraId="563204C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top"/>
          </w:tcPr>
          <w:p w14:paraId="677D1E7F">
            <w:pPr>
              <w:widowControl/>
              <w:kinsoku w:val="0"/>
              <w:autoSpaceDE w:val="0"/>
              <w:autoSpaceDN w:val="0"/>
              <w:spacing w:before="125" w:line="221" w:lineRule="auto"/>
              <w:ind w:left="281" w:firstLine="0" w:firstLineChars="0"/>
              <w:jc w:val="left"/>
              <w:textAlignment w:val="baseline"/>
              <w:rPr>
                <w:rFonts w:hint="eastAsia" w:ascii="宋体" w:hAnsi="宋体" w:eastAsia="宋体" w:cs="宋体"/>
                <w:snapToGrid w:val="0"/>
                <w:color w:val="000000"/>
                <w:spacing w:val="0"/>
                <w:kern w:val="0"/>
                <w:sz w:val="21"/>
                <w:szCs w:val="21"/>
                <w:lang w:eastAsia="zh-CN"/>
              </w:rPr>
            </w:pPr>
            <w:r>
              <w:rPr>
                <w:rFonts w:hint="eastAsia" w:ascii="宋体" w:hAnsi="宋体" w:eastAsia="宋体" w:cs="宋体"/>
                <w:b/>
                <w:bCs/>
                <w:snapToGrid w:val="0"/>
                <w:color w:val="000000"/>
                <w:spacing w:val="-4"/>
                <w:kern w:val="0"/>
                <w:sz w:val="21"/>
                <w:szCs w:val="21"/>
                <w:lang w:val="en-US" w:eastAsia="zh-CN"/>
              </w:rPr>
              <w:t>职务</w:t>
            </w:r>
          </w:p>
        </w:tc>
        <w:tc>
          <w:tcPr>
            <w:tcW w:w="1187" w:type="dxa"/>
            <w:noWrap w:val="0"/>
            <w:vAlign w:val="top"/>
          </w:tcPr>
          <w:p w14:paraId="5B34BD9B">
            <w:pPr>
              <w:widowControl/>
              <w:kinsoku w:val="0"/>
              <w:autoSpaceDE w:val="0"/>
              <w:autoSpaceDN w:val="0"/>
              <w:spacing w:before="125" w:line="221" w:lineRule="auto"/>
              <w:ind w:left="281" w:leftChars="0"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姓名</w:t>
            </w:r>
          </w:p>
        </w:tc>
        <w:tc>
          <w:tcPr>
            <w:tcW w:w="886" w:type="dxa"/>
            <w:noWrap w:val="0"/>
            <w:vAlign w:val="top"/>
          </w:tcPr>
          <w:p w14:paraId="460629E9">
            <w:pPr>
              <w:widowControl/>
              <w:kinsoku w:val="0"/>
              <w:autoSpaceDE w:val="0"/>
              <w:autoSpaceDN w:val="0"/>
              <w:spacing w:before="125" w:line="221" w:lineRule="auto"/>
              <w:ind w:left="222" w:leftChars="0"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5"/>
                <w:kern w:val="0"/>
                <w:sz w:val="21"/>
                <w:szCs w:val="21"/>
                <w:lang w:eastAsia="en-US"/>
              </w:rPr>
              <w:t>性别</w:t>
            </w:r>
          </w:p>
        </w:tc>
        <w:tc>
          <w:tcPr>
            <w:tcW w:w="2727" w:type="dxa"/>
            <w:noWrap w:val="0"/>
            <w:vAlign w:val="top"/>
          </w:tcPr>
          <w:p w14:paraId="1AA8EB5D">
            <w:pPr>
              <w:widowControl/>
              <w:kinsoku w:val="0"/>
              <w:autoSpaceDE w:val="0"/>
              <w:autoSpaceDN w:val="0"/>
              <w:spacing w:before="125" w:line="221" w:lineRule="auto"/>
              <w:ind w:left="554" w:firstLine="0" w:firstLineChars="0"/>
              <w:jc w:val="left"/>
              <w:textAlignment w:val="baseline"/>
              <w:rPr>
                <w:rFonts w:ascii="宋体" w:hAnsi="宋体" w:eastAsia="宋体" w:cs="宋体"/>
                <w:snapToGrid w:val="0"/>
                <w:color w:val="000000"/>
                <w:spacing w:val="0"/>
                <w:kern w:val="0"/>
                <w:sz w:val="21"/>
                <w:szCs w:val="21"/>
                <w:lang w:eastAsia="en-US"/>
              </w:rPr>
            </w:pPr>
            <w:r>
              <w:rPr>
                <w:rFonts w:hint="eastAsia" w:ascii="宋体" w:hAnsi="宋体" w:eastAsia="宋体" w:cs="宋体"/>
                <w:b/>
                <w:bCs/>
                <w:snapToGrid w:val="0"/>
                <w:color w:val="000000"/>
                <w:spacing w:val="-3"/>
                <w:kern w:val="0"/>
                <w:sz w:val="21"/>
                <w:szCs w:val="21"/>
                <w:lang w:val="en-US" w:eastAsia="zh-CN"/>
              </w:rPr>
              <w:t>身份</w:t>
            </w:r>
            <w:r>
              <w:rPr>
                <w:rFonts w:ascii="宋体" w:hAnsi="宋体" w:eastAsia="宋体" w:cs="宋体"/>
                <w:b/>
                <w:bCs/>
                <w:snapToGrid w:val="0"/>
                <w:color w:val="000000"/>
                <w:spacing w:val="-3"/>
                <w:kern w:val="0"/>
                <w:sz w:val="21"/>
                <w:szCs w:val="21"/>
                <w:lang w:eastAsia="en-US"/>
              </w:rPr>
              <w:t>证号</w:t>
            </w:r>
          </w:p>
        </w:tc>
        <w:tc>
          <w:tcPr>
            <w:tcW w:w="1106" w:type="dxa"/>
            <w:noWrap w:val="0"/>
            <w:vAlign w:val="top"/>
          </w:tcPr>
          <w:p w14:paraId="0262E8C6">
            <w:pPr>
              <w:widowControl/>
              <w:kinsoku w:val="0"/>
              <w:autoSpaceDE w:val="0"/>
              <w:autoSpaceDN w:val="0"/>
              <w:spacing w:before="125" w:line="220" w:lineRule="auto"/>
              <w:ind w:left="0" w:leftChars="0" w:firstLine="0" w:firstLineChars="0"/>
              <w:jc w:val="center"/>
              <w:textAlignment w:val="baseline"/>
              <w:rPr>
                <w:rFonts w:hint="eastAsia" w:ascii="宋体" w:hAnsi="宋体" w:eastAsia="宋体" w:cs="宋体"/>
                <w:snapToGrid w:val="0"/>
                <w:color w:val="000000"/>
                <w:spacing w:val="0"/>
                <w:kern w:val="0"/>
                <w:sz w:val="21"/>
                <w:szCs w:val="21"/>
                <w:lang w:val="en-US" w:eastAsia="zh-CN"/>
              </w:rPr>
            </w:pPr>
            <w:r>
              <w:rPr>
                <w:rFonts w:hint="eastAsia" w:ascii="宋体" w:hAnsi="宋体" w:eastAsia="宋体" w:cs="宋体"/>
                <w:snapToGrid w:val="0"/>
                <w:color w:val="000000"/>
                <w:spacing w:val="0"/>
                <w:kern w:val="0"/>
                <w:sz w:val="21"/>
                <w:szCs w:val="21"/>
                <w:lang w:val="en-US" w:eastAsia="zh-CN"/>
              </w:rPr>
              <w:t>专业</w:t>
            </w:r>
          </w:p>
        </w:tc>
        <w:tc>
          <w:tcPr>
            <w:tcW w:w="1241" w:type="dxa"/>
            <w:noWrap w:val="0"/>
            <w:vAlign w:val="top"/>
          </w:tcPr>
          <w:p w14:paraId="2B03C21F">
            <w:pPr>
              <w:widowControl/>
              <w:kinsoku w:val="0"/>
              <w:autoSpaceDE w:val="0"/>
              <w:autoSpaceDN w:val="0"/>
              <w:spacing w:before="125" w:line="221" w:lineRule="auto"/>
              <w:ind w:left="0" w:leftChars="0" w:firstLine="0" w:firstLineChars="0"/>
              <w:jc w:val="center"/>
              <w:textAlignment w:val="baseline"/>
              <w:rPr>
                <w:rFonts w:hint="eastAsia" w:ascii="宋体" w:hAnsi="宋体" w:eastAsia="宋体" w:cs="宋体"/>
                <w:snapToGrid w:val="0"/>
                <w:color w:val="000000"/>
                <w:spacing w:val="0"/>
                <w:kern w:val="0"/>
                <w:sz w:val="21"/>
                <w:szCs w:val="21"/>
                <w:lang w:val="en-US" w:eastAsia="zh-CN"/>
              </w:rPr>
            </w:pPr>
            <w:r>
              <w:rPr>
                <w:rFonts w:hint="eastAsia" w:ascii="宋体" w:hAnsi="宋体" w:eastAsia="宋体" w:cs="宋体"/>
                <w:snapToGrid w:val="0"/>
                <w:color w:val="000000"/>
                <w:spacing w:val="0"/>
                <w:kern w:val="0"/>
                <w:sz w:val="21"/>
                <w:szCs w:val="21"/>
                <w:lang w:val="en-US" w:eastAsia="zh-CN"/>
              </w:rPr>
              <w:t>学历或职称</w:t>
            </w:r>
          </w:p>
        </w:tc>
      </w:tr>
      <w:tr w14:paraId="29752AF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center"/>
          </w:tcPr>
          <w:p w14:paraId="19529152">
            <w:pPr>
              <w:pStyle w:val="50"/>
              <w:bidi w:val="0"/>
              <w:rPr>
                <w:rFonts w:hint="eastAsia"/>
                <w:lang w:val="en-US" w:eastAsia="zh-CN"/>
              </w:rPr>
            </w:pPr>
            <w:r>
              <w:rPr>
                <w:rFonts w:hint="eastAsia"/>
                <w:lang w:val="en-US" w:eastAsia="zh-CN"/>
              </w:rPr>
              <w:t>矿长</w:t>
            </w:r>
          </w:p>
        </w:tc>
        <w:tc>
          <w:tcPr>
            <w:tcW w:w="1187" w:type="dxa"/>
            <w:noWrap w:val="0"/>
            <w:vAlign w:val="center"/>
          </w:tcPr>
          <w:p w14:paraId="38645D78">
            <w:pPr>
              <w:pStyle w:val="50"/>
              <w:bidi w:val="0"/>
              <w:jc w:val="center"/>
              <w:rPr>
                <w:rFonts w:hint="default"/>
                <w:lang w:val="en-US" w:eastAsia="zh-CN"/>
              </w:rPr>
            </w:pPr>
            <w:r>
              <w:rPr>
                <w:rFonts w:hint="eastAsia"/>
                <w:lang w:val="en-US" w:eastAsia="zh-CN"/>
              </w:rPr>
              <w:t>伏帮光</w:t>
            </w:r>
          </w:p>
        </w:tc>
        <w:tc>
          <w:tcPr>
            <w:tcW w:w="886" w:type="dxa"/>
            <w:noWrap w:val="0"/>
            <w:vAlign w:val="center"/>
          </w:tcPr>
          <w:p w14:paraId="12378349">
            <w:pPr>
              <w:pStyle w:val="50"/>
              <w:bidi w:val="0"/>
              <w:jc w:val="center"/>
              <w:rPr>
                <w:lang w:eastAsia="en-US"/>
              </w:rPr>
            </w:pPr>
            <w:r>
              <w:rPr>
                <w:rFonts w:hint="eastAsia"/>
                <w:lang w:eastAsia="zh-CN"/>
              </w:rPr>
              <w:t>男</w:t>
            </w:r>
          </w:p>
        </w:tc>
        <w:tc>
          <w:tcPr>
            <w:tcW w:w="2727" w:type="dxa"/>
            <w:noWrap w:val="0"/>
            <w:vAlign w:val="center"/>
          </w:tcPr>
          <w:p w14:paraId="067A69AF">
            <w:pPr>
              <w:pStyle w:val="50"/>
              <w:bidi w:val="0"/>
              <w:jc w:val="center"/>
              <w:rPr>
                <w:lang w:eastAsia="en-US"/>
              </w:rPr>
            </w:pPr>
            <w:r>
              <w:rPr>
                <w:rFonts w:hint="eastAsia"/>
                <w:lang w:eastAsia="en-US"/>
              </w:rPr>
              <w:t>532627197102</w:t>
            </w:r>
            <w:r>
              <w:rPr>
                <w:rFonts w:hint="eastAsia"/>
                <w:lang w:val="en-US" w:eastAsia="zh-CN"/>
              </w:rPr>
              <w:t>2</w:t>
            </w:r>
            <w:r>
              <w:rPr>
                <w:rFonts w:hint="eastAsia"/>
                <w:lang w:eastAsia="en-US"/>
              </w:rPr>
              <w:t>23</w:t>
            </w:r>
            <w:r>
              <w:rPr>
                <w:rFonts w:hint="eastAsia"/>
                <w:lang w:val="en-US" w:eastAsia="zh-CN"/>
              </w:rPr>
              <w:t>18</w:t>
            </w:r>
          </w:p>
        </w:tc>
        <w:tc>
          <w:tcPr>
            <w:tcW w:w="1106" w:type="dxa"/>
            <w:noWrap w:val="0"/>
            <w:vAlign w:val="center"/>
          </w:tcPr>
          <w:p w14:paraId="0E68420A">
            <w:pPr>
              <w:pStyle w:val="50"/>
              <w:bidi w:val="0"/>
              <w:jc w:val="center"/>
              <w:rPr>
                <w:lang w:eastAsia="en-US"/>
              </w:rPr>
            </w:pPr>
          </w:p>
        </w:tc>
        <w:tc>
          <w:tcPr>
            <w:tcW w:w="1241" w:type="dxa"/>
            <w:noWrap w:val="0"/>
            <w:vAlign w:val="center"/>
          </w:tcPr>
          <w:p w14:paraId="3D878645">
            <w:pPr>
              <w:pStyle w:val="50"/>
              <w:bidi w:val="0"/>
              <w:jc w:val="center"/>
              <w:rPr>
                <w:lang w:eastAsia="en-US"/>
              </w:rPr>
            </w:pPr>
            <w:r>
              <w:rPr>
                <w:rFonts w:hint="eastAsia"/>
                <w:lang w:val="en-US" w:eastAsia="zh-CN"/>
              </w:rPr>
              <w:t>大专</w:t>
            </w:r>
          </w:p>
        </w:tc>
      </w:tr>
      <w:tr w14:paraId="577397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center"/>
          </w:tcPr>
          <w:p w14:paraId="790A0D2A">
            <w:pPr>
              <w:pStyle w:val="50"/>
              <w:bidi w:val="0"/>
              <w:rPr>
                <w:rFonts w:hint="default"/>
                <w:lang w:val="en-US" w:eastAsia="zh-CN"/>
              </w:rPr>
            </w:pPr>
            <w:r>
              <w:rPr>
                <w:rFonts w:hint="eastAsia"/>
                <w:lang w:val="en-US" w:eastAsia="zh-CN"/>
              </w:rPr>
              <w:t>安全副矿长</w:t>
            </w:r>
          </w:p>
        </w:tc>
        <w:tc>
          <w:tcPr>
            <w:tcW w:w="1187" w:type="dxa"/>
            <w:noWrap w:val="0"/>
            <w:vAlign w:val="center"/>
          </w:tcPr>
          <w:p w14:paraId="4D468B05">
            <w:pPr>
              <w:pStyle w:val="50"/>
              <w:bidi w:val="0"/>
              <w:jc w:val="center"/>
              <w:rPr>
                <w:rFonts w:hint="default"/>
                <w:lang w:val="en-US" w:eastAsia="zh-CN"/>
              </w:rPr>
            </w:pPr>
            <w:r>
              <w:rPr>
                <w:rFonts w:hint="eastAsia"/>
                <w:lang w:val="en-US" w:eastAsia="zh-CN"/>
              </w:rPr>
              <w:t>杨海军</w:t>
            </w:r>
          </w:p>
        </w:tc>
        <w:tc>
          <w:tcPr>
            <w:tcW w:w="886" w:type="dxa"/>
            <w:noWrap w:val="0"/>
            <w:vAlign w:val="center"/>
          </w:tcPr>
          <w:p w14:paraId="542E120F">
            <w:pPr>
              <w:pStyle w:val="50"/>
              <w:bidi w:val="0"/>
              <w:jc w:val="center"/>
              <w:rPr>
                <w:lang w:eastAsia="en-US"/>
              </w:rPr>
            </w:pPr>
            <w:r>
              <w:rPr>
                <w:rFonts w:hint="eastAsia"/>
                <w:lang w:eastAsia="zh-CN"/>
              </w:rPr>
              <w:t>男</w:t>
            </w:r>
          </w:p>
        </w:tc>
        <w:tc>
          <w:tcPr>
            <w:tcW w:w="2727" w:type="dxa"/>
            <w:noWrap w:val="0"/>
            <w:vAlign w:val="center"/>
          </w:tcPr>
          <w:p w14:paraId="01C452DB">
            <w:pPr>
              <w:pStyle w:val="50"/>
              <w:bidi w:val="0"/>
              <w:jc w:val="center"/>
              <w:rPr>
                <w:lang w:eastAsia="en-US"/>
              </w:rPr>
            </w:pPr>
            <w:r>
              <w:t>532502197309170612</w:t>
            </w:r>
          </w:p>
        </w:tc>
        <w:tc>
          <w:tcPr>
            <w:tcW w:w="1106" w:type="dxa"/>
            <w:noWrap w:val="0"/>
            <w:vAlign w:val="center"/>
          </w:tcPr>
          <w:p w14:paraId="50D10F26">
            <w:pPr>
              <w:pStyle w:val="50"/>
              <w:bidi w:val="0"/>
              <w:rPr>
                <w:lang w:eastAsia="en-US"/>
              </w:rPr>
            </w:pPr>
          </w:p>
        </w:tc>
        <w:tc>
          <w:tcPr>
            <w:tcW w:w="1241" w:type="dxa"/>
            <w:noWrap w:val="0"/>
            <w:vAlign w:val="center"/>
          </w:tcPr>
          <w:p w14:paraId="2B197AE8">
            <w:pPr>
              <w:pStyle w:val="50"/>
              <w:bidi w:val="0"/>
              <w:rPr>
                <w:lang w:eastAsia="en-US"/>
              </w:rPr>
            </w:pPr>
          </w:p>
        </w:tc>
      </w:tr>
      <w:tr w14:paraId="281C90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center"/>
          </w:tcPr>
          <w:p w14:paraId="76AF66D8">
            <w:pPr>
              <w:pStyle w:val="50"/>
              <w:bidi w:val="0"/>
              <w:rPr>
                <w:rFonts w:hint="eastAsia"/>
                <w:lang w:val="en-US" w:eastAsia="zh-CN"/>
              </w:rPr>
            </w:pPr>
            <w:r>
              <w:rPr>
                <w:rFonts w:hint="eastAsia"/>
                <w:lang w:val="en-US" w:eastAsia="zh-CN"/>
              </w:rPr>
              <w:t>生产副矿长</w:t>
            </w:r>
          </w:p>
          <w:p w14:paraId="25C94E9B">
            <w:pPr>
              <w:pStyle w:val="50"/>
              <w:bidi w:val="0"/>
              <w:rPr>
                <w:rFonts w:hint="default"/>
                <w:lang w:val="en-US" w:eastAsia="zh-CN"/>
              </w:rPr>
            </w:pPr>
            <w:r>
              <w:rPr>
                <w:rFonts w:hint="eastAsia"/>
                <w:lang w:val="en-US" w:eastAsia="zh-CN"/>
              </w:rPr>
              <w:t>兼总工程师</w:t>
            </w:r>
          </w:p>
        </w:tc>
        <w:tc>
          <w:tcPr>
            <w:tcW w:w="1187" w:type="dxa"/>
            <w:noWrap w:val="0"/>
            <w:vAlign w:val="center"/>
          </w:tcPr>
          <w:p w14:paraId="603B4113">
            <w:pPr>
              <w:pStyle w:val="50"/>
              <w:bidi w:val="0"/>
              <w:jc w:val="center"/>
              <w:rPr>
                <w:rFonts w:hint="default"/>
                <w:lang w:val="en-US" w:eastAsia="zh-CN"/>
              </w:rPr>
            </w:pPr>
            <w:r>
              <w:rPr>
                <w:rFonts w:hint="default"/>
                <w:lang w:val="en-US" w:eastAsia="zh-CN"/>
              </w:rPr>
              <w:t>胡仕鸿</w:t>
            </w:r>
          </w:p>
        </w:tc>
        <w:tc>
          <w:tcPr>
            <w:tcW w:w="886" w:type="dxa"/>
            <w:noWrap w:val="0"/>
            <w:vAlign w:val="center"/>
          </w:tcPr>
          <w:p w14:paraId="71A2B292">
            <w:pPr>
              <w:pStyle w:val="50"/>
              <w:bidi w:val="0"/>
              <w:jc w:val="center"/>
              <w:rPr>
                <w:lang w:eastAsia="en-US"/>
              </w:rPr>
            </w:pPr>
            <w:r>
              <w:rPr>
                <w:rFonts w:hint="eastAsia"/>
                <w:lang w:val="en-US" w:eastAsia="zh-CN"/>
              </w:rPr>
              <w:t>男</w:t>
            </w:r>
          </w:p>
        </w:tc>
        <w:tc>
          <w:tcPr>
            <w:tcW w:w="2727" w:type="dxa"/>
            <w:noWrap w:val="0"/>
            <w:vAlign w:val="center"/>
          </w:tcPr>
          <w:p w14:paraId="1EFE974C">
            <w:pPr>
              <w:pStyle w:val="50"/>
              <w:bidi w:val="0"/>
              <w:jc w:val="center"/>
              <w:rPr>
                <w:lang w:eastAsia="en-US"/>
              </w:rPr>
            </w:pPr>
            <w:r>
              <w:rPr>
                <w:rFonts w:hint="eastAsia"/>
                <w:lang w:val="en-US" w:eastAsia="zh-CN"/>
              </w:rPr>
              <w:t>532627197401132515</w:t>
            </w:r>
          </w:p>
        </w:tc>
        <w:tc>
          <w:tcPr>
            <w:tcW w:w="1106" w:type="dxa"/>
            <w:noWrap w:val="0"/>
            <w:vAlign w:val="center"/>
          </w:tcPr>
          <w:p w14:paraId="4D517E3D">
            <w:pPr>
              <w:pStyle w:val="50"/>
              <w:bidi w:val="0"/>
              <w:rPr>
                <w:lang w:eastAsia="en-US"/>
              </w:rPr>
            </w:pPr>
          </w:p>
        </w:tc>
        <w:tc>
          <w:tcPr>
            <w:tcW w:w="1241" w:type="dxa"/>
            <w:noWrap w:val="0"/>
            <w:vAlign w:val="center"/>
          </w:tcPr>
          <w:p w14:paraId="7AD8E269">
            <w:pPr>
              <w:pStyle w:val="50"/>
              <w:bidi w:val="0"/>
              <w:rPr>
                <w:lang w:eastAsia="en-US"/>
              </w:rPr>
            </w:pPr>
          </w:p>
        </w:tc>
      </w:tr>
    </w:tbl>
    <w:p w14:paraId="4FB478FB">
      <w:pPr>
        <w:bidi w:val="0"/>
        <w:rPr>
          <w:rFonts w:hint="eastAsia"/>
          <w:lang w:val="en-US" w:eastAsia="zh-CN"/>
        </w:rPr>
      </w:pPr>
    </w:p>
    <w:p w14:paraId="756600E2">
      <w:pPr>
        <w:bidi w:val="0"/>
        <w:rPr>
          <w:rFonts w:hint="eastAsia"/>
          <w:lang w:val="en-US" w:eastAsia="zh-CN"/>
        </w:rPr>
      </w:pPr>
      <w:r>
        <w:rPr>
          <w:rFonts w:hint="eastAsia"/>
          <w:lang w:val="en-US" w:eastAsia="zh-CN"/>
        </w:rPr>
        <w:t>（2）“五科人员”配备情况：</w:t>
      </w:r>
    </w:p>
    <w:p w14:paraId="07EE19CD">
      <w:pPr>
        <w:pStyle w:val="47"/>
        <w:bidi w:val="0"/>
        <w:rPr>
          <w:rFonts w:hint="eastAsia"/>
          <w:lang w:val="en-US" w:eastAsia="zh-CN"/>
        </w:rPr>
      </w:pPr>
      <w:r>
        <w:rPr>
          <w:lang w:val="en-US" w:eastAsia="en-US"/>
        </w:rPr>
        <w:t>表2</w:t>
      </w:r>
      <w:r>
        <w:rPr>
          <w:rFonts w:hint="eastAsia"/>
          <w:lang w:val="en-US" w:eastAsia="zh-CN"/>
        </w:rPr>
        <w:t>.4</w:t>
      </w:r>
      <w:r>
        <w:rPr>
          <w:lang w:val="en-US" w:eastAsia="en-US"/>
        </w:rPr>
        <w:t>-</w:t>
      </w:r>
      <w:r>
        <w:rPr>
          <w:rFonts w:hint="eastAsia"/>
          <w:lang w:val="en-US" w:eastAsia="zh-CN"/>
        </w:rPr>
        <w:t>11“五科人员”配备名单</w:t>
      </w:r>
    </w:p>
    <w:tbl>
      <w:tblPr>
        <w:tblStyle w:val="78"/>
        <w:tblW w:w="9143"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996"/>
        <w:gridCol w:w="1187"/>
        <w:gridCol w:w="886"/>
        <w:gridCol w:w="2727"/>
        <w:gridCol w:w="1106"/>
        <w:gridCol w:w="1241"/>
      </w:tblGrid>
      <w:tr w14:paraId="4C43E79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top"/>
          </w:tcPr>
          <w:p w14:paraId="2C6B9038">
            <w:pPr>
              <w:widowControl/>
              <w:kinsoku w:val="0"/>
              <w:autoSpaceDE w:val="0"/>
              <w:autoSpaceDN w:val="0"/>
              <w:spacing w:before="125" w:line="221" w:lineRule="auto"/>
              <w:ind w:left="281" w:firstLine="0" w:firstLineChars="0"/>
              <w:jc w:val="left"/>
              <w:textAlignment w:val="baseline"/>
              <w:rPr>
                <w:rFonts w:hint="eastAsia" w:ascii="宋体" w:hAnsi="宋体" w:eastAsia="宋体" w:cs="宋体"/>
                <w:snapToGrid w:val="0"/>
                <w:color w:val="000000"/>
                <w:spacing w:val="0"/>
                <w:kern w:val="0"/>
                <w:sz w:val="21"/>
                <w:szCs w:val="21"/>
                <w:lang w:eastAsia="zh-CN"/>
              </w:rPr>
            </w:pPr>
            <w:r>
              <w:rPr>
                <w:rFonts w:hint="eastAsia" w:ascii="宋体" w:hAnsi="宋体" w:eastAsia="宋体" w:cs="宋体"/>
                <w:b/>
                <w:bCs/>
                <w:snapToGrid w:val="0"/>
                <w:color w:val="000000"/>
                <w:spacing w:val="-4"/>
                <w:kern w:val="0"/>
                <w:sz w:val="21"/>
                <w:szCs w:val="21"/>
                <w:lang w:val="en-US" w:eastAsia="zh-CN"/>
              </w:rPr>
              <w:t>职务</w:t>
            </w:r>
          </w:p>
        </w:tc>
        <w:tc>
          <w:tcPr>
            <w:tcW w:w="1187" w:type="dxa"/>
            <w:noWrap w:val="0"/>
            <w:vAlign w:val="top"/>
          </w:tcPr>
          <w:p w14:paraId="5E2A3731">
            <w:pPr>
              <w:widowControl/>
              <w:kinsoku w:val="0"/>
              <w:autoSpaceDE w:val="0"/>
              <w:autoSpaceDN w:val="0"/>
              <w:spacing w:before="125" w:line="221" w:lineRule="auto"/>
              <w:ind w:left="281" w:leftChars="0"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姓名</w:t>
            </w:r>
          </w:p>
        </w:tc>
        <w:tc>
          <w:tcPr>
            <w:tcW w:w="886" w:type="dxa"/>
            <w:noWrap w:val="0"/>
            <w:vAlign w:val="top"/>
          </w:tcPr>
          <w:p w14:paraId="3D39C165">
            <w:pPr>
              <w:widowControl/>
              <w:kinsoku w:val="0"/>
              <w:autoSpaceDE w:val="0"/>
              <w:autoSpaceDN w:val="0"/>
              <w:spacing w:before="125" w:line="221" w:lineRule="auto"/>
              <w:ind w:left="222" w:leftChars="0"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5"/>
                <w:kern w:val="0"/>
                <w:sz w:val="21"/>
                <w:szCs w:val="21"/>
                <w:lang w:eastAsia="en-US"/>
              </w:rPr>
              <w:t>性别</w:t>
            </w:r>
          </w:p>
        </w:tc>
        <w:tc>
          <w:tcPr>
            <w:tcW w:w="2727" w:type="dxa"/>
            <w:noWrap w:val="0"/>
            <w:vAlign w:val="top"/>
          </w:tcPr>
          <w:p w14:paraId="2B4B717B">
            <w:pPr>
              <w:widowControl/>
              <w:kinsoku w:val="0"/>
              <w:autoSpaceDE w:val="0"/>
              <w:autoSpaceDN w:val="0"/>
              <w:spacing w:before="125" w:line="221" w:lineRule="auto"/>
              <w:ind w:left="554" w:firstLine="0" w:firstLineChars="0"/>
              <w:jc w:val="left"/>
              <w:textAlignment w:val="baseline"/>
              <w:rPr>
                <w:rFonts w:ascii="宋体" w:hAnsi="宋体" w:eastAsia="宋体" w:cs="宋体"/>
                <w:snapToGrid w:val="0"/>
                <w:color w:val="000000"/>
                <w:spacing w:val="0"/>
                <w:kern w:val="0"/>
                <w:sz w:val="21"/>
                <w:szCs w:val="21"/>
                <w:lang w:eastAsia="en-US"/>
              </w:rPr>
            </w:pPr>
            <w:r>
              <w:rPr>
                <w:rFonts w:hint="eastAsia" w:ascii="宋体" w:hAnsi="宋体" w:eastAsia="宋体" w:cs="宋体"/>
                <w:b/>
                <w:bCs/>
                <w:snapToGrid w:val="0"/>
                <w:color w:val="000000"/>
                <w:spacing w:val="-3"/>
                <w:kern w:val="0"/>
                <w:sz w:val="21"/>
                <w:szCs w:val="21"/>
                <w:lang w:val="en-US" w:eastAsia="zh-CN"/>
              </w:rPr>
              <w:t>身份</w:t>
            </w:r>
            <w:r>
              <w:rPr>
                <w:rFonts w:ascii="宋体" w:hAnsi="宋体" w:eastAsia="宋体" w:cs="宋体"/>
                <w:b/>
                <w:bCs/>
                <w:snapToGrid w:val="0"/>
                <w:color w:val="000000"/>
                <w:spacing w:val="-3"/>
                <w:kern w:val="0"/>
                <w:sz w:val="21"/>
                <w:szCs w:val="21"/>
                <w:lang w:eastAsia="en-US"/>
              </w:rPr>
              <w:t>证号</w:t>
            </w:r>
          </w:p>
        </w:tc>
        <w:tc>
          <w:tcPr>
            <w:tcW w:w="1106" w:type="dxa"/>
            <w:noWrap w:val="0"/>
            <w:vAlign w:val="top"/>
          </w:tcPr>
          <w:p w14:paraId="5EB8738E">
            <w:pPr>
              <w:widowControl/>
              <w:kinsoku w:val="0"/>
              <w:autoSpaceDE w:val="0"/>
              <w:autoSpaceDN w:val="0"/>
              <w:spacing w:before="125" w:line="220" w:lineRule="auto"/>
              <w:ind w:left="0" w:leftChars="0" w:firstLine="0" w:firstLineChars="0"/>
              <w:jc w:val="center"/>
              <w:textAlignment w:val="baseline"/>
              <w:rPr>
                <w:rFonts w:hint="eastAsia" w:ascii="宋体" w:hAnsi="宋体" w:eastAsia="宋体" w:cs="宋体"/>
                <w:snapToGrid w:val="0"/>
                <w:color w:val="000000"/>
                <w:spacing w:val="0"/>
                <w:kern w:val="0"/>
                <w:sz w:val="21"/>
                <w:szCs w:val="21"/>
                <w:lang w:val="en-US" w:eastAsia="zh-CN"/>
              </w:rPr>
            </w:pPr>
            <w:r>
              <w:rPr>
                <w:rFonts w:hint="eastAsia" w:ascii="宋体" w:hAnsi="宋体" w:eastAsia="宋体" w:cs="宋体"/>
                <w:snapToGrid w:val="0"/>
                <w:color w:val="000000"/>
                <w:spacing w:val="0"/>
                <w:kern w:val="0"/>
                <w:sz w:val="21"/>
                <w:szCs w:val="21"/>
                <w:lang w:val="en-US" w:eastAsia="zh-CN"/>
              </w:rPr>
              <w:t>专业</w:t>
            </w:r>
          </w:p>
        </w:tc>
        <w:tc>
          <w:tcPr>
            <w:tcW w:w="1241" w:type="dxa"/>
            <w:noWrap w:val="0"/>
            <w:vAlign w:val="top"/>
          </w:tcPr>
          <w:p w14:paraId="4F0BFA7D">
            <w:pPr>
              <w:widowControl/>
              <w:kinsoku w:val="0"/>
              <w:autoSpaceDE w:val="0"/>
              <w:autoSpaceDN w:val="0"/>
              <w:spacing w:before="125" w:line="221" w:lineRule="auto"/>
              <w:ind w:left="0" w:leftChars="0" w:firstLine="0" w:firstLineChars="0"/>
              <w:jc w:val="center"/>
              <w:textAlignment w:val="baseline"/>
              <w:rPr>
                <w:rFonts w:hint="eastAsia" w:ascii="宋体" w:hAnsi="宋体" w:eastAsia="宋体" w:cs="宋体"/>
                <w:snapToGrid w:val="0"/>
                <w:color w:val="000000"/>
                <w:spacing w:val="0"/>
                <w:kern w:val="0"/>
                <w:sz w:val="21"/>
                <w:szCs w:val="21"/>
                <w:lang w:val="en-US" w:eastAsia="zh-CN"/>
              </w:rPr>
            </w:pPr>
            <w:r>
              <w:rPr>
                <w:rFonts w:hint="eastAsia" w:ascii="宋体" w:hAnsi="宋体" w:eastAsia="宋体" w:cs="宋体"/>
                <w:snapToGrid w:val="0"/>
                <w:color w:val="000000"/>
                <w:spacing w:val="0"/>
                <w:kern w:val="0"/>
                <w:sz w:val="21"/>
                <w:szCs w:val="21"/>
                <w:lang w:val="en-US" w:eastAsia="zh-CN"/>
              </w:rPr>
              <w:t>学历或职称</w:t>
            </w:r>
          </w:p>
        </w:tc>
      </w:tr>
      <w:tr w14:paraId="1D89506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center"/>
          </w:tcPr>
          <w:p w14:paraId="31B96944">
            <w:pPr>
              <w:pStyle w:val="59"/>
              <w:bidi w:val="0"/>
              <w:rPr>
                <w:rFonts w:hint="default"/>
                <w:lang w:val="en-US" w:eastAsia="zh-CN"/>
              </w:rPr>
            </w:pPr>
            <w:r>
              <w:rPr>
                <w:rFonts w:hint="eastAsia"/>
                <w:lang w:val="en-US" w:eastAsia="zh-CN"/>
              </w:rPr>
              <w:t>采矿技术员</w:t>
            </w:r>
          </w:p>
        </w:tc>
        <w:tc>
          <w:tcPr>
            <w:tcW w:w="1187" w:type="dxa"/>
            <w:noWrap w:val="0"/>
            <w:vAlign w:val="center"/>
          </w:tcPr>
          <w:p w14:paraId="3D7CE1EE">
            <w:pPr>
              <w:pStyle w:val="59"/>
              <w:bidi w:val="0"/>
              <w:jc w:val="center"/>
              <w:rPr>
                <w:lang w:eastAsia="en-US"/>
              </w:rPr>
            </w:pPr>
            <w:r>
              <w:rPr>
                <w:rFonts w:hint="eastAsia"/>
                <w:lang w:val="en-US" w:eastAsia="zh-CN"/>
              </w:rPr>
              <w:t>杨海军</w:t>
            </w:r>
          </w:p>
        </w:tc>
        <w:tc>
          <w:tcPr>
            <w:tcW w:w="886" w:type="dxa"/>
            <w:noWrap w:val="0"/>
            <w:vAlign w:val="center"/>
          </w:tcPr>
          <w:p w14:paraId="30004BE9">
            <w:pPr>
              <w:pStyle w:val="59"/>
              <w:bidi w:val="0"/>
              <w:jc w:val="center"/>
              <w:rPr>
                <w:lang w:eastAsia="en-US"/>
              </w:rPr>
            </w:pPr>
            <w:r>
              <w:rPr>
                <w:rFonts w:hint="eastAsia"/>
                <w:lang w:eastAsia="zh-CN"/>
              </w:rPr>
              <w:t>男</w:t>
            </w:r>
          </w:p>
        </w:tc>
        <w:tc>
          <w:tcPr>
            <w:tcW w:w="2727" w:type="dxa"/>
            <w:noWrap w:val="0"/>
            <w:vAlign w:val="center"/>
          </w:tcPr>
          <w:p w14:paraId="50F3C239">
            <w:pPr>
              <w:pStyle w:val="59"/>
              <w:bidi w:val="0"/>
              <w:jc w:val="center"/>
              <w:rPr>
                <w:lang w:eastAsia="en-US"/>
              </w:rPr>
            </w:pPr>
            <w:r>
              <w:t>532502197309170612</w:t>
            </w:r>
          </w:p>
        </w:tc>
        <w:tc>
          <w:tcPr>
            <w:tcW w:w="1106" w:type="dxa"/>
            <w:noWrap w:val="0"/>
            <w:vAlign w:val="center"/>
          </w:tcPr>
          <w:p w14:paraId="5FB73F8C">
            <w:pPr>
              <w:pStyle w:val="59"/>
              <w:bidi w:val="0"/>
              <w:rPr>
                <w:lang w:eastAsia="en-US"/>
              </w:rPr>
            </w:pPr>
          </w:p>
        </w:tc>
        <w:tc>
          <w:tcPr>
            <w:tcW w:w="1241" w:type="dxa"/>
            <w:noWrap w:val="0"/>
            <w:vAlign w:val="center"/>
          </w:tcPr>
          <w:p w14:paraId="601B8C71">
            <w:pPr>
              <w:pStyle w:val="59"/>
              <w:bidi w:val="0"/>
              <w:rPr>
                <w:lang w:eastAsia="en-US"/>
              </w:rPr>
            </w:pPr>
          </w:p>
        </w:tc>
      </w:tr>
      <w:tr w14:paraId="00C97EF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center"/>
          </w:tcPr>
          <w:p w14:paraId="56F95A65">
            <w:pPr>
              <w:pStyle w:val="59"/>
              <w:bidi w:val="0"/>
              <w:rPr>
                <w:rFonts w:hint="default"/>
                <w:lang w:val="en-US" w:eastAsia="zh-CN"/>
              </w:rPr>
            </w:pPr>
            <w:r>
              <w:rPr>
                <w:rFonts w:hint="eastAsia"/>
                <w:lang w:val="en-US" w:eastAsia="zh-CN"/>
              </w:rPr>
              <w:t>地质技术员</w:t>
            </w:r>
          </w:p>
        </w:tc>
        <w:tc>
          <w:tcPr>
            <w:tcW w:w="1187" w:type="dxa"/>
            <w:noWrap w:val="0"/>
            <w:vAlign w:val="center"/>
          </w:tcPr>
          <w:p w14:paraId="6F9C22BD">
            <w:pPr>
              <w:pStyle w:val="59"/>
              <w:bidi w:val="0"/>
              <w:jc w:val="center"/>
              <w:rPr>
                <w:rFonts w:hint="default"/>
                <w:lang w:val="en-US" w:eastAsia="en-US"/>
              </w:rPr>
            </w:pPr>
            <w:r>
              <w:rPr>
                <w:rFonts w:hint="eastAsia"/>
                <w:lang w:val="en-US" w:eastAsia="zh-CN"/>
              </w:rPr>
              <w:t>梁正兵</w:t>
            </w:r>
          </w:p>
        </w:tc>
        <w:tc>
          <w:tcPr>
            <w:tcW w:w="886" w:type="dxa"/>
            <w:noWrap w:val="0"/>
            <w:vAlign w:val="center"/>
          </w:tcPr>
          <w:p w14:paraId="6263A166">
            <w:pPr>
              <w:pStyle w:val="59"/>
              <w:bidi w:val="0"/>
              <w:jc w:val="center"/>
              <w:rPr>
                <w:lang w:eastAsia="en-US"/>
              </w:rPr>
            </w:pPr>
            <w:r>
              <w:rPr>
                <w:rFonts w:hint="eastAsia"/>
                <w:lang w:eastAsia="zh-CN"/>
              </w:rPr>
              <w:t>男</w:t>
            </w:r>
          </w:p>
        </w:tc>
        <w:tc>
          <w:tcPr>
            <w:tcW w:w="2727" w:type="dxa"/>
            <w:noWrap w:val="0"/>
            <w:vAlign w:val="center"/>
          </w:tcPr>
          <w:p w14:paraId="03B472AA">
            <w:pPr>
              <w:pStyle w:val="59"/>
              <w:bidi w:val="0"/>
              <w:jc w:val="center"/>
              <w:rPr>
                <w:rFonts w:hint="default"/>
                <w:lang w:val="en-US" w:eastAsia="zh-CN"/>
              </w:rPr>
            </w:pPr>
            <w:r>
              <w:t>532</w:t>
            </w:r>
            <w:r>
              <w:rPr>
                <w:rFonts w:hint="eastAsia"/>
                <w:lang w:val="en-US" w:eastAsia="zh-CN"/>
              </w:rPr>
              <w:t>627196907271112</w:t>
            </w:r>
          </w:p>
        </w:tc>
        <w:tc>
          <w:tcPr>
            <w:tcW w:w="1106" w:type="dxa"/>
            <w:noWrap w:val="0"/>
            <w:vAlign w:val="center"/>
          </w:tcPr>
          <w:p w14:paraId="51D52B3A">
            <w:pPr>
              <w:pStyle w:val="59"/>
              <w:bidi w:val="0"/>
              <w:rPr>
                <w:lang w:eastAsia="en-US"/>
              </w:rPr>
            </w:pPr>
          </w:p>
        </w:tc>
        <w:tc>
          <w:tcPr>
            <w:tcW w:w="1241" w:type="dxa"/>
            <w:noWrap w:val="0"/>
            <w:vAlign w:val="center"/>
          </w:tcPr>
          <w:p w14:paraId="53B6B752">
            <w:pPr>
              <w:pStyle w:val="59"/>
              <w:bidi w:val="0"/>
              <w:rPr>
                <w:lang w:eastAsia="en-US"/>
              </w:rPr>
            </w:pPr>
          </w:p>
        </w:tc>
      </w:tr>
      <w:tr w14:paraId="29B7D19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20" w:hRule="atLeast"/>
        </w:trPr>
        <w:tc>
          <w:tcPr>
            <w:tcW w:w="1996" w:type="dxa"/>
            <w:noWrap w:val="0"/>
            <w:vAlign w:val="center"/>
          </w:tcPr>
          <w:p w14:paraId="6931CA72">
            <w:pPr>
              <w:pStyle w:val="59"/>
              <w:bidi w:val="0"/>
              <w:rPr>
                <w:rFonts w:hint="default"/>
                <w:lang w:val="en-US" w:eastAsia="zh-CN"/>
              </w:rPr>
            </w:pPr>
            <w:r>
              <w:rPr>
                <w:rFonts w:hint="eastAsia"/>
                <w:lang w:val="en-US" w:eastAsia="zh-CN"/>
              </w:rPr>
              <w:t>机电技术员</w:t>
            </w:r>
          </w:p>
        </w:tc>
        <w:tc>
          <w:tcPr>
            <w:tcW w:w="1187" w:type="dxa"/>
            <w:noWrap w:val="0"/>
            <w:vAlign w:val="center"/>
          </w:tcPr>
          <w:p w14:paraId="63385926">
            <w:pPr>
              <w:pStyle w:val="59"/>
              <w:bidi w:val="0"/>
              <w:jc w:val="center"/>
              <w:rPr>
                <w:lang w:eastAsia="en-US"/>
              </w:rPr>
            </w:pPr>
            <w:r>
              <w:rPr>
                <w:rFonts w:hint="default"/>
                <w:lang w:val="en-US" w:eastAsia="zh-CN"/>
              </w:rPr>
              <w:t>胡仕鸿</w:t>
            </w:r>
          </w:p>
        </w:tc>
        <w:tc>
          <w:tcPr>
            <w:tcW w:w="886" w:type="dxa"/>
            <w:noWrap w:val="0"/>
            <w:vAlign w:val="center"/>
          </w:tcPr>
          <w:p w14:paraId="4757FB8C">
            <w:pPr>
              <w:pStyle w:val="59"/>
              <w:bidi w:val="0"/>
              <w:jc w:val="center"/>
              <w:rPr>
                <w:lang w:eastAsia="en-US"/>
              </w:rPr>
            </w:pPr>
            <w:r>
              <w:rPr>
                <w:rFonts w:hint="eastAsia"/>
                <w:lang w:val="en-US" w:eastAsia="zh-CN"/>
              </w:rPr>
              <w:t>男</w:t>
            </w:r>
          </w:p>
        </w:tc>
        <w:tc>
          <w:tcPr>
            <w:tcW w:w="2727" w:type="dxa"/>
            <w:noWrap w:val="0"/>
            <w:vAlign w:val="center"/>
          </w:tcPr>
          <w:p w14:paraId="5C22254F">
            <w:pPr>
              <w:pStyle w:val="59"/>
              <w:bidi w:val="0"/>
              <w:jc w:val="center"/>
              <w:rPr>
                <w:lang w:eastAsia="en-US"/>
              </w:rPr>
            </w:pPr>
            <w:r>
              <w:rPr>
                <w:rFonts w:hint="eastAsia"/>
                <w:lang w:val="en-US" w:eastAsia="zh-CN"/>
              </w:rPr>
              <w:t>532627197401132515</w:t>
            </w:r>
          </w:p>
        </w:tc>
        <w:tc>
          <w:tcPr>
            <w:tcW w:w="1106" w:type="dxa"/>
            <w:noWrap w:val="0"/>
            <w:vAlign w:val="center"/>
          </w:tcPr>
          <w:p w14:paraId="00300307">
            <w:pPr>
              <w:pStyle w:val="59"/>
              <w:bidi w:val="0"/>
              <w:rPr>
                <w:lang w:eastAsia="en-US"/>
              </w:rPr>
            </w:pPr>
          </w:p>
        </w:tc>
        <w:tc>
          <w:tcPr>
            <w:tcW w:w="1241" w:type="dxa"/>
            <w:noWrap w:val="0"/>
            <w:vAlign w:val="center"/>
          </w:tcPr>
          <w:p w14:paraId="44E745B9">
            <w:pPr>
              <w:pStyle w:val="59"/>
              <w:bidi w:val="0"/>
              <w:rPr>
                <w:lang w:eastAsia="en-US"/>
              </w:rPr>
            </w:pPr>
          </w:p>
        </w:tc>
      </w:tr>
    </w:tbl>
    <w:p w14:paraId="57B48DCF">
      <w:pPr>
        <w:bidi w:val="0"/>
        <w:rPr>
          <w:rFonts w:hint="eastAsia"/>
          <w:lang w:val="en-US" w:eastAsia="zh-CN"/>
        </w:rPr>
      </w:pPr>
    </w:p>
    <w:p w14:paraId="5E245CEA">
      <w:pPr>
        <w:bidi w:val="0"/>
        <w:rPr>
          <w:rFonts w:hint="eastAsia"/>
          <w:lang w:val="en-US" w:eastAsia="zh-CN"/>
        </w:rPr>
      </w:pPr>
      <w:r>
        <w:rPr>
          <w:rFonts w:hint="eastAsia"/>
          <w:lang w:val="en-US" w:eastAsia="zh-CN"/>
        </w:rPr>
        <w:t>3、矿山劳动定员</w:t>
      </w:r>
    </w:p>
    <w:p w14:paraId="59EF58DA">
      <w:pPr>
        <w:bidi w:val="0"/>
        <w:rPr>
          <w:rFonts w:hint="eastAsia"/>
          <w:lang w:val="en-US" w:eastAsia="zh-CN"/>
        </w:rPr>
      </w:pPr>
      <w:r>
        <w:rPr>
          <w:rFonts w:hint="eastAsia"/>
          <w:lang w:val="en-US" w:eastAsia="zh-CN"/>
        </w:rPr>
        <w:t>矿山</w:t>
      </w:r>
      <w:r>
        <w:rPr>
          <w:lang w:val="zh-TW" w:eastAsia="zh-TW"/>
        </w:rPr>
        <w:t>定员</w:t>
      </w:r>
      <w:r>
        <w:rPr>
          <w:rFonts w:hint="eastAsia"/>
          <w:lang w:val="en-US" w:eastAsia="zh-CN"/>
        </w:rPr>
        <w:t>34</w:t>
      </w:r>
      <w:r>
        <w:rPr>
          <w:lang w:val="zh-TW" w:eastAsia="zh-TW"/>
        </w:rPr>
        <w:t>人，岗位</w:t>
      </w:r>
      <w:r>
        <w:rPr>
          <w:rFonts w:hint="eastAsia"/>
          <w:lang w:val="en-US" w:eastAsia="zh-CN"/>
        </w:rPr>
        <w:t>设置及人员配置</w:t>
      </w:r>
      <w:r>
        <w:rPr>
          <w:lang w:val="zh-TW" w:eastAsia="zh-TW"/>
        </w:rPr>
        <w:t>见</w:t>
      </w:r>
      <w:r>
        <w:rPr>
          <w:rFonts w:hint="eastAsia"/>
          <w:lang w:val="en-US" w:eastAsia="zh-CN"/>
        </w:rPr>
        <w:t>2.4-12。</w:t>
      </w:r>
    </w:p>
    <w:p w14:paraId="3AB0A98C">
      <w:pPr>
        <w:pStyle w:val="47"/>
        <w:bidi w:val="0"/>
        <w:rPr>
          <w:lang w:val="zh-TW" w:eastAsia="zh-TW"/>
        </w:rPr>
      </w:pPr>
      <w:r>
        <w:rPr>
          <w:rFonts w:hint="eastAsia"/>
          <w:lang w:val="en-US" w:eastAsia="zh-CN"/>
        </w:rPr>
        <w:t>表2.4-12</w:t>
      </w:r>
      <w:r>
        <w:rPr>
          <w:lang w:val="zh-TW" w:eastAsia="zh-TW"/>
        </w:rPr>
        <w:t>矿山生产岗位定员明细表（单位：人）</w:t>
      </w:r>
    </w:p>
    <w:tbl>
      <w:tblPr>
        <w:tblStyle w:val="35"/>
        <w:tblpPr w:leftFromText="180" w:rightFromText="180" w:vertAnchor="text" w:horzAnchor="page" w:tblpX="1536" w:tblpY="253"/>
        <w:tblOverlap w:val="never"/>
        <w:tblW w:w="4565"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6" w:type="dxa"/>
          <w:left w:w="108" w:type="dxa"/>
          <w:bottom w:w="6" w:type="dxa"/>
          <w:right w:w="108" w:type="dxa"/>
        </w:tblCellMar>
      </w:tblPr>
      <w:tblGrid>
        <w:gridCol w:w="724"/>
        <w:gridCol w:w="2747"/>
        <w:gridCol w:w="864"/>
        <w:gridCol w:w="694"/>
        <w:gridCol w:w="979"/>
        <w:gridCol w:w="799"/>
        <w:gridCol w:w="1931"/>
      </w:tblGrid>
      <w:tr w14:paraId="0AEF4B3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blHeader/>
        </w:trPr>
        <w:tc>
          <w:tcPr>
            <w:tcW w:w="414" w:type="pct"/>
            <w:vMerge w:val="restart"/>
            <w:noWrap/>
            <w:vAlign w:val="center"/>
          </w:tcPr>
          <w:p w14:paraId="00EAFC8A">
            <w:pPr>
              <w:adjustRightInd/>
              <w:snapToGrid/>
              <w:spacing w:line="240" w:lineRule="auto"/>
              <w:ind w:firstLine="0" w:firstLineChars="0"/>
              <w:jc w:val="center"/>
              <w:rPr>
                <w:rFonts w:ascii="Times New Roman" w:hAnsi="Times New Roman"/>
                <w:color w:val="auto"/>
                <w:spacing w:val="0"/>
                <w:kern w:val="2"/>
                <w:sz w:val="21"/>
                <w:szCs w:val="21"/>
              </w:rPr>
            </w:pPr>
            <w:bookmarkStart w:id="234" w:name="_Ref215216781"/>
            <w:r>
              <w:rPr>
                <w:rFonts w:ascii="Times New Roman" w:hAnsi="Times New Roman"/>
                <w:color w:val="auto"/>
                <w:spacing w:val="0"/>
                <w:kern w:val="2"/>
                <w:sz w:val="21"/>
                <w:szCs w:val="21"/>
              </w:rPr>
              <w:t>序号</w:t>
            </w:r>
          </w:p>
        </w:tc>
        <w:tc>
          <w:tcPr>
            <w:tcW w:w="1571" w:type="pct"/>
            <w:vMerge w:val="restart"/>
            <w:noWrap/>
            <w:vAlign w:val="center"/>
          </w:tcPr>
          <w:p w14:paraId="02A3F3C0">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0"/>
                <w:sz w:val="21"/>
                <w:szCs w:val="21"/>
              </w:rPr>
              <w:t>岗位或工种</w:t>
            </w:r>
          </w:p>
        </w:tc>
        <w:tc>
          <w:tcPr>
            <w:tcW w:w="1451" w:type="pct"/>
            <w:gridSpan w:val="3"/>
            <w:noWrap/>
            <w:vAlign w:val="center"/>
          </w:tcPr>
          <w:p w14:paraId="2AAF62CF">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班次及人数</w:t>
            </w:r>
          </w:p>
        </w:tc>
        <w:tc>
          <w:tcPr>
            <w:tcW w:w="457" w:type="pct"/>
            <w:vMerge w:val="restart"/>
            <w:vAlign w:val="center"/>
          </w:tcPr>
          <w:p w14:paraId="5DC8C26F">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合计</w:t>
            </w:r>
          </w:p>
        </w:tc>
        <w:tc>
          <w:tcPr>
            <w:tcW w:w="1104" w:type="pct"/>
            <w:vMerge w:val="restart"/>
            <w:vAlign w:val="center"/>
          </w:tcPr>
          <w:p w14:paraId="03D5B919">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备注</w:t>
            </w:r>
          </w:p>
        </w:tc>
      </w:tr>
      <w:tr w14:paraId="09C5928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blHeader/>
        </w:trPr>
        <w:tc>
          <w:tcPr>
            <w:tcW w:w="414" w:type="pct"/>
            <w:vMerge w:val="continue"/>
            <w:vAlign w:val="center"/>
          </w:tcPr>
          <w:p w14:paraId="0BA0BA4E">
            <w:pPr>
              <w:widowControl/>
              <w:adjustRightInd/>
              <w:snapToGrid/>
              <w:spacing w:line="240" w:lineRule="auto"/>
              <w:ind w:firstLine="0" w:firstLineChars="0"/>
              <w:jc w:val="center"/>
              <w:rPr>
                <w:rFonts w:ascii="Times New Roman" w:hAnsi="Times New Roman"/>
                <w:color w:val="auto"/>
                <w:spacing w:val="0"/>
                <w:kern w:val="2"/>
                <w:sz w:val="21"/>
                <w:szCs w:val="21"/>
              </w:rPr>
            </w:pPr>
          </w:p>
        </w:tc>
        <w:tc>
          <w:tcPr>
            <w:tcW w:w="1571" w:type="pct"/>
            <w:vMerge w:val="continue"/>
            <w:vAlign w:val="center"/>
          </w:tcPr>
          <w:p w14:paraId="095E7375">
            <w:pPr>
              <w:adjustRightInd/>
              <w:snapToGrid/>
              <w:spacing w:line="240" w:lineRule="auto"/>
              <w:ind w:firstLine="0" w:firstLineChars="0"/>
              <w:jc w:val="center"/>
              <w:rPr>
                <w:rFonts w:ascii="Times New Roman" w:hAnsi="Times New Roman"/>
                <w:color w:val="auto"/>
                <w:spacing w:val="0"/>
                <w:kern w:val="2"/>
                <w:sz w:val="21"/>
                <w:szCs w:val="21"/>
              </w:rPr>
            </w:pPr>
          </w:p>
        </w:tc>
        <w:tc>
          <w:tcPr>
            <w:tcW w:w="494" w:type="pct"/>
            <w:noWrap/>
            <w:vAlign w:val="center"/>
          </w:tcPr>
          <w:p w14:paraId="1480900B">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0"/>
                <w:sz w:val="21"/>
                <w:szCs w:val="21"/>
              </w:rPr>
              <w:t>早</w:t>
            </w:r>
          </w:p>
        </w:tc>
        <w:tc>
          <w:tcPr>
            <w:tcW w:w="397" w:type="pct"/>
            <w:vAlign w:val="center"/>
          </w:tcPr>
          <w:p w14:paraId="2A017DDB">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0"/>
                <w:sz w:val="21"/>
                <w:szCs w:val="21"/>
              </w:rPr>
              <w:t>中</w:t>
            </w:r>
          </w:p>
        </w:tc>
        <w:tc>
          <w:tcPr>
            <w:tcW w:w="560" w:type="pct"/>
            <w:vAlign w:val="center"/>
          </w:tcPr>
          <w:p w14:paraId="391C95C3">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轮岗</w:t>
            </w:r>
          </w:p>
        </w:tc>
        <w:tc>
          <w:tcPr>
            <w:tcW w:w="457" w:type="pct"/>
            <w:vMerge w:val="continue"/>
            <w:vAlign w:val="center"/>
          </w:tcPr>
          <w:p w14:paraId="5F731BA3">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Merge w:val="continue"/>
            <w:vAlign w:val="center"/>
          </w:tcPr>
          <w:p w14:paraId="5DB30E01">
            <w:pPr>
              <w:adjustRightInd/>
              <w:snapToGrid/>
              <w:spacing w:line="240" w:lineRule="auto"/>
              <w:ind w:firstLine="0" w:firstLineChars="0"/>
              <w:jc w:val="center"/>
              <w:rPr>
                <w:rFonts w:ascii="Times New Roman" w:hAnsi="Times New Roman"/>
                <w:color w:val="auto"/>
                <w:spacing w:val="0"/>
                <w:kern w:val="2"/>
                <w:sz w:val="21"/>
                <w:szCs w:val="21"/>
              </w:rPr>
            </w:pPr>
          </w:p>
        </w:tc>
      </w:tr>
      <w:tr w14:paraId="711D313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1B098BFE">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b/>
                <w:color w:val="auto"/>
                <w:spacing w:val="0"/>
                <w:kern w:val="2"/>
                <w:sz w:val="21"/>
                <w:szCs w:val="21"/>
              </w:rPr>
              <w:t>一</w:t>
            </w:r>
          </w:p>
        </w:tc>
        <w:tc>
          <w:tcPr>
            <w:tcW w:w="1571" w:type="pct"/>
            <w:noWrap/>
            <w:vAlign w:val="center"/>
          </w:tcPr>
          <w:p w14:paraId="61897697">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b/>
                <w:color w:val="auto"/>
                <w:spacing w:val="0"/>
                <w:kern w:val="2"/>
                <w:sz w:val="21"/>
                <w:szCs w:val="21"/>
              </w:rPr>
              <w:t>采矿工区</w:t>
            </w:r>
          </w:p>
        </w:tc>
        <w:tc>
          <w:tcPr>
            <w:tcW w:w="494" w:type="pct"/>
            <w:noWrap/>
            <w:vAlign w:val="center"/>
          </w:tcPr>
          <w:p w14:paraId="51FC9A4F">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rPr>
              <w:t>1</w:t>
            </w:r>
            <w:r>
              <w:rPr>
                <w:rFonts w:hint="eastAsia" w:ascii="Times New Roman" w:hAnsi="Times New Roman"/>
                <w:b/>
                <w:color w:val="auto"/>
                <w:spacing w:val="0"/>
                <w:kern w:val="2"/>
                <w:sz w:val="21"/>
                <w:szCs w:val="21"/>
                <w:lang w:val="en-US" w:eastAsia="zh-CN"/>
              </w:rPr>
              <w:t>0</w:t>
            </w:r>
          </w:p>
        </w:tc>
        <w:tc>
          <w:tcPr>
            <w:tcW w:w="397" w:type="pct"/>
            <w:vAlign w:val="center"/>
          </w:tcPr>
          <w:p w14:paraId="3777E09C">
            <w:pPr>
              <w:adjustRightInd/>
              <w:snapToGrid/>
              <w:spacing w:line="240" w:lineRule="auto"/>
              <w:ind w:firstLine="0" w:firstLineChars="0"/>
              <w:jc w:val="center"/>
              <w:rPr>
                <w:rFonts w:ascii="Times New Roman" w:hAnsi="Times New Roman"/>
                <w:b/>
                <w:color w:val="auto"/>
                <w:spacing w:val="0"/>
                <w:kern w:val="2"/>
                <w:sz w:val="21"/>
                <w:szCs w:val="21"/>
              </w:rPr>
            </w:pPr>
          </w:p>
        </w:tc>
        <w:tc>
          <w:tcPr>
            <w:tcW w:w="560" w:type="pct"/>
            <w:vAlign w:val="center"/>
          </w:tcPr>
          <w:p w14:paraId="5B98C102">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lang w:val="en-US" w:eastAsia="zh-CN"/>
              </w:rPr>
              <w:t>2</w:t>
            </w:r>
          </w:p>
        </w:tc>
        <w:tc>
          <w:tcPr>
            <w:tcW w:w="457" w:type="pct"/>
            <w:vAlign w:val="center"/>
          </w:tcPr>
          <w:p w14:paraId="2D48014F">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rPr>
              <w:t>1</w:t>
            </w:r>
            <w:r>
              <w:rPr>
                <w:rFonts w:hint="eastAsia" w:ascii="Times New Roman" w:hAnsi="Times New Roman"/>
                <w:b/>
                <w:color w:val="auto"/>
                <w:spacing w:val="0"/>
                <w:kern w:val="2"/>
                <w:sz w:val="21"/>
                <w:szCs w:val="21"/>
                <w:lang w:val="en-US" w:eastAsia="zh-CN"/>
              </w:rPr>
              <w:t>2</w:t>
            </w:r>
          </w:p>
        </w:tc>
        <w:tc>
          <w:tcPr>
            <w:tcW w:w="1104" w:type="pct"/>
            <w:vAlign w:val="center"/>
          </w:tcPr>
          <w:p w14:paraId="339AB311">
            <w:pPr>
              <w:adjustRightInd/>
              <w:snapToGrid/>
              <w:spacing w:line="240" w:lineRule="auto"/>
              <w:ind w:firstLine="0" w:firstLineChars="0"/>
              <w:jc w:val="center"/>
              <w:rPr>
                <w:rFonts w:ascii="Times New Roman" w:hAnsi="Times New Roman"/>
                <w:b/>
                <w:color w:val="auto"/>
                <w:spacing w:val="0"/>
                <w:kern w:val="2"/>
                <w:sz w:val="21"/>
                <w:szCs w:val="21"/>
              </w:rPr>
            </w:pPr>
          </w:p>
        </w:tc>
      </w:tr>
      <w:tr w14:paraId="6D5F1E7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54CFC5B4">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1</w:t>
            </w:r>
          </w:p>
        </w:tc>
        <w:tc>
          <w:tcPr>
            <w:tcW w:w="1571" w:type="pct"/>
            <w:noWrap/>
            <w:vAlign w:val="center"/>
          </w:tcPr>
          <w:p w14:paraId="4E49BD7E">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color w:val="auto"/>
                <w:spacing w:val="0"/>
                <w:kern w:val="2"/>
                <w:sz w:val="21"/>
                <w:szCs w:val="21"/>
              </w:rPr>
              <w:t>挖掘机司机</w:t>
            </w:r>
          </w:p>
        </w:tc>
        <w:tc>
          <w:tcPr>
            <w:tcW w:w="494" w:type="pct"/>
            <w:noWrap/>
            <w:vAlign w:val="center"/>
          </w:tcPr>
          <w:p w14:paraId="35535B55">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2</w:t>
            </w:r>
          </w:p>
        </w:tc>
        <w:tc>
          <w:tcPr>
            <w:tcW w:w="397" w:type="pct"/>
            <w:vAlign w:val="center"/>
          </w:tcPr>
          <w:p w14:paraId="519F6C61">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66E6DAF4">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457" w:type="pct"/>
            <w:vAlign w:val="center"/>
          </w:tcPr>
          <w:p w14:paraId="165C3351">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415C3AC8">
            <w:pPr>
              <w:adjustRightInd/>
              <w:snapToGrid/>
              <w:spacing w:line="240" w:lineRule="auto"/>
              <w:ind w:firstLine="0" w:firstLineChars="0"/>
              <w:jc w:val="center"/>
              <w:rPr>
                <w:rFonts w:ascii="Times New Roman" w:hAnsi="Times New Roman"/>
                <w:color w:val="auto"/>
                <w:spacing w:val="0"/>
                <w:kern w:val="2"/>
                <w:sz w:val="21"/>
                <w:szCs w:val="21"/>
              </w:rPr>
            </w:pPr>
          </w:p>
        </w:tc>
      </w:tr>
      <w:tr w14:paraId="03BA24D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640C9859">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2</w:t>
            </w:r>
          </w:p>
        </w:tc>
        <w:tc>
          <w:tcPr>
            <w:tcW w:w="1571" w:type="pct"/>
            <w:noWrap/>
            <w:vAlign w:val="center"/>
          </w:tcPr>
          <w:p w14:paraId="5223131A">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color w:val="auto"/>
                <w:spacing w:val="0"/>
                <w:kern w:val="2"/>
                <w:sz w:val="21"/>
                <w:szCs w:val="21"/>
              </w:rPr>
              <w:t>自卸汽车司机</w:t>
            </w:r>
          </w:p>
        </w:tc>
        <w:tc>
          <w:tcPr>
            <w:tcW w:w="494" w:type="pct"/>
            <w:noWrap/>
            <w:vAlign w:val="center"/>
          </w:tcPr>
          <w:p w14:paraId="335675DB">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6</w:t>
            </w:r>
          </w:p>
        </w:tc>
        <w:tc>
          <w:tcPr>
            <w:tcW w:w="397" w:type="pct"/>
            <w:vAlign w:val="center"/>
          </w:tcPr>
          <w:p w14:paraId="3526185C">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343259FB">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457" w:type="pct"/>
            <w:vAlign w:val="center"/>
          </w:tcPr>
          <w:p w14:paraId="7A375C7C">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77B90E69">
            <w:pPr>
              <w:adjustRightInd/>
              <w:snapToGrid/>
              <w:spacing w:line="240" w:lineRule="auto"/>
              <w:ind w:firstLine="0" w:firstLineChars="0"/>
              <w:jc w:val="center"/>
              <w:rPr>
                <w:rFonts w:ascii="Times New Roman" w:hAnsi="Times New Roman"/>
                <w:color w:val="auto"/>
                <w:spacing w:val="0"/>
                <w:kern w:val="2"/>
                <w:sz w:val="21"/>
                <w:szCs w:val="21"/>
              </w:rPr>
            </w:pPr>
          </w:p>
        </w:tc>
      </w:tr>
      <w:tr w14:paraId="624E7D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07B201F5">
            <w:pPr>
              <w:adjustRightInd/>
              <w:snapToGrid/>
              <w:spacing w:line="240" w:lineRule="auto"/>
              <w:ind w:firstLine="0" w:firstLineChars="0"/>
              <w:jc w:val="center"/>
              <w:rPr>
                <w:rFonts w:hint="eastAsia" w:ascii="Times New Roman" w:hAnsi="Times New Roman" w:eastAsia="宋体"/>
                <w:color w:val="auto"/>
                <w:spacing w:val="0"/>
                <w:kern w:val="2"/>
                <w:sz w:val="21"/>
                <w:szCs w:val="21"/>
                <w:lang w:eastAsia="zh-CN"/>
              </w:rPr>
            </w:pPr>
            <w:r>
              <w:rPr>
                <w:rFonts w:hint="eastAsia" w:ascii="Times New Roman" w:hAnsi="Times New Roman"/>
                <w:color w:val="auto"/>
                <w:spacing w:val="0"/>
                <w:kern w:val="2"/>
                <w:sz w:val="21"/>
                <w:szCs w:val="21"/>
                <w:lang w:val="en-US" w:eastAsia="zh-CN"/>
              </w:rPr>
              <w:t>3</w:t>
            </w:r>
          </w:p>
        </w:tc>
        <w:tc>
          <w:tcPr>
            <w:tcW w:w="1571" w:type="pct"/>
            <w:noWrap/>
            <w:vAlign w:val="center"/>
          </w:tcPr>
          <w:p w14:paraId="16C18105">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钻机工</w:t>
            </w:r>
          </w:p>
        </w:tc>
        <w:tc>
          <w:tcPr>
            <w:tcW w:w="494" w:type="pct"/>
            <w:noWrap/>
            <w:vAlign w:val="center"/>
          </w:tcPr>
          <w:p w14:paraId="0A4172F9">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2</w:t>
            </w:r>
          </w:p>
        </w:tc>
        <w:tc>
          <w:tcPr>
            <w:tcW w:w="397" w:type="pct"/>
            <w:vAlign w:val="center"/>
          </w:tcPr>
          <w:p w14:paraId="012D692E">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14A8C5EF">
            <w:pPr>
              <w:adjustRightInd/>
              <w:snapToGrid/>
              <w:spacing w:line="240" w:lineRule="auto"/>
              <w:ind w:firstLine="0" w:firstLineChars="0"/>
              <w:jc w:val="center"/>
              <w:rPr>
                <w:rFonts w:ascii="Times New Roman" w:hAnsi="Times New Roman"/>
                <w:color w:val="auto"/>
                <w:spacing w:val="0"/>
                <w:kern w:val="2"/>
                <w:sz w:val="21"/>
                <w:szCs w:val="21"/>
              </w:rPr>
            </w:pPr>
          </w:p>
        </w:tc>
        <w:tc>
          <w:tcPr>
            <w:tcW w:w="457" w:type="pct"/>
            <w:vAlign w:val="center"/>
          </w:tcPr>
          <w:p w14:paraId="0D65236E">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0E293E97">
            <w:pPr>
              <w:adjustRightInd/>
              <w:snapToGrid/>
              <w:spacing w:line="240" w:lineRule="auto"/>
              <w:ind w:firstLine="0" w:firstLineChars="0"/>
              <w:jc w:val="center"/>
              <w:rPr>
                <w:rFonts w:ascii="Times New Roman" w:hAnsi="Times New Roman"/>
                <w:color w:val="auto"/>
                <w:spacing w:val="0"/>
                <w:kern w:val="2"/>
                <w:sz w:val="21"/>
                <w:szCs w:val="21"/>
              </w:rPr>
            </w:pPr>
          </w:p>
        </w:tc>
      </w:tr>
      <w:tr w14:paraId="2A543C2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191FB5A3">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b/>
                <w:color w:val="auto"/>
                <w:spacing w:val="0"/>
                <w:kern w:val="2"/>
                <w:sz w:val="21"/>
                <w:szCs w:val="21"/>
              </w:rPr>
              <w:t>二</w:t>
            </w:r>
          </w:p>
        </w:tc>
        <w:tc>
          <w:tcPr>
            <w:tcW w:w="1571" w:type="pct"/>
            <w:noWrap/>
            <w:vAlign w:val="center"/>
          </w:tcPr>
          <w:p w14:paraId="075801F7">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b/>
                <w:color w:val="auto"/>
                <w:spacing w:val="0"/>
                <w:kern w:val="2"/>
                <w:sz w:val="21"/>
                <w:szCs w:val="21"/>
              </w:rPr>
              <w:t>破碎加工工区</w:t>
            </w:r>
          </w:p>
        </w:tc>
        <w:tc>
          <w:tcPr>
            <w:tcW w:w="494" w:type="pct"/>
            <w:noWrap/>
            <w:vAlign w:val="center"/>
          </w:tcPr>
          <w:p w14:paraId="72045908">
            <w:pPr>
              <w:adjustRightInd/>
              <w:snapToGrid/>
              <w:spacing w:line="240" w:lineRule="auto"/>
              <w:ind w:firstLine="0" w:firstLineChars="0"/>
              <w:jc w:val="center"/>
              <w:rPr>
                <w:rFonts w:ascii="Times New Roman" w:hAnsi="Times New Roman"/>
                <w:b/>
                <w:color w:val="auto"/>
                <w:spacing w:val="0"/>
                <w:kern w:val="2"/>
                <w:sz w:val="21"/>
                <w:szCs w:val="21"/>
              </w:rPr>
            </w:pPr>
            <w:r>
              <w:rPr>
                <w:rFonts w:hint="eastAsia" w:ascii="Times New Roman" w:hAnsi="Times New Roman"/>
                <w:b/>
                <w:color w:val="auto"/>
                <w:spacing w:val="0"/>
                <w:kern w:val="2"/>
                <w:sz w:val="21"/>
                <w:szCs w:val="21"/>
              </w:rPr>
              <w:t>4</w:t>
            </w:r>
          </w:p>
        </w:tc>
        <w:tc>
          <w:tcPr>
            <w:tcW w:w="397" w:type="pct"/>
            <w:noWrap/>
            <w:vAlign w:val="center"/>
          </w:tcPr>
          <w:p w14:paraId="4F691A09">
            <w:pPr>
              <w:adjustRightInd/>
              <w:snapToGrid/>
              <w:spacing w:line="240" w:lineRule="auto"/>
              <w:ind w:firstLine="0" w:firstLineChars="0"/>
              <w:jc w:val="center"/>
              <w:rPr>
                <w:rFonts w:ascii="Times New Roman" w:hAnsi="Times New Roman"/>
                <w:b/>
                <w:color w:val="auto"/>
                <w:spacing w:val="0"/>
                <w:kern w:val="2"/>
                <w:sz w:val="21"/>
                <w:szCs w:val="21"/>
              </w:rPr>
            </w:pPr>
          </w:p>
        </w:tc>
        <w:tc>
          <w:tcPr>
            <w:tcW w:w="560" w:type="pct"/>
            <w:vAlign w:val="center"/>
          </w:tcPr>
          <w:p w14:paraId="186C0EAB">
            <w:pPr>
              <w:adjustRightInd/>
              <w:snapToGrid/>
              <w:spacing w:line="240" w:lineRule="auto"/>
              <w:ind w:firstLine="0" w:firstLineChars="0"/>
              <w:jc w:val="center"/>
              <w:rPr>
                <w:rFonts w:ascii="Times New Roman" w:hAnsi="Times New Roman"/>
                <w:b/>
                <w:color w:val="auto"/>
                <w:spacing w:val="0"/>
                <w:kern w:val="2"/>
                <w:sz w:val="21"/>
                <w:szCs w:val="21"/>
              </w:rPr>
            </w:pPr>
            <w:r>
              <w:rPr>
                <w:rFonts w:hint="eastAsia" w:ascii="Times New Roman" w:hAnsi="Times New Roman"/>
                <w:b/>
                <w:color w:val="auto"/>
                <w:spacing w:val="0"/>
                <w:kern w:val="2"/>
                <w:sz w:val="21"/>
                <w:szCs w:val="21"/>
              </w:rPr>
              <w:t>2</w:t>
            </w:r>
          </w:p>
        </w:tc>
        <w:tc>
          <w:tcPr>
            <w:tcW w:w="457" w:type="pct"/>
            <w:vAlign w:val="center"/>
          </w:tcPr>
          <w:p w14:paraId="0B8A2DE6">
            <w:pPr>
              <w:adjustRightInd/>
              <w:snapToGrid/>
              <w:spacing w:line="240" w:lineRule="auto"/>
              <w:ind w:firstLine="0" w:firstLineChars="0"/>
              <w:jc w:val="center"/>
              <w:rPr>
                <w:rFonts w:ascii="Times New Roman" w:hAnsi="Times New Roman"/>
                <w:b/>
                <w:color w:val="auto"/>
                <w:spacing w:val="0"/>
                <w:kern w:val="2"/>
                <w:sz w:val="21"/>
                <w:szCs w:val="21"/>
              </w:rPr>
            </w:pPr>
            <w:r>
              <w:rPr>
                <w:rFonts w:hint="eastAsia" w:ascii="Times New Roman" w:hAnsi="Times New Roman"/>
                <w:b/>
                <w:color w:val="auto"/>
                <w:spacing w:val="0"/>
                <w:kern w:val="2"/>
                <w:sz w:val="21"/>
                <w:szCs w:val="21"/>
              </w:rPr>
              <w:t>6</w:t>
            </w:r>
          </w:p>
        </w:tc>
        <w:tc>
          <w:tcPr>
            <w:tcW w:w="1104" w:type="pct"/>
            <w:vAlign w:val="center"/>
          </w:tcPr>
          <w:p w14:paraId="0A04C87D">
            <w:pPr>
              <w:adjustRightInd/>
              <w:snapToGrid/>
              <w:spacing w:line="240" w:lineRule="auto"/>
              <w:ind w:firstLine="0" w:firstLineChars="0"/>
              <w:jc w:val="center"/>
              <w:rPr>
                <w:rFonts w:ascii="Times New Roman" w:hAnsi="Times New Roman"/>
                <w:b/>
                <w:color w:val="auto"/>
                <w:spacing w:val="0"/>
                <w:kern w:val="2"/>
                <w:sz w:val="21"/>
                <w:szCs w:val="21"/>
              </w:rPr>
            </w:pPr>
          </w:p>
        </w:tc>
      </w:tr>
      <w:tr w14:paraId="3ADB5CB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69990EB1">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1</w:t>
            </w:r>
          </w:p>
        </w:tc>
        <w:tc>
          <w:tcPr>
            <w:tcW w:w="1571" w:type="pct"/>
            <w:noWrap/>
            <w:vAlign w:val="center"/>
          </w:tcPr>
          <w:p w14:paraId="18064B54">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破碎</w:t>
            </w:r>
            <w:r>
              <w:rPr>
                <w:rFonts w:hint="eastAsia" w:ascii="Times New Roman" w:hAnsi="Times New Roman"/>
                <w:color w:val="auto"/>
                <w:spacing w:val="0"/>
                <w:kern w:val="2"/>
                <w:sz w:val="21"/>
                <w:szCs w:val="21"/>
              </w:rPr>
              <w:t>生产线</w:t>
            </w:r>
            <w:r>
              <w:rPr>
                <w:rFonts w:ascii="Times New Roman" w:hAnsi="Times New Roman"/>
                <w:color w:val="auto"/>
                <w:spacing w:val="0"/>
                <w:kern w:val="2"/>
                <w:sz w:val="21"/>
                <w:szCs w:val="21"/>
              </w:rPr>
              <w:t>工人</w:t>
            </w:r>
          </w:p>
        </w:tc>
        <w:tc>
          <w:tcPr>
            <w:tcW w:w="494" w:type="pct"/>
            <w:noWrap/>
            <w:vAlign w:val="center"/>
          </w:tcPr>
          <w:p w14:paraId="1878ADC4">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3</w:t>
            </w:r>
          </w:p>
        </w:tc>
        <w:tc>
          <w:tcPr>
            <w:tcW w:w="397" w:type="pct"/>
            <w:noWrap/>
            <w:vAlign w:val="center"/>
          </w:tcPr>
          <w:p w14:paraId="10658782">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65F563FD">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457" w:type="pct"/>
            <w:vAlign w:val="center"/>
          </w:tcPr>
          <w:p w14:paraId="4C1D8E2F">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6B4CB2BA">
            <w:pPr>
              <w:adjustRightInd/>
              <w:snapToGrid/>
              <w:spacing w:line="240" w:lineRule="auto"/>
              <w:ind w:firstLine="0" w:firstLineChars="0"/>
              <w:jc w:val="center"/>
              <w:rPr>
                <w:rFonts w:ascii="Times New Roman" w:hAnsi="Times New Roman"/>
                <w:color w:val="auto"/>
                <w:spacing w:val="0"/>
                <w:kern w:val="2"/>
                <w:sz w:val="21"/>
                <w:szCs w:val="21"/>
              </w:rPr>
            </w:pPr>
          </w:p>
        </w:tc>
      </w:tr>
      <w:tr w14:paraId="3BD81D9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5B8E5031">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2</w:t>
            </w:r>
          </w:p>
        </w:tc>
        <w:tc>
          <w:tcPr>
            <w:tcW w:w="1571" w:type="pct"/>
            <w:noWrap/>
            <w:vAlign w:val="center"/>
          </w:tcPr>
          <w:p w14:paraId="1AC07E0E">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装载机司机</w:t>
            </w:r>
          </w:p>
        </w:tc>
        <w:tc>
          <w:tcPr>
            <w:tcW w:w="494" w:type="pct"/>
            <w:noWrap/>
            <w:vAlign w:val="center"/>
          </w:tcPr>
          <w:p w14:paraId="5B59DAC5">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397" w:type="pct"/>
            <w:noWrap/>
            <w:vAlign w:val="center"/>
          </w:tcPr>
          <w:p w14:paraId="0CC2DAEE">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04BB9A23">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457" w:type="pct"/>
            <w:vAlign w:val="center"/>
          </w:tcPr>
          <w:p w14:paraId="57D74BCA">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4C1E623A">
            <w:pPr>
              <w:adjustRightInd/>
              <w:snapToGrid/>
              <w:spacing w:line="240" w:lineRule="auto"/>
              <w:ind w:firstLine="0" w:firstLineChars="0"/>
              <w:jc w:val="center"/>
              <w:rPr>
                <w:rFonts w:ascii="Times New Roman" w:hAnsi="Times New Roman"/>
                <w:color w:val="auto"/>
                <w:spacing w:val="0"/>
                <w:kern w:val="2"/>
                <w:sz w:val="21"/>
                <w:szCs w:val="21"/>
              </w:rPr>
            </w:pPr>
          </w:p>
        </w:tc>
      </w:tr>
      <w:tr w14:paraId="28665E0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284FE459">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b/>
                <w:color w:val="auto"/>
                <w:spacing w:val="0"/>
                <w:kern w:val="2"/>
                <w:sz w:val="21"/>
                <w:szCs w:val="21"/>
              </w:rPr>
              <w:t>三</w:t>
            </w:r>
          </w:p>
        </w:tc>
        <w:tc>
          <w:tcPr>
            <w:tcW w:w="1571" w:type="pct"/>
            <w:noWrap/>
            <w:vAlign w:val="center"/>
          </w:tcPr>
          <w:p w14:paraId="060E628C">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b/>
                <w:color w:val="auto"/>
                <w:spacing w:val="0"/>
                <w:kern w:val="2"/>
                <w:sz w:val="21"/>
                <w:szCs w:val="21"/>
              </w:rPr>
              <w:t>辅助人员</w:t>
            </w:r>
          </w:p>
        </w:tc>
        <w:tc>
          <w:tcPr>
            <w:tcW w:w="494" w:type="pct"/>
            <w:noWrap/>
            <w:vAlign w:val="center"/>
          </w:tcPr>
          <w:p w14:paraId="311AC194">
            <w:pPr>
              <w:adjustRightInd/>
              <w:snapToGrid/>
              <w:spacing w:line="240" w:lineRule="auto"/>
              <w:ind w:firstLine="0" w:firstLineChars="0"/>
              <w:jc w:val="center"/>
              <w:rPr>
                <w:rFonts w:ascii="Times New Roman" w:hAnsi="Times New Roman"/>
                <w:b/>
                <w:color w:val="auto"/>
                <w:spacing w:val="0"/>
                <w:kern w:val="2"/>
                <w:sz w:val="21"/>
                <w:szCs w:val="21"/>
              </w:rPr>
            </w:pPr>
            <w:r>
              <w:rPr>
                <w:rFonts w:hint="eastAsia" w:ascii="Times New Roman" w:hAnsi="Times New Roman"/>
                <w:b/>
                <w:color w:val="auto"/>
                <w:spacing w:val="0"/>
                <w:kern w:val="2"/>
                <w:sz w:val="21"/>
                <w:szCs w:val="21"/>
              </w:rPr>
              <w:t>3</w:t>
            </w:r>
          </w:p>
        </w:tc>
        <w:tc>
          <w:tcPr>
            <w:tcW w:w="397" w:type="pct"/>
            <w:noWrap/>
            <w:vAlign w:val="center"/>
          </w:tcPr>
          <w:p w14:paraId="623D1CBC">
            <w:pPr>
              <w:adjustRightInd/>
              <w:snapToGrid/>
              <w:spacing w:line="240" w:lineRule="auto"/>
              <w:ind w:firstLine="0" w:firstLineChars="0"/>
              <w:jc w:val="center"/>
              <w:rPr>
                <w:rFonts w:ascii="Times New Roman" w:hAnsi="Times New Roman"/>
                <w:b/>
                <w:color w:val="auto"/>
                <w:spacing w:val="0"/>
                <w:kern w:val="2"/>
                <w:sz w:val="21"/>
                <w:szCs w:val="21"/>
              </w:rPr>
            </w:pPr>
          </w:p>
        </w:tc>
        <w:tc>
          <w:tcPr>
            <w:tcW w:w="560" w:type="pct"/>
            <w:vAlign w:val="center"/>
          </w:tcPr>
          <w:p w14:paraId="779893A0">
            <w:pPr>
              <w:adjustRightInd/>
              <w:snapToGrid/>
              <w:spacing w:line="240" w:lineRule="auto"/>
              <w:ind w:firstLine="0" w:firstLineChars="0"/>
              <w:jc w:val="center"/>
              <w:rPr>
                <w:rFonts w:ascii="Times New Roman" w:hAnsi="Times New Roman"/>
                <w:b/>
                <w:color w:val="auto"/>
                <w:spacing w:val="0"/>
                <w:kern w:val="2"/>
                <w:sz w:val="21"/>
                <w:szCs w:val="21"/>
              </w:rPr>
            </w:pPr>
          </w:p>
        </w:tc>
        <w:tc>
          <w:tcPr>
            <w:tcW w:w="457" w:type="pct"/>
            <w:vAlign w:val="center"/>
          </w:tcPr>
          <w:p w14:paraId="18AE6A86">
            <w:pPr>
              <w:adjustRightInd/>
              <w:snapToGrid/>
              <w:spacing w:line="240" w:lineRule="auto"/>
              <w:ind w:firstLine="0" w:firstLineChars="0"/>
              <w:jc w:val="center"/>
              <w:rPr>
                <w:rFonts w:ascii="Times New Roman" w:hAnsi="Times New Roman"/>
                <w:b/>
                <w:color w:val="auto"/>
                <w:spacing w:val="0"/>
                <w:kern w:val="2"/>
                <w:sz w:val="21"/>
                <w:szCs w:val="21"/>
              </w:rPr>
            </w:pPr>
            <w:r>
              <w:rPr>
                <w:rFonts w:hint="eastAsia" w:ascii="Times New Roman" w:hAnsi="Times New Roman"/>
                <w:b/>
                <w:color w:val="auto"/>
                <w:spacing w:val="0"/>
                <w:kern w:val="2"/>
                <w:sz w:val="21"/>
                <w:szCs w:val="21"/>
              </w:rPr>
              <w:t>3</w:t>
            </w:r>
          </w:p>
        </w:tc>
        <w:tc>
          <w:tcPr>
            <w:tcW w:w="1104" w:type="pct"/>
            <w:vAlign w:val="center"/>
          </w:tcPr>
          <w:p w14:paraId="77DC2AF5">
            <w:pPr>
              <w:adjustRightInd/>
              <w:snapToGrid/>
              <w:spacing w:line="240" w:lineRule="auto"/>
              <w:ind w:firstLine="0" w:firstLineChars="0"/>
              <w:jc w:val="center"/>
              <w:rPr>
                <w:rFonts w:ascii="Times New Roman" w:hAnsi="Times New Roman"/>
                <w:b/>
                <w:color w:val="auto"/>
                <w:spacing w:val="0"/>
                <w:kern w:val="2"/>
                <w:sz w:val="21"/>
                <w:szCs w:val="21"/>
              </w:rPr>
            </w:pPr>
          </w:p>
        </w:tc>
      </w:tr>
      <w:tr w14:paraId="2BA0D7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01BF4509">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color w:val="auto"/>
                <w:spacing w:val="0"/>
                <w:kern w:val="2"/>
                <w:sz w:val="21"/>
                <w:szCs w:val="21"/>
              </w:rPr>
              <w:t>1</w:t>
            </w:r>
          </w:p>
        </w:tc>
        <w:tc>
          <w:tcPr>
            <w:tcW w:w="1571" w:type="pct"/>
            <w:noWrap/>
            <w:vAlign w:val="center"/>
          </w:tcPr>
          <w:p w14:paraId="51CB0751">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调度工</w:t>
            </w:r>
          </w:p>
        </w:tc>
        <w:tc>
          <w:tcPr>
            <w:tcW w:w="494" w:type="pct"/>
            <w:noWrap/>
            <w:vAlign w:val="center"/>
          </w:tcPr>
          <w:p w14:paraId="27E2FCCB">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1</w:t>
            </w:r>
          </w:p>
        </w:tc>
        <w:tc>
          <w:tcPr>
            <w:tcW w:w="397" w:type="pct"/>
            <w:noWrap/>
            <w:vAlign w:val="center"/>
          </w:tcPr>
          <w:p w14:paraId="3B95E39F">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2F0875C4">
            <w:pPr>
              <w:adjustRightInd/>
              <w:snapToGrid/>
              <w:spacing w:line="240" w:lineRule="auto"/>
              <w:ind w:firstLine="0" w:firstLineChars="0"/>
              <w:jc w:val="center"/>
              <w:rPr>
                <w:rFonts w:ascii="Times New Roman" w:hAnsi="Times New Roman"/>
                <w:color w:val="auto"/>
                <w:spacing w:val="0"/>
                <w:kern w:val="2"/>
                <w:sz w:val="21"/>
                <w:szCs w:val="21"/>
              </w:rPr>
            </w:pPr>
          </w:p>
        </w:tc>
        <w:tc>
          <w:tcPr>
            <w:tcW w:w="457" w:type="pct"/>
            <w:vAlign w:val="center"/>
          </w:tcPr>
          <w:p w14:paraId="7A7F7F77">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489E36BF">
            <w:pPr>
              <w:adjustRightInd/>
              <w:snapToGrid/>
              <w:spacing w:line="240" w:lineRule="auto"/>
              <w:ind w:firstLine="0" w:firstLineChars="0"/>
              <w:jc w:val="center"/>
              <w:rPr>
                <w:rFonts w:ascii="Times New Roman" w:hAnsi="Times New Roman"/>
                <w:color w:val="auto"/>
                <w:spacing w:val="0"/>
                <w:kern w:val="2"/>
                <w:sz w:val="21"/>
                <w:szCs w:val="21"/>
              </w:rPr>
            </w:pPr>
          </w:p>
        </w:tc>
      </w:tr>
      <w:tr w14:paraId="54442AF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282D163C">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2</w:t>
            </w:r>
          </w:p>
        </w:tc>
        <w:tc>
          <w:tcPr>
            <w:tcW w:w="1571" w:type="pct"/>
            <w:noWrap/>
            <w:vAlign w:val="center"/>
          </w:tcPr>
          <w:p w14:paraId="7BDC3E04">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材料仓库</w:t>
            </w:r>
          </w:p>
        </w:tc>
        <w:tc>
          <w:tcPr>
            <w:tcW w:w="494" w:type="pct"/>
            <w:noWrap/>
            <w:vAlign w:val="center"/>
          </w:tcPr>
          <w:p w14:paraId="133ED276">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1</w:t>
            </w:r>
          </w:p>
        </w:tc>
        <w:tc>
          <w:tcPr>
            <w:tcW w:w="397" w:type="pct"/>
            <w:noWrap/>
            <w:vAlign w:val="center"/>
          </w:tcPr>
          <w:p w14:paraId="064F6A34">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6981A1D9">
            <w:pPr>
              <w:adjustRightInd/>
              <w:snapToGrid/>
              <w:spacing w:line="240" w:lineRule="auto"/>
              <w:ind w:firstLine="0" w:firstLineChars="0"/>
              <w:jc w:val="center"/>
              <w:rPr>
                <w:rFonts w:ascii="Times New Roman" w:hAnsi="Times New Roman"/>
                <w:color w:val="auto"/>
                <w:spacing w:val="0"/>
                <w:kern w:val="2"/>
                <w:sz w:val="21"/>
                <w:szCs w:val="21"/>
              </w:rPr>
            </w:pPr>
          </w:p>
        </w:tc>
        <w:tc>
          <w:tcPr>
            <w:tcW w:w="457" w:type="pct"/>
            <w:vAlign w:val="center"/>
          </w:tcPr>
          <w:p w14:paraId="6ACC4C8D">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19A26EDB">
            <w:pPr>
              <w:adjustRightInd/>
              <w:snapToGrid/>
              <w:spacing w:line="240" w:lineRule="auto"/>
              <w:ind w:firstLine="0" w:firstLineChars="0"/>
              <w:jc w:val="center"/>
              <w:rPr>
                <w:rFonts w:ascii="Times New Roman" w:hAnsi="Times New Roman"/>
                <w:color w:val="auto"/>
                <w:spacing w:val="0"/>
                <w:kern w:val="2"/>
                <w:sz w:val="21"/>
                <w:szCs w:val="21"/>
              </w:rPr>
            </w:pPr>
          </w:p>
        </w:tc>
      </w:tr>
      <w:tr w14:paraId="7C95202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3A7C6430">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3</w:t>
            </w:r>
          </w:p>
        </w:tc>
        <w:tc>
          <w:tcPr>
            <w:tcW w:w="1571" w:type="pct"/>
            <w:noWrap/>
            <w:vAlign w:val="center"/>
          </w:tcPr>
          <w:p w14:paraId="7F35E5FD">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后勤</w:t>
            </w:r>
          </w:p>
        </w:tc>
        <w:tc>
          <w:tcPr>
            <w:tcW w:w="494" w:type="pct"/>
            <w:noWrap/>
            <w:vAlign w:val="center"/>
          </w:tcPr>
          <w:p w14:paraId="5AF1FE99">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397" w:type="pct"/>
            <w:noWrap/>
            <w:vAlign w:val="center"/>
          </w:tcPr>
          <w:p w14:paraId="2C80E117">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765C4B00">
            <w:pPr>
              <w:adjustRightInd/>
              <w:snapToGrid/>
              <w:spacing w:line="240" w:lineRule="auto"/>
              <w:ind w:firstLine="0" w:firstLineChars="0"/>
              <w:jc w:val="center"/>
              <w:rPr>
                <w:rFonts w:ascii="Times New Roman" w:hAnsi="Times New Roman"/>
                <w:color w:val="auto"/>
                <w:spacing w:val="0"/>
                <w:kern w:val="2"/>
                <w:sz w:val="21"/>
                <w:szCs w:val="21"/>
              </w:rPr>
            </w:pPr>
          </w:p>
        </w:tc>
        <w:tc>
          <w:tcPr>
            <w:tcW w:w="457" w:type="pct"/>
            <w:vAlign w:val="center"/>
          </w:tcPr>
          <w:p w14:paraId="0AB43441">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5AE8E61E">
            <w:pPr>
              <w:adjustRightInd/>
              <w:snapToGrid/>
              <w:spacing w:line="240" w:lineRule="auto"/>
              <w:ind w:firstLine="0" w:firstLineChars="0"/>
              <w:jc w:val="center"/>
              <w:rPr>
                <w:rFonts w:ascii="Times New Roman" w:hAnsi="Times New Roman"/>
                <w:color w:val="auto"/>
                <w:spacing w:val="0"/>
                <w:kern w:val="2"/>
                <w:sz w:val="21"/>
                <w:szCs w:val="21"/>
              </w:rPr>
            </w:pPr>
          </w:p>
        </w:tc>
      </w:tr>
      <w:tr w14:paraId="1EEDB65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7E2A394A">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r>
              <w:rPr>
                <w:rFonts w:ascii="Times New Roman" w:hAnsi="Times New Roman"/>
                <w:b/>
                <w:color w:val="auto"/>
                <w:spacing w:val="0"/>
                <w:kern w:val="2"/>
                <w:sz w:val="21"/>
                <w:szCs w:val="21"/>
              </w:rPr>
              <w:t>四</w:t>
            </w:r>
          </w:p>
        </w:tc>
        <w:tc>
          <w:tcPr>
            <w:tcW w:w="1571" w:type="pct"/>
            <w:noWrap/>
            <w:vAlign w:val="center"/>
          </w:tcPr>
          <w:p w14:paraId="6C799B27">
            <w:pPr>
              <w:widowControl/>
              <w:adjustRightInd/>
              <w:snapToGrid/>
              <w:spacing w:line="240" w:lineRule="auto"/>
              <w:ind w:firstLine="0" w:firstLineChars="0"/>
              <w:jc w:val="center"/>
              <w:textAlignment w:val="bottom"/>
              <w:rPr>
                <w:rFonts w:ascii="Times New Roman" w:hAnsi="Times New Roman"/>
                <w:b/>
                <w:color w:val="auto"/>
                <w:spacing w:val="0"/>
                <w:kern w:val="2"/>
                <w:sz w:val="21"/>
                <w:szCs w:val="21"/>
              </w:rPr>
            </w:pPr>
            <w:r>
              <w:rPr>
                <w:rFonts w:hint="eastAsia" w:ascii="Times New Roman" w:hAnsi="Times New Roman"/>
                <w:b/>
                <w:color w:val="auto"/>
                <w:spacing w:val="0"/>
                <w:kern w:val="0"/>
                <w:sz w:val="21"/>
                <w:szCs w:val="21"/>
              </w:rPr>
              <w:t>生产技术科</w:t>
            </w:r>
          </w:p>
        </w:tc>
        <w:tc>
          <w:tcPr>
            <w:tcW w:w="494" w:type="pct"/>
            <w:noWrap/>
            <w:vAlign w:val="center"/>
          </w:tcPr>
          <w:p w14:paraId="194B5ECC">
            <w:pPr>
              <w:widowControl/>
              <w:adjustRightInd/>
              <w:snapToGrid/>
              <w:spacing w:line="240" w:lineRule="auto"/>
              <w:ind w:firstLine="0" w:firstLineChars="0"/>
              <w:jc w:val="center"/>
              <w:textAlignment w:val="bottom"/>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lang w:val="en-US" w:eastAsia="zh-CN"/>
              </w:rPr>
              <w:t>5</w:t>
            </w:r>
          </w:p>
        </w:tc>
        <w:tc>
          <w:tcPr>
            <w:tcW w:w="397" w:type="pct"/>
            <w:noWrap/>
            <w:vAlign w:val="center"/>
          </w:tcPr>
          <w:p w14:paraId="3CC1BD2D">
            <w:pPr>
              <w:widowControl/>
              <w:adjustRightInd/>
              <w:snapToGrid/>
              <w:spacing w:line="240" w:lineRule="auto"/>
              <w:ind w:firstLine="0" w:firstLineChars="0"/>
              <w:jc w:val="center"/>
              <w:textAlignment w:val="bottom"/>
              <w:rPr>
                <w:rFonts w:ascii="Times New Roman" w:hAnsi="Times New Roman"/>
                <w:b/>
                <w:color w:val="auto"/>
                <w:spacing w:val="0"/>
                <w:kern w:val="2"/>
                <w:sz w:val="21"/>
                <w:szCs w:val="21"/>
              </w:rPr>
            </w:pPr>
          </w:p>
        </w:tc>
        <w:tc>
          <w:tcPr>
            <w:tcW w:w="560" w:type="pct"/>
            <w:vAlign w:val="center"/>
          </w:tcPr>
          <w:p w14:paraId="1430755C">
            <w:pPr>
              <w:widowControl/>
              <w:adjustRightInd/>
              <w:snapToGrid/>
              <w:spacing w:line="240" w:lineRule="auto"/>
              <w:ind w:firstLine="0" w:firstLineChars="0"/>
              <w:jc w:val="center"/>
              <w:textAlignment w:val="bottom"/>
              <w:rPr>
                <w:rFonts w:ascii="Times New Roman" w:hAnsi="Times New Roman"/>
                <w:b/>
                <w:color w:val="auto"/>
                <w:spacing w:val="0"/>
                <w:kern w:val="2"/>
                <w:sz w:val="21"/>
                <w:szCs w:val="21"/>
              </w:rPr>
            </w:pPr>
          </w:p>
        </w:tc>
        <w:tc>
          <w:tcPr>
            <w:tcW w:w="457" w:type="pct"/>
            <w:vAlign w:val="center"/>
          </w:tcPr>
          <w:p w14:paraId="3A407967">
            <w:pPr>
              <w:widowControl/>
              <w:adjustRightInd/>
              <w:snapToGrid/>
              <w:spacing w:line="240" w:lineRule="auto"/>
              <w:ind w:firstLine="0" w:firstLineChars="0"/>
              <w:jc w:val="center"/>
              <w:textAlignment w:val="bottom"/>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0"/>
                <w:sz w:val="21"/>
                <w:szCs w:val="21"/>
                <w:lang w:val="en-US" w:eastAsia="zh-CN"/>
              </w:rPr>
              <w:t>5</w:t>
            </w:r>
          </w:p>
        </w:tc>
        <w:tc>
          <w:tcPr>
            <w:tcW w:w="1104" w:type="pct"/>
            <w:vAlign w:val="center"/>
          </w:tcPr>
          <w:p w14:paraId="3B9233A0">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r>
      <w:tr w14:paraId="11734D2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01B211D4">
            <w:pPr>
              <w:widowControl/>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1571" w:type="pct"/>
            <w:noWrap/>
            <w:vAlign w:val="center"/>
          </w:tcPr>
          <w:p w14:paraId="088FB21F">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r>
              <w:rPr>
                <w:rFonts w:hint="eastAsia" w:ascii="Times New Roman" w:hAnsi="Times New Roman"/>
                <w:color w:val="auto"/>
                <w:spacing w:val="0"/>
                <w:kern w:val="0"/>
                <w:sz w:val="21"/>
                <w:szCs w:val="21"/>
              </w:rPr>
              <w:t>采矿</w:t>
            </w:r>
          </w:p>
        </w:tc>
        <w:tc>
          <w:tcPr>
            <w:tcW w:w="494" w:type="pct"/>
            <w:noWrap/>
            <w:vAlign w:val="center"/>
          </w:tcPr>
          <w:p w14:paraId="78DFB61F">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r>
              <w:rPr>
                <w:rFonts w:hint="eastAsia" w:ascii="Times New Roman" w:hAnsi="Times New Roman"/>
                <w:color w:val="auto"/>
                <w:spacing w:val="0"/>
                <w:kern w:val="0"/>
                <w:sz w:val="21"/>
                <w:szCs w:val="21"/>
              </w:rPr>
              <w:t>1</w:t>
            </w:r>
          </w:p>
        </w:tc>
        <w:tc>
          <w:tcPr>
            <w:tcW w:w="397" w:type="pct"/>
            <w:noWrap/>
            <w:vAlign w:val="center"/>
          </w:tcPr>
          <w:p w14:paraId="3E975CA2">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560" w:type="pct"/>
            <w:vAlign w:val="center"/>
          </w:tcPr>
          <w:p w14:paraId="585543EB">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457" w:type="pct"/>
            <w:vAlign w:val="center"/>
          </w:tcPr>
          <w:p w14:paraId="1AE28305">
            <w:pPr>
              <w:widowControl/>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2A476A58">
            <w:pPr>
              <w:widowControl/>
              <w:adjustRightInd/>
              <w:snapToGrid/>
              <w:spacing w:line="240" w:lineRule="auto"/>
              <w:ind w:firstLine="0" w:firstLineChars="0"/>
              <w:jc w:val="center"/>
              <w:rPr>
                <w:rFonts w:ascii="Times New Roman" w:hAnsi="Times New Roman"/>
                <w:color w:val="auto"/>
                <w:spacing w:val="0"/>
                <w:kern w:val="2"/>
                <w:sz w:val="21"/>
                <w:szCs w:val="21"/>
              </w:rPr>
            </w:pPr>
          </w:p>
        </w:tc>
      </w:tr>
      <w:tr w14:paraId="2F3CC07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2427A7A0">
            <w:pPr>
              <w:widowControl/>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2</w:t>
            </w:r>
          </w:p>
        </w:tc>
        <w:tc>
          <w:tcPr>
            <w:tcW w:w="1571" w:type="pct"/>
            <w:noWrap/>
            <w:vAlign w:val="center"/>
          </w:tcPr>
          <w:p w14:paraId="07A2EB5A">
            <w:pPr>
              <w:widowControl/>
              <w:adjustRightInd/>
              <w:snapToGrid/>
              <w:spacing w:line="240" w:lineRule="auto"/>
              <w:ind w:firstLine="0" w:firstLineChars="0"/>
              <w:jc w:val="center"/>
              <w:textAlignment w:val="bottom"/>
              <w:rPr>
                <w:rFonts w:ascii="Times New Roman" w:hAnsi="Times New Roman"/>
                <w:color w:val="auto"/>
                <w:spacing w:val="0"/>
                <w:kern w:val="0"/>
                <w:sz w:val="21"/>
                <w:szCs w:val="21"/>
              </w:rPr>
            </w:pPr>
            <w:r>
              <w:rPr>
                <w:rFonts w:hint="eastAsia" w:ascii="Times New Roman" w:hAnsi="Times New Roman"/>
                <w:color w:val="auto"/>
                <w:spacing w:val="0"/>
                <w:kern w:val="0"/>
                <w:sz w:val="21"/>
                <w:szCs w:val="21"/>
              </w:rPr>
              <w:t>矿山地质</w:t>
            </w:r>
          </w:p>
        </w:tc>
        <w:tc>
          <w:tcPr>
            <w:tcW w:w="494" w:type="pct"/>
            <w:noWrap/>
            <w:vAlign w:val="center"/>
          </w:tcPr>
          <w:p w14:paraId="45D3DDA0">
            <w:pPr>
              <w:widowControl/>
              <w:adjustRightInd/>
              <w:snapToGrid/>
              <w:spacing w:line="240" w:lineRule="auto"/>
              <w:ind w:firstLine="0" w:firstLineChars="0"/>
              <w:jc w:val="center"/>
              <w:textAlignment w:val="bottom"/>
              <w:rPr>
                <w:rFonts w:ascii="Times New Roman" w:hAnsi="Times New Roman"/>
                <w:color w:val="auto"/>
                <w:spacing w:val="0"/>
                <w:kern w:val="0"/>
                <w:sz w:val="21"/>
                <w:szCs w:val="21"/>
              </w:rPr>
            </w:pPr>
            <w:r>
              <w:rPr>
                <w:rFonts w:hint="eastAsia" w:ascii="Times New Roman" w:hAnsi="Times New Roman"/>
                <w:color w:val="auto"/>
                <w:spacing w:val="0"/>
                <w:kern w:val="0"/>
                <w:sz w:val="21"/>
                <w:szCs w:val="21"/>
              </w:rPr>
              <w:t>1</w:t>
            </w:r>
          </w:p>
        </w:tc>
        <w:tc>
          <w:tcPr>
            <w:tcW w:w="397" w:type="pct"/>
            <w:noWrap/>
            <w:vAlign w:val="center"/>
          </w:tcPr>
          <w:p w14:paraId="4C5FD30C">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560" w:type="pct"/>
            <w:vAlign w:val="center"/>
          </w:tcPr>
          <w:p w14:paraId="4DE604BF">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457" w:type="pct"/>
            <w:vAlign w:val="center"/>
          </w:tcPr>
          <w:p w14:paraId="5879A5A8">
            <w:pPr>
              <w:widowControl/>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4BA29090">
            <w:pPr>
              <w:widowControl/>
              <w:adjustRightInd/>
              <w:snapToGrid/>
              <w:spacing w:line="240" w:lineRule="auto"/>
              <w:ind w:firstLine="0" w:firstLineChars="0"/>
              <w:jc w:val="center"/>
              <w:rPr>
                <w:rFonts w:ascii="Times New Roman" w:hAnsi="Times New Roman"/>
                <w:color w:val="auto"/>
                <w:spacing w:val="-4"/>
                <w:kern w:val="2"/>
                <w:sz w:val="21"/>
                <w:szCs w:val="21"/>
              </w:rPr>
            </w:pPr>
          </w:p>
        </w:tc>
      </w:tr>
      <w:tr w14:paraId="6324155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1C4D06CC">
            <w:pPr>
              <w:widowControl/>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3</w:t>
            </w:r>
          </w:p>
        </w:tc>
        <w:tc>
          <w:tcPr>
            <w:tcW w:w="1571" w:type="pct"/>
            <w:noWrap/>
            <w:vAlign w:val="center"/>
          </w:tcPr>
          <w:p w14:paraId="588DD080">
            <w:pPr>
              <w:widowControl/>
              <w:adjustRightInd/>
              <w:snapToGrid/>
              <w:spacing w:line="240" w:lineRule="auto"/>
              <w:ind w:firstLine="0" w:firstLineChars="0"/>
              <w:jc w:val="center"/>
              <w:textAlignment w:val="bottom"/>
              <w:rPr>
                <w:rFonts w:hint="default" w:ascii="Times New Roman" w:hAnsi="Times New Roman" w:eastAsia="宋体"/>
                <w:color w:val="auto"/>
                <w:spacing w:val="0"/>
                <w:kern w:val="2"/>
                <w:sz w:val="21"/>
                <w:szCs w:val="21"/>
                <w:lang w:val="en-US" w:eastAsia="zh-CN"/>
              </w:rPr>
            </w:pPr>
            <w:r>
              <w:rPr>
                <w:rFonts w:ascii="Times New Roman" w:hAnsi="Times New Roman"/>
                <w:color w:val="auto"/>
                <w:spacing w:val="0"/>
                <w:kern w:val="2"/>
                <w:sz w:val="21"/>
                <w:szCs w:val="21"/>
              </w:rPr>
              <w:t>机电</w:t>
            </w:r>
            <w:r>
              <w:rPr>
                <w:rFonts w:hint="eastAsia" w:ascii="Times New Roman" w:hAnsi="Times New Roman"/>
                <w:color w:val="auto"/>
                <w:spacing w:val="0"/>
                <w:kern w:val="2"/>
                <w:sz w:val="21"/>
                <w:szCs w:val="21"/>
                <w:lang w:eastAsia="zh-CN"/>
              </w:rPr>
              <w:t>、</w:t>
            </w:r>
            <w:r>
              <w:rPr>
                <w:rFonts w:hint="eastAsia" w:ascii="Times New Roman" w:hAnsi="Times New Roman"/>
                <w:color w:val="auto"/>
                <w:spacing w:val="0"/>
                <w:kern w:val="2"/>
                <w:sz w:val="21"/>
                <w:szCs w:val="21"/>
                <w:lang w:val="en-US" w:eastAsia="zh-CN"/>
              </w:rPr>
              <w:t>机修</w:t>
            </w:r>
          </w:p>
        </w:tc>
        <w:tc>
          <w:tcPr>
            <w:tcW w:w="494" w:type="pct"/>
            <w:noWrap/>
            <w:vAlign w:val="center"/>
          </w:tcPr>
          <w:p w14:paraId="021BCF49">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r>
              <w:rPr>
                <w:rFonts w:hint="eastAsia" w:ascii="Times New Roman" w:hAnsi="Times New Roman"/>
                <w:color w:val="auto"/>
                <w:spacing w:val="0"/>
                <w:kern w:val="0"/>
                <w:sz w:val="21"/>
                <w:szCs w:val="21"/>
              </w:rPr>
              <w:t>1</w:t>
            </w:r>
          </w:p>
        </w:tc>
        <w:tc>
          <w:tcPr>
            <w:tcW w:w="397" w:type="pct"/>
            <w:noWrap/>
            <w:vAlign w:val="center"/>
          </w:tcPr>
          <w:p w14:paraId="1DBC5C4F">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560" w:type="pct"/>
            <w:vAlign w:val="center"/>
          </w:tcPr>
          <w:p w14:paraId="019D6953">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457" w:type="pct"/>
            <w:vAlign w:val="center"/>
          </w:tcPr>
          <w:p w14:paraId="1A48FFA9">
            <w:pPr>
              <w:widowControl/>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3FF239B1">
            <w:pPr>
              <w:widowControl/>
              <w:adjustRightInd/>
              <w:snapToGrid/>
              <w:spacing w:line="240" w:lineRule="auto"/>
              <w:ind w:firstLine="0" w:firstLineChars="0"/>
              <w:jc w:val="center"/>
              <w:rPr>
                <w:rFonts w:ascii="Times New Roman" w:hAnsi="Times New Roman"/>
                <w:color w:val="auto"/>
                <w:spacing w:val="0"/>
                <w:kern w:val="2"/>
                <w:sz w:val="21"/>
                <w:szCs w:val="21"/>
              </w:rPr>
            </w:pPr>
          </w:p>
        </w:tc>
      </w:tr>
      <w:tr w14:paraId="444D0BD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1EAB0D14">
            <w:pPr>
              <w:widowControl/>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4</w:t>
            </w:r>
          </w:p>
        </w:tc>
        <w:tc>
          <w:tcPr>
            <w:tcW w:w="1571" w:type="pct"/>
            <w:noWrap/>
            <w:vAlign w:val="center"/>
          </w:tcPr>
          <w:p w14:paraId="47472033">
            <w:pPr>
              <w:widowControl/>
              <w:adjustRightInd/>
              <w:snapToGrid/>
              <w:spacing w:line="240" w:lineRule="auto"/>
              <w:ind w:firstLine="0" w:firstLineChars="0"/>
              <w:jc w:val="center"/>
              <w:textAlignment w:val="bottom"/>
              <w:rPr>
                <w:rFonts w:hint="eastAsia" w:ascii="Times New Roman" w:hAnsi="Times New Roman" w:eastAsia="宋体"/>
                <w:color w:val="auto"/>
                <w:spacing w:val="0"/>
                <w:kern w:val="2"/>
                <w:sz w:val="21"/>
                <w:szCs w:val="21"/>
                <w:lang w:eastAsia="zh-CN"/>
              </w:rPr>
            </w:pPr>
            <w:r>
              <w:rPr>
                <w:rFonts w:hint="eastAsia" w:ascii="Times New Roman" w:hAnsi="Times New Roman"/>
                <w:color w:val="auto"/>
                <w:spacing w:val="0"/>
                <w:kern w:val="2"/>
                <w:sz w:val="21"/>
                <w:szCs w:val="21"/>
                <w:lang w:val="en-US" w:eastAsia="zh-CN"/>
              </w:rPr>
              <w:t>电工</w:t>
            </w:r>
          </w:p>
        </w:tc>
        <w:tc>
          <w:tcPr>
            <w:tcW w:w="494" w:type="pct"/>
            <w:noWrap/>
            <w:vAlign w:val="center"/>
          </w:tcPr>
          <w:p w14:paraId="54546034">
            <w:pPr>
              <w:widowControl/>
              <w:adjustRightInd/>
              <w:snapToGrid/>
              <w:spacing w:line="240" w:lineRule="auto"/>
              <w:ind w:firstLine="0" w:firstLineChars="0"/>
              <w:jc w:val="center"/>
              <w:textAlignment w:val="bottom"/>
              <w:rPr>
                <w:rFonts w:hint="eastAsia" w:ascii="Times New Roman" w:hAnsi="Times New Roman" w:eastAsia="宋体"/>
                <w:color w:val="auto"/>
                <w:spacing w:val="0"/>
                <w:kern w:val="0"/>
                <w:sz w:val="21"/>
                <w:szCs w:val="21"/>
                <w:lang w:eastAsia="zh-CN"/>
              </w:rPr>
            </w:pPr>
            <w:r>
              <w:rPr>
                <w:rFonts w:hint="eastAsia" w:ascii="Times New Roman" w:hAnsi="Times New Roman"/>
                <w:color w:val="auto"/>
                <w:spacing w:val="0"/>
                <w:kern w:val="0"/>
                <w:sz w:val="21"/>
                <w:szCs w:val="21"/>
                <w:lang w:val="en-US" w:eastAsia="zh-CN"/>
              </w:rPr>
              <w:t>2</w:t>
            </w:r>
          </w:p>
        </w:tc>
        <w:tc>
          <w:tcPr>
            <w:tcW w:w="397" w:type="pct"/>
            <w:noWrap/>
            <w:vAlign w:val="center"/>
          </w:tcPr>
          <w:p w14:paraId="0E84AACF">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560" w:type="pct"/>
            <w:vAlign w:val="center"/>
          </w:tcPr>
          <w:p w14:paraId="3E42D569">
            <w:pPr>
              <w:widowControl/>
              <w:adjustRightInd/>
              <w:snapToGrid/>
              <w:spacing w:line="240" w:lineRule="auto"/>
              <w:ind w:firstLine="0" w:firstLineChars="0"/>
              <w:jc w:val="center"/>
              <w:textAlignment w:val="bottom"/>
              <w:rPr>
                <w:rFonts w:ascii="Times New Roman" w:hAnsi="Times New Roman"/>
                <w:color w:val="auto"/>
                <w:spacing w:val="0"/>
                <w:kern w:val="2"/>
                <w:sz w:val="21"/>
                <w:szCs w:val="21"/>
              </w:rPr>
            </w:pPr>
          </w:p>
        </w:tc>
        <w:tc>
          <w:tcPr>
            <w:tcW w:w="457" w:type="pct"/>
            <w:vAlign w:val="center"/>
          </w:tcPr>
          <w:p w14:paraId="42AFEDA6">
            <w:pPr>
              <w:widowControl/>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1D3DED68">
            <w:pPr>
              <w:widowControl/>
              <w:adjustRightInd/>
              <w:snapToGrid/>
              <w:spacing w:line="240" w:lineRule="auto"/>
              <w:ind w:firstLine="0" w:firstLineChars="0"/>
              <w:jc w:val="center"/>
              <w:rPr>
                <w:rFonts w:ascii="Times New Roman" w:hAnsi="Times New Roman"/>
                <w:color w:val="auto"/>
                <w:spacing w:val="0"/>
                <w:kern w:val="2"/>
                <w:sz w:val="21"/>
                <w:szCs w:val="21"/>
              </w:rPr>
            </w:pPr>
          </w:p>
        </w:tc>
      </w:tr>
      <w:tr w14:paraId="1DCA8D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24CB4626">
            <w:pPr>
              <w:adjustRightInd/>
              <w:snapToGrid/>
              <w:spacing w:line="240" w:lineRule="auto"/>
              <w:ind w:firstLine="0" w:firstLineChars="0"/>
              <w:jc w:val="center"/>
              <w:rPr>
                <w:rFonts w:ascii="Times New Roman" w:hAnsi="Times New Roman"/>
                <w:b/>
                <w:color w:val="auto"/>
                <w:spacing w:val="0"/>
                <w:kern w:val="2"/>
                <w:sz w:val="21"/>
                <w:szCs w:val="21"/>
              </w:rPr>
            </w:pPr>
            <w:r>
              <w:rPr>
                <w:rFonts w:hint="eastAsia" w:ascii="Times New Roman" w:hAnsi="Times New Roman"/>
                <w:b/>
                <w:color w:val="auto"/>
                <w:spacing w:val="0"/>
                <w:kern w:val="2"/>
                <w:sz w:val="21"/>
                <w:szCs w:val="21"/>
              </w:rPr>
              <w:t>五</w:t>
            </w:r>
          </w:p>
        </w:tc>
        <w:tc>
          <w:tcPr>
            <w:tcW w:w="1571" w:type="pct"/>
            <w:noWrap/>
            <w:vAlign w:val="center"/>
          </w:tcPr>
          <w:p w14:paraId="74ED4A69">
            <w:pPr>
              <w:adjustRightInd/>
              <w:snapToGrid/>
              <w:spacing w:line="240" w:lineRule="auto"/>
              <w:ind w:firstLine="0" w:firstLineChars="0"/>
              <w:jc w:val="center"/>
              <w:rPr>
                <w:rFonts w:ascii="Times New Roman" w:hAnsi="Times New Roman"/>
                <w:b/>
                <w:color w:val="auto"/>
                <w:spacing w:val="0"/>
                <w:kern w:val="2"/>
                <w:sz w:val="21"/>
                <w:szCs w:val="21"/>
              </w:rPr>
            </w:pPr>
            <w:r>
              <w:rPr>
                <w:rFonts w:hint="eastAsia" w:ascii="Times New Roman" w:hAnsi="Times New Roman"/>
                <w:b/>
                <w:color w:val="auto"/>
                <w:spacing w:val="0"/>
                <w:kern w:val="2"/>
                <w:sz w:val="21"/>
                <w:szCs w:val="21"/>
              </w:rPr>
              <w:t>矿办</w:t>
            </w:r>
          </w:p>
        </w:tc>
        <w:tc>
          <w:tcPr>
            <w:tcW w:w="494" w:type="pct"/>
            <w:noWrap/>
            <w:vAlign w:val="center"/>
          </w:tcPr>
          <w:p w14:paraId="6AB94190">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lang w:val="en-US" w:eastAsia="zh-CN"/>
              </w:rPr>
              <w:t>6</w:t>
            </w:r>
          </w:p>
        </w:tc>
        <w:tc>
          <w:tcPr>
            <w:tcW w:w="397" w:type="pct"/>
            <w:noWrap/>
            <w:vAlign w:val="center"/>
          </w:tcPr>
          <w:p w14:paraId="402B09BA">
            <w:pPr>
              <w:adjustRightInd/>
              <w:snapToGrid/>
              <w:spacing w:line="240" w:lineRule="auto"/>
              <w:ind w:firstLine="0" w:firstLineChars="0"/>
              <w:jc w:val="center"/>
              <w:rPr>
                <w:rFonts w:ascii="Times New Roman" w:hAnsi="Times New Roman"/>
                <w:b/>
                <w:color w:val="auto"/>
                <w:spacing w:val="0"/>
                <w:kern w:val="2"/>
                <w:sz w:val="21"/>
                <w:szCs w:val="21"/>
              </w:rPr>
            </w:pPr>
          </w:p>
        </w:tc>
        <w:tc>
          <w:tcPr>
            <w:tcW w:w="560" w:type="pct"/>
            <w:vAlign w:val="center"/>
          </w:tcPr>
          <w:p w14:paraId="20847511">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p>
        </w:tc>
        <w:tc>
          <w:tcPr>
            <w:tcW w:w="457" w:type="pct"/>
            <w:vAlign w:val="center"/>
          </w:tcPr>
          <w:p w14:paraId="1AD5B861">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lang w:val="en-US" w:eastAsia="zh-CN"/>
              </w:rPr>
              <w:t>6</w:t>
            </w:r>
          </w:p>
        </w:tc>
        <w:tc>
          <w:tcPr>
            <w:tcW w:w="1104" w:type="pct"/>
            <w:vAlign w:val="center"/>
          </w:tcPr>
          <w:p w14:paraId="0B3773E0">
            <w:pPr>
              <w:adjustRightInd/>
              <w:snapToGrid/>
              <w:spacing w:line="240" w:lineRule="auto"/>
              <w:ind w:firstLine="0" w:firstLineChars="0"/>
              <w:jc w:val="center"/>
              <w:rPr>
                <w:rFonts w:ascii="Times New Roman" w:hAnsi="Times New Roman"/>
                <w:b/>
                <w:color w:val="auto"/>
                <w:spacing w:val="0"/>
                <w:kern w:val="2"/>
                <w:sz w:val="21"/>
                <w:szCs w:val="21"/>
              </w:rPr>
            </w:pPr>
          </w:p>
        </w:tc>
      </w:tr>
      <w:tr w14:paraId="1C4988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70CC470C">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1</w:t>
            </w:r>
          </w:p>
        </w:tc>
        <w:tc>
          <w:tcPr>
            <w:tcW w:w="1571" w:type="pct"/>
            <w:noWrap/>
            <w:vAlign w:val="center"/>
          </w:tcPr>
          <w:p w14:paraId="0B136AE8">
            <w:pPr>
              <w:widowControl/>
              <w:adjustRightInd/>
              <w:snapToGrid/>
              <w:spacing w:line="240" w:lineRule="auto"/>
              <w:ind w:firstLine="0" w:firstLineChars="0"/>
              <w:jc w:val="center"/>
              <w:textAlignment w:val="bottom"/>
              <w:rPr>
                <w:rFonts w:ascii="Times New Roman" w:hAnsi="Times New Roman"/>
                <w:color w:val="auto"/>
                <w:spacing w:val="0"/>
                <w:kern w:val="0"/>
                <w:sz w:val="21"/>
                <w:szCs w:val="21"/>
              </w:rPr>
            </w:pPr>
            <w:r>
              <w:rPr>
                <w:rFonts w:hint="eastAsia" w:ascii="Times New Roman" w:hAnsi="Times New Roman"/>
                <w:color w:val="auto"/>
                <w:spacing w:val="0"/>
                <w:kern w:val="0"/>
                <w:sz w:val="21"/>
                <w:szCs w:val="21"/>
              </w:rPr>
              <w:t>矿长</w:t>
            </w:r>
          </w:p>
        </w:tc>
        <w:tc>
          <w:tcPr>
            <w:tcW w:w="494" w:type="pct"/>
            <w:noWrap/>
            <w:vAlign w:val="center"/>
          </w:tcPr>
          <w:p w14:paraId="245F38D8">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397" w:type="pct"/>
            <w:noWrap/>
            <w:vAlign w:val="center"/>
          </w:tcPr>
          <w:p w14:paraId="0F470058">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35661AC0">
            <w:pPr>
              <w:adjustRightInd/>
              <w:snapToGrid/>
              <w:spacing w:line="240" w:lineRule="auto"/>
              <w:ind w:firstLine="0" w:firstLineChars="0"/>
              <w:jc w:val="center"/>
              <w:rPr>
                <w:rFonts w:ascii="Times New Roman" w:hAnsi="Times New Roman"/>
                <w:color w:val="auto"/>
                <w:spacing w:val="0"/>
                <w:kern w:val="2"/>
                <w:sz w:val="21"/>
                <w:szCs w:val="21"/>
              </w:rPr>
            </w:pPr>
          </w:p>
        </w:tc>
        <w:tc>
          <w:tcPr>
            <w:tcW w:w="457" w:type="pct"/>
            <w:vAlign w:val="center"/>
          </w:tcPr>
          <w:p w14:paraId="50793CFB">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0D941DB6">
            <w:pPr>
              <w:adjustRightInd/>
              <w:snapToGrid/>
              <w:spacing w:line="240" w:lineRule="auto"/>
              <w:ind w:firstLine="0" w:firstLineChars="0"/>
              <w:jc w:val="center"/>
              <w:rPr>
                <w:rFonts w:ascii="Times New Roman" w:hAnsi="Times New Roman"/>
                <w:color w:val="auto"/>
                <w:spacing w:val="0"/>
                <w:kern w:val="2"/>
                <w:sz w:val="21"/>
                <w:szCs w:val="21"/>
              </w:rPr>
            </w:pPr>
          </w:p>
        </w:tc>
      </w:tr>
      <w:tr w14:paraId="2380651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6272A266">
            <w:pPr>
              <w:adjustRightInd/>
              <w:snapToGrid/>
              <w:spacing w:line="240" w:lineRule="auto"/>
              <w:ind w:firstLine="0" w:firstLineChars="0"/>
              <w:jc w:val="center"/>
              <w:rPr>
                <w:rFonts w:ascii="Times New Roman" w:hAnsi="Times New Roman"/>
                <w:color w:val="auto"/>
                <w:spacing w:val="0"/>
                <w:kern w:val="2"/>
                <w:sz w:val="21"/>
                <w:szCs w:val="21"/>
              </w:rPr>
            </w:pPr>
            <w:r>
              <w:rPr>
                <w:rFonts w:ascii="Times New Roman" w:hAnsi="Times New Roman"/>
                <w:color w:val="auto"/>
                <w:spacing w:val="0"/>
                <w:kern w:val="2"/>
                <w:sz w:val="21"/>
                <w:szCs w:val="21"/>
              </w:rPr>
              <w:t>2</w:t>
            </w:r>
          </w:p>
        </w:tc>
        <w:tc>
          <w:tcPr>
            <w:tcW w:w="1571" w:type="pct"/>
            <w:noWrap/>
            <w:vAlign w:val="center"/>
          </w:tcPr>
          <w:p w14:paraId="2AA626D3">
            <w:pPr>
              <w:widowControl/>
              <w:adjustRightInd/>
              <w:snapToGrid/>
              <w:spacing w:line="240" w:lineRule="auto"/>
              <w:ind w:firstLine="0" w:firstLineChars="0"/>
              <w:jc w:val="center"/>
              <w:textAlignment w:val="bottom"/>
              <w:rPr>
                <w:rFonts w:hint="default" w:ascii="Times New Roman" w:hAnsi="Times New Roman" w:eastAsia="宋体"/>
                <w:color w:val="auto"/>
                <w:spacing w:val="0"/>
                <w:kern w:val="0"/>
                <w:sz w:val="21"/>
                <w:szCs w:val="21"/>
                <w:lang w:val="en-US" w:eastAsia="zh-CN"/>
              </w:rPr>
            </w:pPr>
            <w:r>
              <w:rPr>
                <w:rFonts w:hint="eastAsia" w:ascii="Times New Roman" w:hAnsi="Times New Roman"/>
                <w:color w:val="auto"/>
                <w:spacing w:val="0"/>
                <w:kern w:val="0"/>
                <w:sz w:val="21"/>
                <w:szCs w:val="21"/>
                <w:lang w:val="en-US" w:eastAsia="zh-CN"/>
              </w:rPr>
              <w:t>生产</w:t>
            </w:r>
            <w:r>
              <w:rPr>
                <w:rFonts w:hint="eastAsia" w:ascii="Times New Roman" w:hAnsi="Times New Roman"/>
                <w:color w:val="auto"/>
                <w:spacing w:val="0"/>
                <w:kern w:val="0"/>
                <w:sz w:val="21"/>
                <w:szCs w:val="21"/>
              </w:rPr>
              <w:t>副矿长</w:t>
            </w:r>
            <w:r>
              <w:rPr>
                <w:rFonts w:hint="eastAsia" w:ascii="Times New Roman" w:hAnsi="Times New Roman"/>
                <w:color w:val="auto"/>
                <w:spacing w:val="0"/>
                <w:kern w:val="0"/>
                <w:sz w:val="21"/>
                <w:szCs w:val="21"/>
                <w:lang w:val="en-US" w:eastAsia="zh-CN"/>
              </w:rPr>
              <w:t>兼总工程师</w:t>
            </w:r>
          </w:p>
        </w:tc>
        <w:tc>
          <w:tcPr>
            <w:tcW w:w="494" w:type="pct"/>
            <w:noWrap/>
            <w:vAlign w:val="center"/>
          </w:tcPr>
          <w:p w14:paraId="1450B081">
            <w:pPr>
              <w:adjustRightInd/>
              <w:snapToGrid/>
              <w:spacing w:line="240" w:lineRule="auto"/>
              <w:ind w:firstLine="0" w:firstLineChars="0"/>
              <w:jc w:val="center"/>
              <w:rPr>
                <w:rFonts w:ascii="Times New Roman" w:hAnsi="Times New Roman"/>
                <w:color w:val="auto"/>
                <w:spacing w:val="0"/>
                <w:kern w:val="2"/>
                <w:sz w:val="21"/>
                <w:szCs w:val="21"/>
              </w:rPr>
            </w:pPr>
            <w:r>
              <w:rPr>
                <w:rFonts w:hint="eastAsia" w:ascii="Times New Roman" w:hAnsi="Times New Roman"/>
                <w:color w:val="auto"/>
                <w:spacing w:val="0"/>
                <w:kern w:val="2"/>
                <w:sz w:val="21"/>
                <w:szCs w:val="21"/>
              </w:rPr>
              <w:t>1</w:t>
            </w:r>
          </w:p>
        </w:tc>
        <w:tc>
          <w:tcPr>
            <w:tcW w:w="397" w:type="pct"/>
            <w:noWrap/>
            <w:vAlign w:val="center"/>
          </w:tcPr>
          <w:p w14:paraId="78D3E317">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3D022AEC">
            <w:pPr>
              <w:adjustRightInd/>
              <w:snapToGrid/>
              <w:spacing w:line="240" w:lineRule="auto"/>
              <w:ind w:firstLine="0" w:firstLineChars="0"/>
              <w:jc w:val="center"/>
              <w:rPr>
                <w:rFonts w:ascii="Times New Roman" w:hAnsi="Times New Roman"/>
                <w:color w:val="auto"/>
                <w:spacing w:val="0"/>
                <w:kern w:val="2"/>
                <w:sz w:val="21"/>
                <w:szCs w:val="21"/>
              </w:rPr>
            </w:pPr>
          </w:p>
        </w:tc>
        <w:tc>
          <w:tcPr>
            <w:tcW w:w="457" w:type="pct"/>
            <w:vAlign w:val="center"/>
          </w:tcPr>
          <w:p w14:paraId="6F25CD88">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3368A55A">
            <w:pPr>
              <w:adjustRightInd/>
              <w:snapToGrid/>
              <w:spacing w:line="240" w:lineRule="auto"/>
              <w:ind w:firstLine="0" w:firstLineChars="0"/>
              <w:jc w:val="center"/>
              <w:rPr>
                <w:rFonts w:ascii="Times New Roman" w:hAnsi="Times New Roman"/>
                <w:color w:val="auto"/>
                <w:spacing w:val="0"/>
                <w:kern w:val="2"/>
                <w:sz w:val="21"/>
                <w:szCs w:val="21"/>
              </w:rPr>
            </w:pPr>
          </w:p>
        </w:tc>
      </w:tr>
      <w:tr w14:paraId="068DD88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67B8664C">
            <w:pPr>
              <w:adjustRightInd/>
              <w:snapToGrid/>
              <w:spacing w:line="240" w:lineRule="auto"/>
              <w:ind w:firstLine="0" w:firstLineChars="0"/>
              <w:jc w:val="center"/>
              <w:rPr>
                <w:rFonts w:hint="eastAsia" w:ascii="Times New Roman" w:hAnsi="Times New Roman" w:eastAsia="宋体"/>
                <w:color w:val="auto"/>
                <w:spacing w:val="0"/>
                <w:kern w:val="2"/>
                <w:sz w:val="21"/>
                <w:szCs w:val="21"/>
                <w:lang w:val="en-US" w:eastAsia="zh-CN"/>
              </w:rPr>
            </w:pPr>
            <w:r>
              <w:rPr>
                <w:rFonts w:hint="eastAsia" w:ascii="Times New Roman" w:hAnsi="Times New Roman"/>
                <w:color w:val="auto"/>
                <w:spacing w:val="0"/>
                <w:kern w:val="2"/>
                <w:sz w:val="21"/>
                <w:szCs w:val="21"/>
                <w:lang w:val="en-US" w:eastAsia="zh-CN"/>
              </w:rPr>
              <w:t>3</w:t>
            </w:r>
          </w:p>
        </w:tc>
        <w:tc>
          <w:tcPr>
            <w:tcW w:w="1571" w:type="pct"/>
            <w:noWrap/>
            <w:vAlign w:val="center"/>
          </w:tcPr>
          <w:p w14:paraId="0606C7F1">
            <w:pPr>
              <w:widowControl/>
              <w:adjustRightInd/>
              <w:snapToGrid/>
              <w:spacing w:line="240" w:lineRule="auto"/>
              <w:ind w:firstLine="0" w:firstLineChars="0"/>
              <w:jc w:val="center"/>
              <w:textAlignment w:val="bottom"/>
              <w:rPr>
                <w:rFonts w:hint="default" w:ascii="Times New Roman" w:hAnsi="Times New Roman" w:eastAsia="宋体"/>
                <w:color w:val="auto"/>
                <w:spacing w:val="0"/>
                <w:kern w:val="0"/>
                <w:sz w:val="21"/>
                <w:szCs w:val="21"/>
                <w:lang w:val="en-US" w:eastAsia="zh-CN"/>
              </w:rPr>
            </w:pPr>
            <w:r>
              <w:rPr>
                <w:rFonts w:hint="eastAsia" w:ascii="Times New Roman" w:hAnsi="Times New Roman"/>
                <w:color w:val="auto"/>
                <w:spacing w:val="0"/>
                <w:kern w:val="0"/>
                <w:sz w:val="21"/>
                <w:szCs w:val="21"/>
                <w:lang w:val="en-US" w:eastAsia="zh-CN"/>
              </w:rPr>
              <w:t>安全副矿长、</w:t>
            </w:r>
            <w:r>
              <w:rPr>
                <w:rFonts w:hint="eastAsia" w:ascii="Times New Roman" w:hAnsi="Times New Roman"/>
                <w:color w:val="auto"/>
                <w:spacing w:val="0"/>
                <w:kern w:val="0"/>
                <w:sz w:val="21"/>
                <w:szCs w:val="21"/>
              </w:rPr>
              <w:t>专职安全员</w:t>
            </w:r>
          </w:p>
        </w:tc>
        <w:tc>
          <w:tcPr>
            <w:tcW w:w="494" w:type="pct"/>
            <w:noWrap/>
            <w:vAlign w:val="center"/>
          </w:tcPr>
          <w:p w14:paraId="34207D01">
            <w:pPr>
              <w:adjustRightInd/>
              <w:snapToGrid/>
              <w:spacing w:line="240" w:lineRule="auto"/>
              <w:ind w:firstLine="0" w:firstLineChars="0"/>
              <w:jc w:val="center"/>
              <w:rPr>
                <w:rFonts w:hint="eastAsia" w:ascii="Times New Roman" w:hAnsi="Times New Roman" w:eastAsia="宋体"/>
                <w:color w:val="auto"/>
                <w:spacing w:val="0"/>
                <w:kern w:val="2"/>
                <w:sz w:val="21"/>
                <w:szCs w:val="21"/>
                <w:lang w:val="en-US" w:eastAsia="zh-CN"/>
              </w:rPr>
            </w:pPr>
            <w:r>
              <w:rPr>
                <w:rFonts w:hint="eastAsia" w:ascii="Times New Roman" w:hAnsi="Times New Roman"/>
                <w:color w:val="auto"/>
                <w:spacing w:val="0"/>
                <w:kern w:val="2"/>
                <w:sz w:val="21"/>
                <w:szCs w:val="21"/>
                <w:lang w:val="en-US" w:eastAsia="zh-CN"/>
              </w:rPr>
              <w:t>2</w:t>
            </w:r>
          </w:p>
        </w:tc>
        <w:tc>
          <w:tcPr>
            <w:tcW w:w="397" w:type="pct"/>
            <w:noWrap/>
            <w:vAlign w:val="center"/>
          </w:tcPr>
          <w:p w14:paraId="0F228CA0">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1C8D0DAE">
            <w:pPr>
              <w:adjustRightInd/>
              <w:snapToGrid/>
              <w:spacing w:line="240" w:lineRule="auto"/>
              <w:ind w:firstLine="0" w:firstLineChars="0"/>
              <w:jc w:val="center"/>
              <w:rPr>
                <w:rFonts w:hint="eastAsia" w:ascii="Times New Roman" w:hAnsi="Times New Roman"/>
                <w:color w:val="auto"/>
                <w:spacing w:val="0"/>
                <w:kern w:val="2"/>
                <w:sz w:val="21"/>
                <w:szCs w:val="21"/>
              </w:rPr>
            </w:pPr>
          </w:p>
        </w:tc>
        <w:tc>
          <w:tcPr>
            <w:tcW w:w="457" w:type="pct"/>
            <w:vAlign w:val="center"/>
          </w:tcPr>
          <w:p w14:paraId="5DAA01CB">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25ECCA1E">
            <w:pPr>
              <w:adjustRightInd/>
              <w:snapToGrid/>
              <w:spacing w:line="240" w:lineRule="auto"/>
              <w:ind w:firstLine="0" w:firstLineChars="0"/>
              <w:jc w:val="center"/>
              <w:rPr>
                <w:rFonts w:hint="eastAsia" w:ascii="Times New Roman" w:hAnsi="Times New Roman"/>
                <w:color w:val="auto"/>
                <w:spacing w:val="0"/>
                <w:kern w:val="0"/>
                <w:sz w:val="21"/>
                <w:szCs w:val="21"/>
              </w:rPr>
            </w:pPr>
            <w:r>
              <w:rPr>
                <w:rFonts w:hint="eastAsia" w:ascii="Times New Roman" w:hAnsi="Times New Roman"/>
                <w:color w:val="auto"/>
                <w:spacing w:val="0"/>
                <w:kern w:val="0"/>
                <w:sz w:val="21"/>
                <w:szCs w:val="21"/>
              </w:rPr>
              <w:t>要求至少1名注册安全工程师</w:t>
            </w:r>
          </w:p>
        </w:tc>
      </w:tr>
      <w:tr w14:paraId="3F28F0F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79CECFE5">
            <w:pPr>
              <w:adjustRightInd/>
              <w:snapToGrid/>
              <w:spacing w:line="240" w:lineRule="auto"/>
              <w:ind w:firstLine="0" w:firstLineChars="0"/>
              <w:jc w:val="center"/>
              <w:rPr>
                <w:rFonts w:hint="eastAsia" w:ascii="Times New Roman" w:hAnsi="Times New Roman" w:eastAsia="宋体"/>
                <w:color w:val="auto"/>
                <w:spacing w:val="0"/>
                <w:kern w:val="2"/>
                <w:sz w:val="21"/>
                <w:szCs w:val="21"/>
                <w:lang w:eastAsia="zh-CN"/>
              </w:rPr>
            </w:pPr>
            <w:r>
              <w:rPr>
                <w:rFonts w:hint="eastAsia" w:ascii="Times New Roman" w:hAnsi="Times New Roman"/>
                <w:color w:val="auto"/>
                <w:spacing w:val="0"/>
                <w:kern w:val="2"/>
                <w:sz w:val="21"/>
                <w:szCs w:val="21"/>
                <w:lang w:val="en-US" w:eastAsia="zh-CN"/>
              </w:rPr>
              <w:t>4</w:t>
            </w:r>
          </w:p>
        </w:tc>
        <w:tc>
          <w:tcPr>
            <w:tcW w:w="1571" w:type="pct"/>
            <w:noWrap/>
            <w:vAlign w:val="center"/>
          </w:tcPr>
          <w:p w14:paraId="2E39E17F">
            <w:pPr>
              <w:widowControl/>
              <w:adjustRightInd/>
              <w:snapToGrid/>
              <w:spacing w:line="240" w:lineRule="auto"/>
              <w:ind w:firstLine="0" w:firstLineChars="0"/>
              <w:jc w:val="center"/>
              <w:textAlignment w:val="bottom"/>
              <w:rPr>
                <w:rFonts w:hint="default" w:ascii="Times New Roman" w:hAnsi="Times New Roman" w:eastAsia="宋体"/>
                <w:color w:val="auto"/>
                <w:spacing w:val="0"/>
                <w:kern w:val="0"/>
                <w:sz w:val="21"/>
                <w:szCs w:val="21"/>
                <w:lang w:val="en-US" w:eastAsia="zh-CN"/>
              </w:rPr>
            </w:pPr>
            <w:r>
              <w:rPr>
                <w:rFonts w:hint="eastAsia" w:ascii="Times New Roman" w:hAnsi="Times New Roman"/>
                <w:color w:val="auto"/>
                <w:spacing w:val="0"/>
                <w:kern w:val="0"/>
                <w:sz w:val="21"/>
                <w:szCs w:val="21"/>
                <w:lang w:val="en-US" w:eastAsia="zh-CN"/>
              </w:rPr>
              <w:t>财务人员、文</w:t>
            </w:r>
            <w:r>
              <w:rPr>
                <w:rFonts w:hint="eastAsia" w:ascii="Times New Roman" w:hAnsi="Times New Roman"/>
                <w:color w:val="auto"/>
                <w:spacing w:val="0"/>
                <w:kern w:val="0"/>
                <w:sz w:val="21"/>
                <w:szCs w:val="21"/>
              </w:rPr>
              <w:t>员</w:t>
            </w:r>
            <w:r>
              <w:rPr>
                <w:rFonts w:hint="eastAsia" w:ascii="Times New Roman" w:hAnsi="Times New Roman"/>
                <w:color w:val="auto"/>
                <w:spacing w:val="0"/>
                <w:kern w:val="0"/>
                <w:sz w:val="21"/>
                <w:szCs w:val="21"/>
                <w:lang w:eastAsia="zh-CN"/>
              </w:rPr>
              <w:t>、</w:t>
            </w:r>
            <w:r>
              <w:rPr>
                <w:rFonts w:hint="eastAsia" w:ascii="Times New Roman" w:hAnsi="Times New Roman"/>
                <w:color w:val="auto"/>
                <w:spacing w:val="0"/>
                <w:kern w:val="0"/>
                <w:sz w:val="21"/>
                <w:szCs w:val="21"/>
                <w:lang w:val="en-US" w:eastAsia="zh-CN"/>
              </w:rPr>
              <w:t>驾驶员</w:t>
            </w:r>
          </w:p>
        </w:tc>
        <w:tc>
          <w:tcPr>
            <w:tcW w:w="494" w:type="pct"/>
            <w:noWrap/>
            <w:vAlign w:val="center"/>
          </w:tcPr>
          <w:p w14:paraId="6C4C263C">
            <w:pPr>
              <w:adjustRightInd/>
              <w:snapToGrid/>
              <w:spacing w:line="240" w:lineRule="auto"/>
              <w:ind w:firstLine="0" w:firstLineChars="0"/>
              <w:jc w:val="center"/>
              <w:rPr>
                <w:rFonts w:hint="eastAsia" w:ascii="Times New Roman" w:hAnsi="Times New Roman" w:eastAsia="宋体"/>
                <w:color w:val="auto"/>
                <w:spacing w:val="0"/>
                <w:kern w:val="2"/>
                <w:sz w:val="21"/>
                <w:szCs w:val="21"/>
                <w:lang w:eastAsia="zh-CN"/>
              </w:rPr>
            </w:pPr>
            <w:r>
              <w:rPr>
                <w:rFonts w:hint="eastAsia" w:ascii="Times New Roman" w:hAnsi="Times New Roman"/>
                <w:color w:val="auto"/>
                <w:spacing w:val="0"/>
                <w:kern w:val="2"/>
                <w:sz w:val="21"/>
                <w:szCs w:val="21"/>
                <w:lang w:val="en-US" w:eastAsia="zh-CN"/>
              </w:rPr>
              <w:t>2</w:t>
            </w:r>
          </w:p>
        </w:tc>
        <w:tc>
          <w:tcPr>
            <w:tcW w:w="397" w:type="pct"/>
            <w:noWrap/>
            <w:vAlign w:val="center"/>
          </w:tcPr>
          <w:p w14:paraId="18F46CD2">
            <w:pPr>
              <w:adjustRightInd/>
              <w:snapToGrid/>
              <w:spacing w:line="240" w:lineRule="auto"/>
              <w:ind w:firstLine="0" w:firstLineChars="0"/>
              <w:jc w:val="center"/>
              <w:rPr>
                <w:rFonts w:ascii="Times New Roman" w:hAnsi="Times New Roman"/>
                <w:color w:val="auto"/>
                <w:spacing w:val="0"/>
                <w:kern w:val="2"/>
                <w:sz w:val="21"/>
                <w:szCs w:val="21"/>
              </w:rPr>
            </w:pPr>
          </w:p>
        </w:tc>
        <w:tc>
          <w:tcPr>
            <w:tcW w:w="560" w:type="pct"/>
            <w:vAlign w:val="center"/>
          </w:tcPr>
          <w:p w14:paraId="3A479273">
            <w:pPr>
              <w:adjustRightInd/>
              <w:snapToGrid/>
              <w:spacing w:line="240" w:lineRule="auto"/>
              <w:ind w:firstLine="0" w:firstLineChars="0"/>
              <w:jc w:val="center"/>
              <w:rPr>
                <w:rFonts w:ascii="Times New Roman" w:hAnsi="Times New Roman"/>
                <w:color w:val="auto"/>
                <w:spacing w:val="0"/>
                <w:kern w:val="2"/>
                <w:sz w:val="21"/>
                <w:szCs w:val="21"/>
              </w:rPr>
            </w:pPr>
          </w:p>
        </w:tc>
        <w:tc>
          <w:tcPr>
            <w:tcW w:w="457" w:type="pct"/>
            <w:vAlign w:val="center"/>
          </w:tcPr>
          <w:p w14:paraId="126F045A">
            <w:pPr>
              <w:adjustRightInd/>
              <w:snapToGrid/>
              <w:spacing w:line="240" w:lineRule="auto"/>
              <w:ind w:firstLine="0" w:firstLineChars="0"/>
              <w:jc w:val="center"/>
              <w:rPr>
                <w:rFonts w:ascii="Times New Roman" w:hAnsi="Times New Roman"/>
                <w:color w:val="auto"/>
                <w:spacing w:val="0"/>
                <w:kern w:val="2"/>
                <w:sz w:val="21"/>
                <w:szCs w:val="21"/>
              </w:rPr>
            </w:pPr>
          </w:p>
        </w:tc>
        <w:tc>
          <w:tcPr>
            <w:tcW w:w="1104" w:type="pct"/>
            <w:vAlign w:val="center"/>
          </w:tcPr>
          <w:p w14:paraId="5F2E1C6E">
            <w:pPr>
              <w:adjustRightInd/>
              <w:snapToGrid/>
              <w:spacing w:line="240" w:lineRule="auto"/>
              <w:ind w:firstLine="0" w:firstLineChars="0"/>
              <w:jc w:val="center"/>
              <w:rPr>
                <w:rFonts w:ascii="Times New Roman" w:hAnsi="Times New Roman"/>
                <w:color w:val="auto"/>
                <w:spacing w:val="-4"/>
                <w:kern w:val="2"/>
                <w:sz w:val="21"/>
                <w:szCs w:val="21"/>
              </w:rPr>
            </w:pPr>
          </w:p>
        </w:tc>
      </w:tr>
      <w:tr w14:paraId="246D234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6" w:type="dxa"/>
            <w:left w:w="108" w:type="dxa"/>
            <w:bottom w:w="6" w:type="dxa"/>
            <w:right w:w="108" w:type="dxa"/>
          </w:tblCellMar>
        </w:tblPrEx>
        <w:trPr>
          <w:trHeight w:val="397" w:hRule="exact"/>
        </w:trPr>
        <w:tc>
          <w:tcPr>
            <w:tcW w:w="414" w:type="pct"/>
            <w:noWrap/>
            <w:vAlign w:val="center"/>
          </w:tcPr>
          <w:p w14:paraId="7F4E731A">
            <w:pPr>
              <w:adjustRightInd/>
              <w:snapToGrid/>
              <w:spacing w:line="240" w:lineRule="auto"/>
              <w:ind w:firstLine="0" w:firstLineChars="0"/>
              <w:jc w:val="center"/>
              <w:rPr>
                <w:rFonts w:ascii="Times New Roman" w:hAnsi="Times New Roman"/>
                <w:color w:val="auto"/>
                <w:spacing w:val="0"/>
                <w:kern w:val="2"/>
                <w:sz w:val="21"/>
                <w:szCs w:val="21"/>
              </w:rPr>
            </w:pPr>
          </w:p>
        </w:tc>
        <w:tc>
          <w:tcPr>
            <w:tcW w:w="1571" w:type="pct"/>
            <w:noWrap/>
            <w:vAlign w:val="center"/>
          </w:tcPr>
          <w:p w14:paraId="61BF6988">
            <w:pPr>
              <w:adjustRightInd/>
              <w:snapToGrid/>
              <w:spacing w:line="240" w:lineRule="auto"/>
              <w:ind w:firstLine="0" w:firstLineChars="0"/>
              <w:jc w:val="center"/>
              <w:rPr>
                <w:rFonts w:ascii="Times New Roman" w:hAnsi="Times New Roman"/>
                <w:b/>
                <w:color w:val="auto"/>
                <w:spacing w:val="0"/>
                <w:kern w:val="2"/>
                <w:sz w:val="21"/>
                <w:szCs w:val="21"/>
              </w:rPr>
            </w:pPr>
            <w:r>
              <w:rPr>
                <w:rFonts w:ascii="Times New Roman" w:hAnsi="Times New Roman"/>
                <w:b/>
                <w:color w:val="auto"/>
                <w:spacing w:val="0"/>
                <w:kern w:val="2"/>
                <w:sz w:val="21"/>
                <w:szCs w:val="21"/>
              </w:rPr>
              <w:t>合计</w:t>
            </w:r>
          </w:p>
        </w:tc>
        <w:tc>
          <w:tcPr>
            <w:tcW w:w="494" w:type="pct"/>
            <w:noWrap/>
            <w:vAlign w:val="center"/>
          </w:tcPr>
          <w:p w14:paraId="56DAB195">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rPr>
              <w:t>2</w:t>
            </w:r>
            <w:r>
              <w:rPr>
                <w:rFonts w:hint="eastAsia" w:ascii="Times New Roman" w:hAnsi="Times New Roman"/>
                <w:b/>
                <w:color w:val="auto"/>
                <w:spacing w:val="0"/>
                <w:kern w:val="2"/>
                <w:sz w:val="21"/>
                <w:szCs w:val="21"/>
                <w:lang w:val="en-US" w:eastAsia="zh-CN"/>
              </w:rPr>
              <w:t>8</w:t>
            </w:r>
          </w:p>
        </w:tc>
        <w:tc>
          <w:tcPr>
            <w:tcW w:w="397" w:type="pct"/>
            <w:noWrap/>
            <w:vAlign w:val="center"/>
          </w:tcPr>
          <w:p w14:paraId="49D914A5">
            <w:pPr>
              <w:adjustRightInd/>
              <w:snapToGrid/>
              <w:spacing w:line="240" w:lineRule="auto"/>
              <w:ind w:firstLine="0" w:firstLineChars="0"/>
              <w:jc w:val="center"/>
              <w:rPr>
                <w:rFonts w:ascii="Times New Roman" w:hAnsi="Times New Roman"/>
                <w:b/>
                <w:color w:val="auto"/>
                <w:spacing w:val="0"/>
                <w:kern w:val="2"/>
                <w:sz w:val="21"/>
                <w:szCs w:val="21"/>
              </w:rPr>
            </w:pPr>
          </w:p>
        </w:tc>
        <w:tc>
          <w:tcPr>
            <w:tcW w:w="560" w:type="pct"/>
            <w:vAlign w:val="center"/>
          </w:tcPr>
          <w:p w14:paraId="5144AF12">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lang w:val="en-US" w:eastAsia="zh-CN"/>
              </w:rPr>
              <w:t>4</w:t>
            </w:r>
          </w:p>
        </w:tc>
        <w:tc>
          <w:tcPr>
            <w:tcW w:w="457" w:type="pct"/>
            <w:vAlign w:val="center"/>
          </w:tcPr>
          <w:p w14:paraId="74DF70B3">
            <w:pPr>
              <w:adjustRightInd/>
              <w:snapToGrid/>
              <w:spacing w:line="240" w:lineRule="auto"/>
              <w:ind w:firstLine="0" w:firstLineChars="0"/>
              <w:jc w:val="center"/>
              <w:rPr>
                <w:rFonts w:hint="eastAsia" w:ascii="Times New Roman" w:hAnsi="Times New Roman" w:eastAsia="宋体"/>
                <w:b/>
                <w:color w:val="auto"/>
                <w:spacing w:val="0"/>
                <w:kern w:val="2"/>
                <w:sz w:val="21"/>
                <w:szCs w:val="21"/>
                <w:lang w:eastAsia="zh-CN"/>
              </w:rPr>
            </w:pPr>
            <w:r>
              <w:rPr>
                <w:rFonts w:hint="eastAsia" w:ascii="Times New Roman" w:hAnsi="Times New Roman"/>
                <w:b/>
                <w:color w:val="auto"/>
                <w:spacing w:val="0"/>
                <w:kern w:val="2"/>
                <w:sz w:val="21"/>
                <w:szCs w:val="21"/>
              </w:rPr>
              <w:t>3</w:t>
            </w:r>
            <w:r>
              <w:rPr>
                <w:rFonts w:hint="eastAsia" w:ascii="Times New Roman" w:hAnsi="Times New Roman"/>
                <w:b/>
                <w:color w:val="auto"/>
                <w:spacing w:val="0"/>
                <w:kern w:val="2"/>
                <w:sz w:val="21"/>
                <w:szCs w:val="21"/>
                <w:lang w:val="en-US" w:eastAsia="zh-CN"/>
              </w:rPr>
              <w:t>2</w:t>
            </w:r>
          </w:p>
        </w:tc>
        <w:tc>
          <w:tcPr>
            <w:tcW w:w="1104" w:type="pct"/>
            <w:vAlign w:val="center"/>
          </w:tcPr>
          <w:p w14:paraId="5D1346A5">
            <w:pPr>
              <w:adjustRightInd/>
              <w:snapToGrid/>
              <w:spacing w:line="240" w:lineRule="auto"/>
              <w:ind w:firstLine="0" w:firstLineChars="0"/>
              <w:jc w:val="center"/>
              <w:rPr>
                <w:rFonts w:ascii="Times New Roman" w:hAnsi="Times New Roman"/>
                <w:b/>
                <w:color w:val="auto"/>
                <w:spacing w:val="0"/>
                <w:kern w:val="2"/>
                <w:sz w:val="21"/>
                <w:szCs w:val="21"/>
              </w:rPr>
            </w:pPr>
          </w:p>
        </w:tc>
      </w:tr>
      <w:bookmarkEnd w:id="234"/>
    </w:tbl>
    <w:p w14:paraId="2849E5A7">
      <w:pPr>
        <w:pStyle w:val="47"/>
        <w:bidi w:val="0"/>
        <w:rPr>
          <w:lang w:val="zh-TW" w:eastAsia="zh-TW"/>
        </w:rPr>
      </w:pPr>
    </w:p>
    <w:p w14:paraId="4739E0E2">
      <w:pPr>
        <w:bidi w:val="0"/>
        <w:rPr>
          <w:lang w:val="zh-TW" w:eastAsia="zh-TW"/>
        </w:rPr>
      </w:pPr>
      <w:r>
        <w:rPr>
          <w:rFonts w:hint="eastAsia"/>
          <w:lang w:val="en-US" w:eastAsia="zh-CN"/>
        </w:rPr>
        <w:t>4、结论：矿山根据生产需要配置岗位人员，设置了“五职矿长”和“五科人员”，但“五职矿长”和“五科人员”的学历及专业职称不满足要求。在2026年底过渡期结束前，应</w:t>
      </w:r>
      <w:r>
        <w:rPr>
          <w:rFonts w:hint="eastAsia"/>
        </w:rPr>
        <w:t>至少</w:t>
      </w:r>
      <w:r>
        <w:rPr>
          <w:rFonts w:hint="eastAsia"/>
          <w:lang w:val="en-US" w:eastAsia="zh-CN"/>
        </w:rPr>
        <w:t>配备</w:t>
      </w:r>
      <w:r>
        <w:rPr>
          <w:rFonts w:hint="eastAsia"/>
        </w:rPr>
        <w:t>1名注册安全工程师</w:t>
      </w:r>
      <w:r>
        <w:rPr>
          <w:rFonts w:hint="eastAsia"/>
          <w:lang w:val="en-US" w:eastAsia="zh-CN"/>
        </w:rPr>
        <w:t>服务</w:t>
      </w:r>
      <w:r>
        <w:rPr>
          <w:rFonts w:hint="eastAsia"/>
          <w:lang w:eastAsia="zh-CN"/>
        </w:rPr>
        <w:t>。</w:t>
      </w:r>
    </w:p>
    <w:p w14:paraId="44F5AE27">
      <w:pPr>
        <w:pStyle w:val="5"/>
        <w:bidi w:val="0"/>
        <w:rPr>
          <w:lang w:val="en-US" w:eastAsia="en-US"/>
        </w:rPr>
      </w:pPr>
      <w:bookmarkStart w:id="235" w:name="_Toc10266"/>
      <w:r>
        <w:rPr>
          <w:lang w:val="en-US" w:eastAsia="en-US"/>
        </w:rPr>
        <w:fldChar w:fldCharType="begin"/>
      </w:r>
      <w:r>
        <w:rPr>
          <w:lang w:val="en-US" w:eastAsia="en-US"/>
        </w:rPr>
        <w:instrText xml:space="preserve"> HYPERLINK "2.4.12.3" </w:instrText>
      </w:r>
      <w:r>
        <w:rPr>
          <w:lang w:val="en-US" w:eastAsia="en-US"/>
        </w:rPr>
        <w:fldChar w:fldCharType="separate"/>
      </w:r>
      <w:r>
        <w:rPr>
          <w:lang w:val="en-US" w:eastAsia="en-US"/>
        </w:rPr>
        <w:t>2.4.12.</w:t>
      </w:r>
      <w:r>
        <w:rPr>
          <w:rFonts w:hint="eastAsia"/>
          <w:lang w:val="en-US" w:eastAsia="zh-CN"/>
        </w:rPr>
        <w:t>5</w:t>
      </w:r>
      <w:r>
        <w:rPr>
          <w:lang w:val="en-US" w:eastAsia="en-US"/>
        </w:rPr>
        <w:fldChar w:fldCharType="end"/>
      </w:r>
      <w:r>
        <w:rPr>
          <w:lang w:val="en-US" w:eastAsia="en-US"/>
        </w:rPr>
        <w:t>安全管理规章制度</w:t>
      </w:r>
      <w:bookmarkEnd w:id="235"/>
    </w:p>
    <w:p w14:paraId="0E0F26C3">
      <w:pPr>
        <w:bidi w:val="0"/>
        <w:rPr>
          <w:lang w:val="en-US" w:eastAsia="en-US"/>
        </w:rPr>
      </w:pPr>
      <w:r>
        <w:rPr>
          <w:lang w:val="en-US" w:eastAsia="en-US"/>
        </w:rPr>
        <w:t>根据《中华人民共和国安全生产法》，矿山建立如下安全生产管理规章制度。</w:t>
      </w:r>
    </w:p>
    <w:p w14:paraId="79CF7BBF">
      <w:pPr>
        <w:bidi w:val="0"/>
        <w:rPr>
          <w:lang w:val="en-US" w:eastAsia="en-US"/>
        </w:rPr>
      </w:pPr>
      <w:r>
        <w:rPr>
          <w:rFonts w:hint="eastAsia"/>
          <w:lang w:val="en-US" w:eastAsia="zh-CN"/>
        </w:rPr>
        <w:t>1、</w:t>
      </w:r>
      <w:r>
        <w:rPr>
          <w:lang w:val="en-US" w:eastAsia="en-US"/>
        </w:rPr>
        <w:t>安全管理规章制度</w:t>
      </w:r>
    </w:p>
    <w:p w14:paraId="3ADF3F6F">
      <w:pPr>
        <w:bidi w:val="0"/>
        <w:rPr>
          <w:color w:val="auto"/>
          <w:lang w:val="en-US" w:eastAsia="en-US"/>
        </w:rPr>
      </w:pPr>
      <w:r>
        <w:rPr>
          <w:rFonts w:hint="eastAsia"/>
          <w:color w:val="auto"/>
          <w:lang w:val="en-US" w:eastAsia="zh-CN"/>
        </w:rPr>
        <w:t>（1）</w:t>
      </w:r>
      <w:r>
        <w:rPr>
          <w:color w:val="auto"/>
          <w:lang w:val="en-US" w:eastAsia="en-US"/>
        </w:rPr>
        <w:t>安全生产责任制</w:t>
      </w:r>
    </w:p>
    <w:p w14:paraId="5F1ECC6A">
      <w:pPr>
        <w:pStyle w:val="47"/>
        <w:bidi w:val="0"/>
        <w:rPr>
          <w:color w:val="auto"/>
          <w:lang w:val="en-US" w:eastAsia="en-US"/>
        </w:rPr>
      </w:pPr>
      <w:r>
        <w:rPr>
          <w:color w:val="auto"/>
          <w:lang w:val="en-US" w:eastAsia="en-US"/>
        </w:rPr>
        <w:t>表2</w:t>
      </w:r>
      <w:r>
        <w:rPr>
          <w:rFonts w:hint="eastAsia"/>
          <w:color w:val="auto"/>
          <w:lang w:val="en-US" w:eastAsia="zh-CN"/>
        </w:rPr>
        <w:t>.4</w:t>
      </w:r>
      <w:r>
        <w:rPr>
          <w:color w:val="auto"/>
          <w:lang w:val="en-US" w:eastAsia="en-US"/>
        </w:rPr>
        <w:t>-</w:t>
      </w:r>
      <w:r>
        <w:rPr>
          <w:rFonts w:hint="eastAsia"/>
          <w:color w:val="auto"/>
          <w:lang w:val="en-US" w:eastAsia="zh-CN"/>
        </w:rPr>
        <w:t>13</w:t>
      </w:r>
      <w:r>
        <w:rPr>
          <w:color w:val="auto"/>
          <w:lang w:val="en-US" w:eastAsia="en-US"/>
        </w:rPr>
        <w:t>安全生产责任制</w:t>
      </w:r>
    </w:p>
    <w:tbl>
      <w:tblPr>
        <w:tblStyle w:val="78"/>
        <w:tblpPr w:leftFromText="180" w:rightFromText="180" w:vertAnchor="text" w:horzAnchor="page" w:tblpX="1436" w:tblpY="32"/>
        <w:tblOverlap w:val="never"/>
        <w:tblW w:w="9127"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1106"/>
        <w:gridCol w:w="3260"/>
        <w:gridCol w:w="990"/>
        <w:gridCol w:w="3771"/>
      </w:tblGrid>
      <w:tr w14:paraId="51258E5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7454EA63">
            <w:pPr>
              <w:pStyle w:val="54"/>
              <w:bidi w:val="0"/>
              <w:rPr>
                <w:color w:val="auto"/>
                <w:lang w:eastAsia="en-US"/>
              </w:rPr>
            </w:pPr>
            <w:r>
              <w:rPr>
                <w:color w:val="auto"/>
                <w:lang w:eastAsia="en-US"/>
              </w:rPr>
              <w:t>序号</w:t>
            </w:r>
          </w:p>
        </w:tc>
        <w:tc>
          <w:tcPr>
            <w:tcW w:w="3260" w:type="dxa"/>
            <w:noWrap w:val="0"/>
            <w:vAlign w:val="center"/>
          </w:tcPr>
          <w:p w14:paraId="5E0C6320">
            <w:pPr>
              <w:pStyle w:val="54"/>
              <w:bidi w:val="0"/>
              <w:rPr>
                <w:color w:val="auto"/>
                <w:lang w:eastAsia="en-US"/>
              </w:rPr>
            </w:pPr>
            <w:r>
              <w:rPr>
                <w:color w:val="auto"/>
                <w:lang w:eastAsia="en-US"/>
              </w:rPr>
              <w:t>管理职责</w:t>
            </w:r>
          </w:p>
        </w:tc>
        <w:tc>
          <w:tcPr>
            <w:tcW w:w="990" w:type="dxa"/>
            <w:noWrap w:val="0"/>
            <w:vAlign w:val="center"/>
          </w:tcPr>
          <w:p w14:paraId="0BEAE1A4">
            <w:pPr>
              <w:pStyle w:val="54"/>
              <w:bidi w:val="0"/>
              <w:rPr>
                <w:color w:val="auto"/>
                <w:lang w:eastAsia="en-US"/>
              </w:rPr>
            </w:pPr>
            <w:r>
              <w:rPr>
                <w:color w:val="auto"/>
                <w:lang w:eastAsia="en-US"/>
              </w:rPr>
              <w:t>序号</w:t>
            </w:r>
          </w:p>
        </w:tc>
        <w:tc>
          <w:tcPr>
            <w:tcW w:w="3771" w:type="dxa"/>
            <w:noWrap w:val="0"/>
            <w:vAlign w:val="center"/>
          </w:tcPr>
          <w:p w14:paraId="5562F3E6">
            <w:pPr>
              <w:pStyle w:val="54"/>
              <w:bidi w:val="0"/>
              <w:rPr>
                <w:color w:val="auto"/>
                <w:lang w:eastAsia="en-US"/>
              </w:rPr>
            </w:pPr>
            <w:r>
              <w:rPr>
                <w:color w:val="auto"/>
                <w:lang w:eastAsia="en-US"/>
              </w:rPr>
              <w:t>管理职责</w:t>
            </w:r>
          </w:p>
        </w:tc>
      </w:tr>
      <w:tr w14:paraId="61B7250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6B5D180F">
            <w:pPr>
              <w:pStyle w:val="54"/>
              <w:bidi w:val="0"/>
              <w:rPr>
                <w:color w:val="auto"/>
                <w:lang w:eastAsia="en-US"/>
              </w:rPr>
            </w:pPr>
            <w:r>
              <w:rPr>
                <w:color w:val="auto"/>
                <w:lang w:eastAsia="en-US"/>
              </w:rPr>
              <w:t>1</w:t>
            </w:r>
          </w:p>
        </w:tc>
        <w:tc>
          <w:tcPr>
            <w:tcW w:w="3260" w:type="dxa"/>
            <w:noWrap w:val="0"/>
            <w:vAlign w:val="center"/>
          </w:tcPr>
          <w:p w14:paraId="60F89B7F">
            <w:pPr>
              <w:pStyle w:val="54"/>
              <w:bidi w:val="0"/>
              <w:rPr>
                <w:color w:val="auto"/>
                <w:lang w:eastAsia="en-US"/>
              </w:rPr>
            </w:pPr>
            <w:r>
              <w:rPr>
                <w:color w:val="auto"/>
                <w:lang w:eastAsia="en-US"/>
              </w:rPr>
              <w:t>主要负责人</w:t>
            </w:r>
            <w:r>
              <w:rPr>
                <w:rFonts w:hint="eastAsia"/>
                <w:lang w:val="zh-CN" w:eastAsia="zh-CN"/>
              </w:rPr>
              <w:t>安全生产责任制</w:t>
            </w:r>
          </w:p>
        </w:tc>
        <w:tc>
          <w:tcPr>
            <w:tcW w:w="990" w:type="dxa"/>
            <w:noWrap w:val="0"/>
            <w:vAlign w:val="center"/>
          </w:tcPr>
          <w:p w14:paraId="04A7B76F">
            <w:pPr>
              <w:pStyle w:val="54"/>
              <w:bidi w:val="0"/>
              <w:rPr>
                <w:color w:val="auto"/>
                <w:lang w:eastAsia="en-US"/>
              </w:rPr>
            </w:pPr>
            <w:r>
              <w:rPr>
                <w:color w:val="auto"/>
                <w:lang w:eastAsia="en-US"/>
              </w:rPr>
              <w:t>2</w:t>
            </w:r>
          </w:p>
        </w:tc>
        <w:tc>
          <w:tcPr>
            <w:tcW w:w="3771" w:type="dxa"/>
            <w:noWrap w:val="0"/>
            <w:vAlign w:val="center"/>
          </w:tcPr>
          <w:p w14:paraId="10E65193">
            <w:pPr>
              <w:pStyle w:val="54"/>
              <w:bidi w:val="0"/>
              <w:rPr>
                <w:color w:val="auto"/>
                <w:lang w:eastAsia="en-US"/>
              </w:rPr>
            </w:pPr>
            <w:r>
              <w:rPr>
                <w:color w:val="auto"/>
                <w:lang w:eastAsia="en-US"/>
              </w:rPr>
              <w:t>安全生产管理人员安全</w:t>
            </w:r>
            <w:r>
              <w:rPr>
                <w:rFonts w:hint="eastAsia"/>
                <w:color w:val="auto"/>
                <w:lang w:val="en-US" w:eastAsia="zh-CN"/>
              </w:rPr>
              <w:t>生产责任制</w:t>
            </w:r>
          </w:p>
        </w:tc>
      </w:tr>
      <w:tr w14:paraId="55A6672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2EE65D5D">
            <w:pPr>
              <w:pStyle w:val="54"/>
              <w:bidi w:val="0"/>
              <w:rPr>
                <w:color w:val="auto"/>
                <w:lang w:eastAsia="en-US"/>
              </w:rPr>
            </w:pPr>
            <w:r>
              <w:rPr>
                <w:color w:val="auto"/>
                <w:lang w:eastAsia="en-US"/>
              </w:rPr>
              <w:t>3</w:t>
            </w:r>
          </w:p>
        </w:tc>
        <w:tc>
          <w:tcPr>
            <w:tcW w:w="3260" w:type="dxa"/>
            <w:noWrap w:val="0"/>
            <w:vAlign w:val="center"/>
          </w:tcPr>
          <w:p w14:paraId="7B925CC4">
            <w:pPr>
              <w:pStyle w:val="54"/>
              <w:bidi w:val="0"/>
              <w:rPr>
                <w:color w:val="auto"/>
                <w:lang w:eastAsia="en-US"/>
              </w:rPr>
            </w:pPr>
            <w:r>
              <w:rPr>
                <w:rFonts w:hint="eastAsia"/>
                <w:lang w:val="en-US" w:eastAsia="zh-CN"/>
              </w:rPr>
              <w:t>空压机操作人员安全生产责任制</w:t>
            </w:r>
          </w:p>
        </w:tc>
        <w:tc>
          <w:tcPr>
            <w:tcW w:w="990" w:type="dxa"/>
            <w:noWrap w:val="0"/>
            <w:vAlign w:val="center"/>
          </w:tcPr>
          <w:p w14:paraId="2113C5D0">
            <w:pPr>
              <w:pStyle w:val="54"/>
              <w:bidi w:val="0"/>
              <w:rPr>
                <w:color w:val="auto"/>
                <w:lang w:eastAsia="en-US"/>
              </w:rPr>
            </w:pPr>
            <w:r>
              <w:rPr>
                <w:color w:val="auto"/>
                <w:lang w:eastAsia="en-US"/>
              </w:rPr>
              <w:t>4</w:t>
            </w:r>
          </w:p>
        </w:tc>
        <w:tc>
          <w:tcPr>
            <w:tcW w:w="3771" w:type="dxa"/>
            <w:noWrap w:val="0"/>
            <w:vAlign w:val="center"/>
          </w:tcPr>
          <w:p w14:paraId="593F7F77">
            <w:pPr>
              <w:pStyle w:val="54"/>
              <w:bidi w:val="0"/>
              <w:rPr>
                <w:color w:val="auto"/>
                <w:lang w:eastAsia="en-US"/>
              </w:rPr>
            </w:pPr>
            <w:r>
              <w:rPr>
                <w:color w:val="auto"/>
                <w:lang w:eastAsia="en-US"/>
              </w:rPr>
              <w:t>装载机驾驶人员安全职责</w:t>
            </w:r>
          </w:p>
        </w:tc>
      </w:tr>
      <w:tr w14:paraId="16E97AE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2F14D35B">
            <w:pPr>
              <w:pStyle w:val="54"/>
              <w:bidi w:val="0"/>
              <w:rPr>
                <w:color w:val="auto"/>
                <w:lang w:eastAsia="en-US"/>
              </w:rPr>
            </w:pPr>
            <w:r>
              <w:rPr>
                <w:color w:val="auto"/>
                <w:lang w:eastAsia="en-US"/>
              </w:rPr>
              <w:t>5</w:t>
            </w:r>
          </w:p>
        </w:tc>
        <w:tc>
          <w:tcPr>
            <w:tcW w:w="3260" w:type="dxa"/>
            <w:noWrap w:val="0"/>
            <w:vAlign w:val="center"/>
          </w:tcPr>
          <w:p w14:paraId="69A92D68">
            <w:pPr>
              <w:pStyle w:val="54"/>
              <w:bidi w:val="0"/>
              <w:rPr>
                <w:color w:val="auto"/>
                <w:lang w:eastAsia="en-US"/>
              </w:rPr>
            </w:pPr>
            <w:r>
              <w:rPr>
                <w:color w:val="auto"/>
                <w:lang w:eastAsia="en-US"/>
              </w:rPr>
              <w:t>挖掘机驾驶人员安全职责</w:t>
            </w:r>
          </w:p>
        </w:tc>
        <w:tc>
          <w:tcPr>
            <w:tcW w:w="990" w:type="dxa"/>
            <w:noWrap w:val="0"/>
            <w:vAlign w:val="center"/>
          </w:tcPr>
          <w:p w14:paraId="5D1BB06F">
            <w:pPr>
              <w:pStyle w:val="54"/>
              <w:bidi w:val="0"/>
              <w:rPr>
                <w:color w:val="auto"/>
                <w:lang w:eastAsia="en-US"/>
              </w:rPr>
            </w:pPr>
            <w:r>
              <w:rPr>
                <w:color w:val="auto"/>
                <w:lang w:eastAsia="en-US"/>
              </w:rPr>
              <w:t>6</w:t>
            </w:r>
          </w:p>
        </w:tc>
        <w:tc>
          <w:tcPr>
            <w:tcW w:w="3771" w:type="dxa"/>
            <w:noWrap w:val="0"/>
            <w:vAlign w:val="center"/>
          </w:tcPr>
          <w:p w14:paraId="771B5089">
            <w:pPr>
              <w:pStyle w:val="54"/>
              <w:bidi w:val="0"/>
              <w:rPr>
                <w:color w:val="auto"/>
                <w:lang w:eastAsia="en-US"/>
              </w:rPr>
            </w:pPr>
            <w:r>
              <w:rPr>
                <w:rFonts w:hint="eastAsia"/>
                <w:lang w:val="en-US" w:eastAsia="zh-CN"/>
              </w:rPr>
              <w:t>自卸卡车</w:t>
            </w:r>
            <w:r>
              <w:rPr>
                <w:rFonts w:hint="eastAsia"/>
                <w:lang w:val="zh-CN" w:eastAsia="zh-CN"/>
              </w:rPr>
              <w:t>驾驶员安全生产责任制</w:t>
            </w:r>
          </w:p>
        </w:tc>
      </w:tr>
      <w:tr w14:paraId="7DCD2BD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2CA4B75E">
            <w:pPr>
              <w:pStyle w:val="54"/>
              <w:bidi w:val="0"/>
              <w:rPr>
                <w:color w:val="auto"/>
                <w:lang w:eastAsia="en-US"/>
              </w:rPr>
            </w:pPr>
            <w:r>
              <w:rPr>
                <w:color w:val="auto"/>
                <w:lang w:eastAsia="en-US"/>
              </w:rPr>
              <w:t>7</w:t>
            </w:r>
          </w:p>
        </w:tc>
        <w:tc>
          <w:tcPr>
            <w:tcW w:w="3260" w:type="dxa"/>
            <w:noWrap w:val="0"/>
            <w:vAlign w:val="center"/>
          </w:tcPr>
          <w:p w14:paraId="6999755C">
            <w:pPr>
              <w:pStyle w:val="54"/>
              <w:bidi w:val="0"/>
              <w:rPr>
                <w:color w:val="auto"/>
                <w:lang w:eastAsia="en-US"/>
              </w:rPr>
            </w:pPr>
            <w:r>
              <w:rPr>
                <w:rFonts w:hint="eastAsia"/>
                <w:color w:val="auto"/>
                <w:lang w:val="en-US" w:eastAsia="zh-CN"/>
              </w:rPr>
              <w:t>自卸</w:t>
            </w:r>
            <w:r>
              <w:rPr>
                <w:color w:val="auto"/>
                <w:lang w:eastAsia="en-US"/>
              </w:rPr>
              <w:t>汽车驾驶人员安全职责</w:t>
            </w:r>
          </w:p>
        </w:tc>
        <w:tc>
          <w:tcPr>
            <w:tcW w:w="990" w:type="dxa"/>
            <w:noWrap w:val="0"/>
            <w:vAlign w:val="center"/>
          </w:tcPr>
          <w:p w14:paraId="2ED2D6E4">
            <w:pPr>
              <w:pStyle w:val="54"/>
              <w:bidi w:val="0"/>
              <w:rPr>
                <w:color w:val="auto"/>
                <w:lang w:eastAsia="en-US"/>
              </w:rPr>
            </w:pPr>
            <w:r>
              <w:rPr>
                <w:color w:val="auto"/>
                <w:lang w:eastAsia="en-US"/>
              </w:rPr>
              <w:t>8</w:t>
            </w:r>
          </w:p>
        </w:tc>
        <w:tc>
          <w:tcPr>
            <w:tcW w:w="3771" w:type="dxa"/>
            <w:noWrap w:val="0"/>
            <w:vAlign w:val="center"/>
          </w:tcPr>
          <w:p w14:paraId="457FB9A8">
            <w:pPr>
              <w:pStyle w:val="54"/>
              <w:bidi w:val="0"/>
              <w:rPr>
                <w:color w:val="auto"/>
                <w:lang w:eastAsia="en-US"/>
              </w:rPr>
            </w:pPr>
            <w:r>
              <w:rPr>
                <w:color w:val="auto"/>
                <w:lang w:eastAsia="en-US"/>
              </w:rPr>
              <w:t>破碎系统操作人员安全职责</w:t>
            </w:r>
          </w:p>
        </w:tc>
      </w:tr>
      <w:tr w14:paraId="7BF8F40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35FB838D">
            <w:pPr>
              <w:pStyle w:val="54"/>
              <w:bidi w:val="0"/>
              <w:rPr>
                <w:color w:val="auto"/>
                <w:lang w:eastAsia="en-US"/>
              </w:rPr>
            </w:pPr>
            <w:r>
              <w:rPr>
                <w:color w:val="auto"/>
                <w:lang w:eastAsia="en-US"/>
              </w:rPr>
              <w:t>9</w:t>
            </w:r>
          </w:p>
        </w:tc>
        <w:tc>
          <w:tcPr>
            <w:tcW w:w="3260" w:type="dxa"/>
            <w:noWrap w:val="0"/>
            <w:vAlign w:val="center"/>
          </w:tcPr>
          <w:p w14:paraId="37ED0E79">
            <w:pPr>
              <w:pStyle w:val="54"/>
              <w:bidi w:val="0"/>
              <w:rPr>
                <w:color w:val="auto"/>
                <w:lang w:eastAsia="en-US"/>
              </w:rPr>
            </w:pPr>
            <w:r>
              <w:rPr>
                <w:rFonts w:hint="eastAsia"/>
                <w:lang w:val="en-US" w:eastAsia="zh-CN"/>
              </w:rPr>
              <w:t>电工安全生产责任制</w:t>
            </w:r>
          </w:p>
        </w:tc>
        <w:tc>
          <w:tcPr>
            <w:tcW w:w="990" w:type="dxa"/>
            <w:noWrap w:val="0"/>
            <w:vAlign w:val="center"/>
          </w:tcPr>
          <w:p w14:paraId="4726C711">
            <w:pPr>
              <w:pStyle w:val="54"/>
              <w:bidi w:val="0"/>
              <w:rPr>
                <w:color w:val="auto"/>
                <w:lang w:eastAsia="en-US"/>
              </w:rPr>
            </w:pPr>
            <w:r>
              <w:rPr>
                <w:color w:val="auto"/>
                <w:lang w:eastAsia="en-US"/>
              </w:rPr>
              <w:t>10</w:t>
            </w:r>
          </w:p>
        </w:tc>
        <w:tc>
          <w:tcPr>
            <w:tcW w:w="3771" w:type="dxa"/>
            <w:noWrap w:val="0"/>
            <w:vAlign w:val="center"/>
          </w:tcPr>
          <w:p w14:paraId="3A2024C5">
            <w:pPr>
              <w:pStyle w:val="54"/>
              <w:bidi w:val="0"/>
              <w:rPr>
                <w:color w:val="auto"/>
                <w:lang w:eastAsia="en-US"/>
              </w:rPr>
            </w:pPr>
            <w:r>
              <w:rPr>
                <w:color w:val="auto"/>
                <w:lang w:eastAsia="en-US"/>
              </w:rPr>
              <w:t>焊工安全职责</w:t>
            </w:r>
          </w:p>
        </w:tc>
      </w:tr>
      <w:tr w14:paraId="6437D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5CC5CAC7">
            <w:pPr>
              <w:pStyle w:val="54"/>
              <w:bidi w:val="0"/>
              <w:rPr>
                <w:color w:val="auto"/>
                <w:lang w:eastAsia="en-US"/>
              </w:rPr>
            </w:pPr>
            <w:r>
              <w:rPr>
                <w:color w:val="auto"/>
                <w:lang w:eastAsia="en-US"/>
              </w:rPr>
              <w:t>11</w:t>
            </w:r>
          </w:p>
        </w:tc>
        <w:tc>
          <w:tcPr>
            <w:tcW w:w="3260" w:type="dxa"/>
            <w:noWrap w:val="0"/>
            <w:vAlign w:val="center"/>
          </w:tcPr>
          <w:p w14:paraId="7DA8B4D4">
            <w:pPr>
              <w:pStyle w:val="54"/>
              <w:bidi w:val="0"/>
              <w:rPr>
                <w:color w:val="auto"/>
                <w:lang w:eastAsia="en-US"/>
              </w:rPr>
            </w:pPr>
            <w:r>
              <w:rPr>
                <w:rFonts w:hint="eastAsia"/>
                <w:lang w:val="en-US" w:eastAsia="zh-CN"/>
              </w:rPr>
              <w:t>爆破技术人员</w:t>
            </w:r>
            <w:r>
              <w:rPr>
                <w:rFonts w:hint="eastAsia"/>
                <w:lang w:val="zh-CN" w:eastAsia="zh-CN"/>
              </w:rPr>
              <w:t>安全生产责任制</w:t>
            </w:r>
          </w:p>
        </w:tc>
        <w:tc>
          <w:tcPr>
            <w:tcW w:w="990" w:type="dxa"/>
            <w:noWrap w:val="0"/>
            <w:vAlign w:val="center"/>
          </w:tcPr>
          <w:p w14:paraId="225A1F69">
            <w:pPr>
              <w:pStyle w:val="54"/>
              <w:bidi w:val="0"/>
              <w:rPr>
                <w:color w:val="auto"/>
                <w:lang w:eastAsia="en-US"/>
              </w:rPr>
            </w:pPr>
            <w:r>
              <w:rPr>
                <w:color w:val="auto"/>
                <w:lang w:eastAsia="en-US"/>
              </w:rPr>
              <w:t>12</w:t>
            </w:r>
          </w:p>
        </w:tc>
        <w:tc>
          <w:tcPr>
            <w:tcW w:w="3771" w:type="dxa"/>
            <w:noWrap w:val="0"/>
            <w:vAlign w:val="center"/>
          </w:tcPr>
          <w:p w14:paraId="104C7DF6">
            <w:pPr>
              <w:pStyle w:val="54"/>
              <w:bidi w:val="0"/>
              <w:rPr>
                <w:color w:val="auto"/>
                <w:lang w:eastAsia="en-US"/>
              </w:rPr>
            </w:pPr>
            <w:r>
              <w:rPr>
                <w:rFonts w:hint="eastAsia"/>
                <w:lang w:val="en-US" w:eastAsia="zh-CN"/>
              </w:rPr>
              <w:t>钻机工安全生产职责</w:t>
            </w:r>
          </w:p>
        </w:tc>
      </w:tr>
      <w:tr w14:paraId="22EEF9F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5A5E87E2">
            <w:pPr>
              <w:pStyle w:val="54"/>
              <w:bidi w:val="0"/>
              <w:rPr>
                <w:color w:val="auto"/>
                <w:lang w:eastAsia="en-US"/>
              </w:rPr>
            </w:pPr>
            <w:r>
              <w:rPr>
                <w:color w:val="auto"/>
                <w:lang w:eastAsia="en-US"/>
              </w:rPr>
              <w:t>13</w:t>
            </w:r>
          </w:p>
        </w:tc>
        <w:tc>
          <w:tcPr>
            <w:tcW w:w="3260" w:type="dxa"/>
            <w:noWrap w:val="0"/>
            <w:vAlign w:val="center"/>
          </w:tcPr>
          <w:p w14:paraId="0EC9634D">
            <w:pPr>
              <w:pStyle w:val="54"/>
              <w:bidi w:val="0"/>
              <w:rPr>
                <w:color w:val="auto"/>
                <w:lang w:eastAsia="en-US"/>
              </w:rPr>
            </w:pPr>
            <w:r>
              <w:rPr>
                <w:rFonts w:hint="eastAsia"/>
                <w:lang w:val="en-US" w:eastAsia="zh-CN"/>
              </w:rPr>
              <w:t>财务人员</w:t>
            </w:r>
            <w:r>
              <w:rPr>
                <w:rFonts w:hint="eastAsia"/>
                <w:lang w:val="zh-CN" w:eastAsia="zh-CN"/>
              </w:rPr>
              <w:t>安全生产责任制</w:t>
            </w:r>
          </w:p>
        </w:tc>
        <w:tc>
          <w:tcPr>
            <w:tcW w:w="990" w:type="dxa"/>
            <w:noWrap w:val="0"/>
            <w:vAlign w:val="center"/>
          </w:tcPr>
          <w:p w14:paraId="5E8EAD2B">
            <w:pPr>
              <w:pStyle w:val="54"/>
              <w:bidi w:val="0"/>
              <w:rPr>
                <w:color w:val="auto"/>
                <w:lang w:eastAsia="en-US"/>
              </w:rPr>
            </w:pPr>
            <w:r>
              <w:rPr>
                <w:color w:val="auto"/>
                <w:lang w:eastAsia="en-US"/>
              </w:rPr>
              <w:t>14</w:t>
            </w:r>
          </w:p>
        </w:tc>
        <w:tc>
          <w:tcPr>
            <w:tcW w:w="3771" w:type="dxa"/>
            <w:noWrap w:val="0"/>
            <w:vAlign w:val="center"/>
          </w:tcPr>
          <w:p w14:paraId="7A803876">
            <w:pPr>
              <w:pStyle w:val="54"/>
              <w:bidi w:val="0"/>
              <w:rPr>
                <w:color w:val="auto"/>
                <w:lang w:eastAsia="en-US"/>
              </w:rPr>
            </w:pPr>
            <w:r>
              <w:rPr>
                <w:color w:val="auto"/>
                <w:lang w:eastAsia="en-US"/>
              </w:rPr>
              <w:t>机修人员安全职责</w:t>
            </w:r>
          </w:p>
        </w:tc>
      </w:tr>
      <w:tr w14:paraId="185089D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1106" w:type="dxa"/>
            <w:noWrap w:val="0"/>
            <w:vAlign w:val="center"/>
          </w:tcPr>
          <w:p w14:paraId="66AF17A8">
            <w:pPr>
              <w:pStyle w:val="54"/>
              <w:bidi w:val="0"/>
              <w:rPr>
                <w:color w:val="auto"/>
                <w:lang w:eastAsia="en-US"/>
              </w:rPr>
            </w:pPr>
            <w:r>
              <w:rPr>
                <w:color w:val="auto"/>
                <w:lang w:eastAsia="en-US"/>
              </w:rPr>
              <w:t>15</w:t>
            </w:r>
          </w:p>
        </w:tc>
        <w:tc>
          <w:tcPr>
            <w:tcW w:w="3260" w:type="dxa"/>
            <w:noWrap w:val="0"/>
            <w:vAlign w:val="center"/>
          </w:tcPr>
          <w:p w14:paraId="5079C661">
            <w:pPr>
              <w:pStyle w:val="54"/>
              <w:bidi w:val="0"/>
              <w:rPr>
                <w:color w:val="auto"/>
                <w:lang w:eastAsia="en-US"/>
              </w:rPr>
            </w:pPr>
            <w:r>
              <w:rPr>
                <w:rFonts w:hint="eastAsia"/>
                <w:lang w:val="en-US" w:eastAsia="zh-CN"/>
              </w:rPr>
              <w:t>采矿测量地质技术人员</w:t>
            </w:r>
            <w:r>
              <w:rPr>
                <w:rFonts w:hint="eastAsia"/>
                <w:lang w:val="zh-CN" w:eastAsia="zh-CN"/>
              </w:rPr>
              <w:t>安全生产责任制</w:t>
            </w:r>
          </w:p>
        </w:tc>
        <w:tc>
          <w:tcPr>
            <w:tcW w:w="990" w:type="dxa"/>
            <w:noWrap w:val="0"/>
            <w:vAlign w:val="center"/>
          </w:tcPr>
          <w:p w14:paraId="5EA35EE9">
            <w:pPr>
              <w:pStyle w:val="54"/>
              <w:bidi w:val="0"/>
              <w:rPr>
                <w:color w:val="auto"/>
                <w:lang w:eastAsia="en-US"/>
              </w:rPr>
            </w:pPr>
            <w:r>
              <w:rPr>
                <w:color w:val="auto"/>
                <w:lang w:eastAsia="en-US"/>
              </w:rPr>
              <w:t>16</w:t>
            </w:r>
          </w:p>
        </w:tc>
        <w:tc>
          <w:tcPr>
            <w:tcW w:w="3771" w:type="dxa"/>
            <w:noWrap w:val="0"/>
            <w:vAlign w:val="center"/>
          </w:tcPr>
          <w:p w14:paraId="445F38DC">
            <w:pPr>
              <w:pStyle w:val="54"/>
              <w:bidi w:val="0"/>
              <w:rPr>
                <w:color w:val="auto"/>
                <w:lang w:eastAsia="en-US"/>
              </w:rPr>
            </w:pPr>
          </w:p>
        </w:tc>
      </w:tr>
    </w:tbl>
    <w:p w14:paraId="6B250CF0">
      <w:pPr>
        <w:pStyle w:val="47"/>
        <w:bidi w:val="0"/>
        <w:rPr>
          <w:color w:val="auto"/>
          <w:lang w:val="en-US" w:eastAsia="en-US"/>
        </w:rPr>
      </w:pPr>
    </w:p>
    <w:p w14:paraId="01FF936A">
      <w:pPr>
        <w:widowControl/>
        <w:kinsoku w:val="0"/>
        <w:autoSpaceDE w:val="0"/>
        <w:autoSpaceDN w:val="0"/>
        <w:spacing w:line="31" w:lineRule="exact"/>
        <w:ind w:firstLine="0" w:firstLineChars="0"/>
        <w:jc w:val="left"/>
        <w:textAlignment w:val="baseline"/>
        <w:rPr>
          <w:rFonts w:ascii="Arial" w:hAnsi="Arial" w:eastAsia="Arial" w:cs="Arial"/>
          <w:snapToGrid w:val="0"/>
          <w:color w:val="auto"/>
          <w:spacing w:val="0"/>
          <w:kern w:val="0"/>
          <w:sz w:val="21"/>
          <w:szCs w:val="21"/>
          <w:lang w:eastAsia="en-US"/>
        </w:rPr>
      </w:pPr>
    </w:p>
    <w:p w14:paraId="6617041A">
      <w:pPr>
        <w:bidi w:val="0"/>
        <w:rPr>
          <w:lang w:val="en-US" w:eastAsia="en-US"/>
        </w:rPr>
      </w:pPr>
      <w:r>
        <w:rPr>
          <w:lang w:val="en-US" w:eastAsia="en-US"/>
        </w:rPr>
        <w:t>矿山各工种员工已和企业签订了相应的安全生产责任制，已组织员工学习相应的安全生产责任制管理制度，现场检查过程中，工人遵守相应的安全生产制度，不违章作业，管理人员未出现违章指挥，企业安全生产责任制的运行情况满足安全生产要求。</w:t>
      </w:r>
    </w:p>
    <w:p w14:paraId="58E79C10">
      <w:pPr>
        <w:bidi w:val="0"/>
        <w:rPr>
          <w:lang w:val="en-US" w:eastAsia="en-US"/>
        </w:rPr>
      </w:pPr>
      <w:r>
        <w:rPr>
          <w:rFonts w:hint="eastAsia"/>
          <w:lang w:val="en-US" w:eastAsia="zh-CN"/>
        </w:rPr>
        <w:t>（2）</w:t>
      </w:r>
      <w:r>
        <w:rPr>
          <w:lang w:val="en-US" w:eastAsia="en-US"/>
        </w:rPr>
        <w:t>安全</w:t>
      </w:r>
      <w:r>
        <w:rPr>
          <w:rFonts w:hint="eastAsia"/>
          <w:lang w:val="en-US" w:eastAsia="zh-CN"/>
        </w:rPr>
        <w:t>生产</w:t>
      </w:r>
      <w:r>
        <w:rPr>
          <w:lang w:val="en-US" w:eastAsia="en-US"/>
        </w:rPr>
        <w:t>管理制度</w:t>
      </w:r>
    </w:p>
    <w:p w14:paraId="77089848">
      <w:pPr>
        <w:bidi w:val="0"/>
        <w:rPr>
          <w:lang w:val="en-US" w:eastAsia="en-US"/>
        </w:rPr>
      </w:pPr>
      <w:r>
        <w:rPr>
          <w:lang w:val="en-US" w:eastAsia="en-US"/>
        </w:rPr>
        <w:t>矿山已按照实际情况建立了相应的安全管理制度，生产过程中已严格按照各项管理制度运行，为员工提供了相应的劳保物品，生产的奖惩有相应的记录台账，矿山安全管理制度的运行情况满足安全生产要求。</w:t>
      </w:r>
    </w:p>
    <w:p w14:paraId="144DC384">
      <w:pPr>
        <w:pStyle w:val="47"/>
        <w:bidi w:val="0"/>
        <w:rPr>
          <w:color w:val="auto"/>
          <w:lang w:val="en-US" w:eastAsia="en-US"/>
        </w:rPr>
      </w:pPr>
      <w:r>
        <w:rPr>
          <w:color w:val="auto"/>
          <w:lang w:val="en-US" w:eastAsia="en-US"/>
        </w:rPr>
        <w:t>表2</w:t>
      </w:r>
      <w:r>
        <w:rPr>
          <w:rFonts w:hint="eastAsia"/>
          <w:color w:val="auto"/>
          <w:lang w:val="en-US" w:eastAsia="zh-CN"/>
        </w:rPr>
        <w:t>.4</w:t>
      </w:r>
      <w:r>
        <w:rPr>
          <w:color w:val="auto"/>
          <w:lang w:val="en-US" w:eastAsia="en-US"/>
        </w:rPr>
        <w:t>-</w:t>
      </w:r>
      <w:r>
        <w:rPr>
          <w:rFonts w:hint="eastAsia"/>
          <w:color w:val="auto"/>
          <w:lang w:val="en-US" w:eastAsia="zh-CN"/>
        </w:rPr>
        <w:t>9</w:t>
      </w:r>
      <w:r>
        <w:rPr>
          <w:color w:val="auto"/>
          <w:lang w:val="en-US" w:eastAsia="en-US"/>
        </w:rPr>
        <w:t>安全管理制度</w:t>
      </w:r>
    </w:p>
    <w:p w14:paraId="67CD409D">
      <w:pPr>
        <w:widowControl/>
        <w:kinsoku w:val="0"/>
        <w:autoSpaceDE w:val="0"/>
        <w:autoSpaceDN w:val="0"/>
        <w:spacing w:line="127" w:lineRule="exact"/>
        <w:ind w:firstLine="0" w:firstLineChars="0"/>
        <w:jc w:val="left"/>
        <w:textAlignment w:val="baseline"/>
        <w:rPr>
          <w:rFonts w:ascii="Arial" w:hAnsi="Arial" w:eastAsia="Arial" w:cs="Arial"/>
          <w:snapToGrid w:val="0"/>
          <w:color w:val="000000"/>
          <w:spacing w:val="0"/>
          <w:kern w:val="0"/>
          <w:sz w:val="21"/>
          <w:szCs w:val="21"/>
          <w:lang w:eastAsia="en-US"/>
        </w:rPr>
      </w:pPr>
    </w:p>
    <w:tbl>
      <w:tblPr>
        <w:tblStyle w:val="78"/>
        <w:tblW w:w="9405"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3828"/>
        <w:gridCol w:w="849"/>
        <w:gridCol w:w="4049"/>
      </w:tblGrid>
      <w:tr w14:paraId="2B4F68A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top"/>
          </w:tcPr>
          <w:p w14:paraId="5DA11EAA">
            <w:pPr>
              <w:widowControl/>
              <w:kinsoku w:val="0"/>
              <w:autoSpaceDE w:val="0"/>
              <w:autoSpaceDN w:val="0"/>
              <w:spacing w:before="125" w:line="222" w:lineRule="auto"/>
              <w:ind w:left="131"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序号</w:t>
            </w:r>
          </w:p>
        </w:tc>
        <w:tc>
          <w:tcPr>
            <w:tcW w:w="3828" w:type="dxa"/>
            <w:noWrap w:val="0"/>
            <w:vAlign w:val="top"/>
          </w:tcPr>
          <w:p w14:paraId="773CA471">
            <w:pPr>
              <w:widowControl/>
              <w:kinsoku w:val="0"/>
              <w:autoSpaceDE w:val="0"/>
              <w:autoSpaceDN w:val="0"/>
              <w:spacing w:before="125" w:line="221" w:lineRule="auto"/>
              <w:ind w:left="1708"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制度</w:t>
            </w:r>
          </w:p>
        </w:tc>
        <w:tc>
          <w:tcPr>
            <w:tcW w:w="849" w:type="dxa"/>
            <w:noWrap w:val="0"/>
            <w:vAlign w:val="top"/>
          </w:tcPr>
          <w:p w14:paraId="2F5047FD">
            <w:pPr>
              <w:widowControl/>
              <w:kinsoku w:val="0"/>
              <w:autoSpaceDE w:val="0"/>
              <w:autoSpaceDN w:val="0"/>
              <w:spacing w:before="125" w:line="222" w:lineRule="auto"/>
              <w:ind w:left="218"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序号</w:t>
            </w:r>
          </w:p>
        </w:tc>
        <w:tc>
          <w:tcPr>
            <w:tcW w:w="4049" w:type="dxa"/>
            <w:noWrap w:val="0"/>
            <w:vAlign w:val="top"/>
          </w:tcPr>
          <w:p w14:paraId="413B99AB">
            <w:pPr>
              <w:widowControl/>
              <w:kinsoku w:val="0"/>
              <w:autoSpaceDE w:val="0"/>
              <w:autoSpaceDN w:val="0"/>
              <w:spacing w:before="125" w:line="221" w:lineRule="auto"/>
              <w:ind w:left="1819"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制度</w:t>
            </w:r>
          </w:p>
        </w:tc>
      </w:tr>
      <w:tr w14:paraId="3BA0055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73586506">
            <w:pPr>
              <w:widowControl/>
              <w:kinsoku w:val="0"/>
              <w:autoSpaceDE w:val="0"/>
              <w:autoSpaceDN w:val="0"/>
              <w:spacing w:before="121" w:line="242" w:lineRule="auto"/>
              <w:ind w:left="306"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0"/>
                <w:kern w:val="0"/>
                <w:sz w:val="21"/>
                <w:szCs w:val="21"/>
                <w:lang w:eastAsia="en-US"/>
              </w:rPr>
              <w:t>1</w:t>
            </w:r>
          </w:p>
        </w:tc>
        <w:tc>
          <w:tcPr>
            <w:tcW w:w="3828" w:type="dxa"/>
            <w:noWrap w:val="0"/>
            <w:vAlign w:val="center"/>
          </w:tcPr>
          <w:p w14:paraId="4D4621A0">
            <w:pPr>
              <w:pStyle w:val="54"/>
              <w:bidi w:val="0"/>
              <w:rPr>
                <w:rFonts w:hint="eastAsia"/>
                <w:lang w:val="en-US" w:eastAsia="en-US"/>
              </w:rPr>
            </w:pPr>
            <w:r>
              <w:rPr>
                <w:rFonts w:hint="eastAsia"/>
                <w:lang w:val="en-US" w:eastAsia="en-US"/>
              </w:rPr>
              <w:t>安全生产方针与目标管理制度</w:t>
            </w:r>
          </w:p>
        </w:tc>
        <w:tc>
          <w:tcPr>
            <w:tcW w:w="849" w:type="dxa"/>
            <w:noWrap w:val="0"/>
            <w:vAlign w:val="center"/>
          </w:tcPr>
          <w:p w14:paraId="3E2DB747">
            <w:pPr>
              <w:pStyle w:val="54"/>
              <w:bidi w:val="0"/>
              <w:rPr>
                <w:rFonts w:hint="eastAsia"/>
                <w:lang w:val="en-US" w:eastAsia="en-US"/>
              </w:rPr>
            </w:pPr>
            <w:r>
              <w:rPr>
                <w:rFonts w:hint="eastAsia"/>
                <w:lang w:val="en-US" w:eastAsia="en-US"/>
              </w:rPr>
              <w:t>2</w:t>
            </w:r>
          </w:p>
        </w:tc>
        <w:tc>
          <w:tcPr>
            <w:tcW w:w="4049" w:type="dxa"/>
            <w:noWrap w:val="0"/>
            <w:vAlign w:val="center"/>
          </w:tcPr>
          <w:p w14:paraId="5E48F6AD">
            <w:pPr>
              <w:pStyle w:val="54"/>
              <w:bidi w:val="0"/>
              <w:rPr>
                <w:rFonts w:hint="eastAsia"/>
                <w:lang w:val="en-US" w:eastAsia="en-US"/>
              </w:rPr>
            </w:pPr>
            <w:r>
              <w:rPr>
                <w:rFonts w:hint="eastAsia"/>
                <w:lang w:val="en-US" w:eastAsia="en-US"/>
              </w:rPr>
              <w:t>安全生产责任制管理制度</w:t>
            </w:r>
          </w:p>
        </w:tc>
      </w:tr>
      <w:tr w14:paraId="3ED1572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0DF142AE">
            <w:pPr>
              <w:widowControl/>
              <w:kinsoku w:val="0"/>
              <w:autoSpaceDE w:val="0"/>
              <w:autoSpaceDN w:val="0"/>
              <w:spacing w:before="123" w:line="241" w:lineRule="auto"/>
              <w:ind w:left="295"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0"/>
                <w:kern w:val="0"/>
                <w:sz w:val="21"/>
                <w:szCs w:val="21"/>
                <w:lang w:eastAsia="en-US"/>
              </w:rPr>
              <w:t>3</w:t>
            </w:r>
          </w:p>
        </w:tc>
        <w:tc>
          <w:tcPr>
            <w:tcW w:w="3828" w:type="dxa"/>
            <w:noWrap w:val="0"/>
            <w:vAlign w:val="center"/>
          </w:tcPr>
          <w:p w14:paraId="5A17DFF3">
            <w:pPr>
              <w:pStyle w:val="54"/>
              <w:bidi w:val="0"/>
              <w:rPr>
                <w:rFonts w:hint="eastAsia"/>
                <w:lang w:val="en-US" w:eastAsia="en-US"/>
              </w:rPr>
            </w:pPr>
            <w:r>
              <w:rPr>
                <w:rFonts w:hint="eastAsia"/>
                <w:lang w:val="en-US" w:eastAsia="zh-CN"/>
              </w:rPr>
              <w:t>安全生产会议管理制度</w:t>
            </w:r>
          </w:p>
        </w:tc>
        <w:tc>
          <w:tcPr>
            <w:tcW w:w="849" w:type="dxa"/>
            <w:noWrap w:val="0"/>
            <w:vAlign w:val="center"/>
          </w:tcPr>
          <w:p w14:paraId="1F617594">
            <w:pPr>
              <w:pStyle w:val="54"/>
              <w:bidi w:val="0"/>
              <w:rPr>
                <w:rFonts w:hint="eastAsia"/>
                <w:lang w:val="en-US" w:eastAsia="en-US"/>
              </w:rPr>
            </w:pPr>
            <w:r>
              <w:rPr>
                <w:rFonts w:hint="eastAsia"/>
                <w:lang w:val="en-US" w:eastAsia="en-US"/>
              </w:rPr>
              <w:t>4</w:t>
            </w:r>
          </w:p>
        </w:tc>
        <w:tc>
          <w:tcPr>
            <w:tcW w:w="4049" w:type="dxa"/>
            <w:noWrap w:val="0"/>
            <w:vAlign w:val="center"/>
          </w:tcPr>
          <w:p w14:paraId="78FC1275">
            <w:pPr>
              <w:pStyle w:val="54"/>
              <w:bidi w:val="0"/>
              <w:rPr>
                <w:rFonts w:hint="eastAsia"/>
                <w:lang w:val="en-US" w:eastAsia="en-US"/>
              </w:rPr>
            </w:pPr>
            <w:r>
              <w:rPr>
                <w:rFonts w:hint="eastAsia"/>
                <w:lang w:val="en-US" w:eastAsia="en-US"/>
              </w:rPr>
              <w:t>安全生产奖惩制度</w:t>
            </w:r>
          </w:p>
        </w:tc>
      </w:tr>
      <w:tr w14:paraId="7C9E1E6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45AFD020">
            <w:pPr>
              <w:widowControl/>
              <w:kinsoku w:val="0"/>
              <w:autoSpaceDE w:val="0"/>
              <w:autoSpaceDN w:val="0"/>
              <w:spacing w:before="122" w:line="241" w:lineRule="auto"/>
              <w:ind w:left="295"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0"/>
                <w:kern w:val="0"/>
                <w:sz w:val="21"/>
                <w:szCs w:val="21"/>
                <w:lang w:eastAsia="en-US"/>
              </w:rPr>
              <w:t>5</w:t>
            </w:r>
          </w:p>
        </w:tc>
        <w:tc>
          <w:tcPr>
            <w:tcW w:w="3828" w:type="dxa"/>
            <w:noWrap w:val="0"/>
            <w:vAlign w:val="center"/>
          </w:tcPr>
          <w:p w14:paraId="7FC74662">
            <w:pPr>
              <w:pStyle w:val="54"/>
              <w:bidi w:val="0"/>
              <w:rPr>
                <w:rFonts w:hint="eastAsia"/>
                <w:lang w:val="en-US" w:eastAsia="en-US"/>
              </w:rPr>
            </w:pPr>
            <w:r>
              <w:rPr>
                <w:rFonts w:hint="eastAsia"/>
                <w:lang w:val="en-US" w:eastAsia="zh-CN"/>
              </w:rPr>
              <w:t>安全教育培训管理制度</w:t>
            </w:r>
          </w:p>
        </w:tc>
        <w:tc>
          <w:tcPr>
            <w:tcW w:w="849" w:type="dxa"/>
            <w:noWrap w:val="0"/>
            <w:vAlign w:val="center"/>
          </w:tcPr>
          <w:p w14:paraId="372CFE3F">
            <w:pPr>
              <w:pStyle w:val="54"/>
              <w:bidi w:val="0"/>
              <w:rPr>
                <w:rFonts w:hint="eastAsia"/>
                <w:lang w:val="en-US" w:eastAsia="en-US"/>
              </w:rPr>
            </w:pPr>
            <w:r>
              <w:rPr>
                <w:rFonts w:hint="eastAsia"/>
                <w:lang w:val="en-US" w:eastAsia="en-US"/>
              </w:rPr>
              <w:t>6</w:t>
            </w:r>
          </w:p>
        </w:tc>
        <w:tc>
          <w:tcPr>
            <w:tcW w:w="4049" w:type="dxa"/>
            <w:noWrap w:val="0"/>
            <w:vAlign w:val="center"/>
          </w:tcPr>
          <w:p w14:paraId="5A44518A">
            <w:pPr>
              <w:pStyle w:val="54"/>
              <w:bidi w:val="0"/>
              <w:rPr>
                <w:rFonts w:hint="eastAsia"/>
                <w:lang w:val="en-US" w:eastAsia="en-US"/>
              </w:rPr>
            </w:pPr>
            <w:r>
              <w:rPr>
                <w:rFonts w:hint="eastAsia"/>
                <w:lang w:val="en-US" w:eastAsia="en-US"/>
              </w:rPr>
              <w:t>安全生产检查制度</w:t>
            </w:r>
          </w:p>
        </w:tc>
      </w:tr>
      <w:tr w14:paraId="7D7239D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092E0BAA">
            <w:pPr>
              <w:widowControl/>
              <w:kinsoku w:val="0"/>
              <w:autoSpaceDE w:val="0"/>
              <w:autoSpaceDN w:val="0"/>
              <w:spacing w:before="122" w:line="241" w:lineRule="auto"/>
              <w:ind w:left="296"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0"/>
                <w:kern w:val="0"/>
                <w:sz w:val="21"/>
                <w:szCs w:val="21"/>
                <w:lang w:eastAsia="en-US"/>
              </w:rPr>
              <w:t>7</w:t>
            </w:r>
          </w:p>
        </w:tc>
        <w:tc>
          <w:tcPr>
            <w:tcW w:w="3828" w:type="dxa"/>
            <w:noWrap w:val="0"/>
            <w:vAlign w:val="center"/>
          </w:tcPr>
          <w:p w14:paraId="13A3E126">
            <w:pPr>
              <w:pStyle w:val="54"/>
              <w:bidi w:val="0"/>
              <w:rPr>
                <w:rFonts w:hint="eastAsia"/>
                <w:lang w:val="en-US" w:eastAsia="en-US"/>
              </w:rPr>
            </w:pPr>
            <w:r>
              <w:rPr>
                <w:rFonts w:hint="eastAsia"/>
                <w:lang w:val="en-US" w:eastAsia="en-US"/>
              </w:rPr>
              <w:t>设施设备安全管理制度</w:t>
            </w:r>
          </w:p>
        </w:tc>
        <w:tc>
          <w:tcPr>
            <w:tcW w:w="849" w:type="dxa"/>
            <w:noWrap w:val="0"/>
            <w:vAlign w:val="center"/>
          </w:tcPr>
          <w:p w14:paraId="292169D0">
            <w:pPr>
              <w:pStyle w:val="54"/>
              <w:bidi w:val="0"/>
              <w:rPr>
                <w:rFonts w:hint="eastAsia"/>
                <w:lang w:val="en-US" w:eastAsia="en-US"/>
              </w:rPr>
            </w:pPr>
            <w:r>
              <w:rPr>
                <w:rFonts w:hint="eastAsia"/>
                <w:lang w:val="en-US" w:eastAsia="en-US"/>
              </w:rPr>
              <w:t>8</w:t>
            </w:r>
          </w:p>
        </w:tc>
        <w:tc>
          <w:tcPr>
            <w:tcW w:w="4049" w:type="dxa"/>
            <w:noWrap w:val="0"/>
            <w:vAlign w:val="center"/>
          </w:tcPr>
          <w:p w14:paraId="188CD8BC">
            <w:pPr>
              <w:pStyle w:val="54"/>
              <w:bidi w:val="0"/>
              <w:rPr>
                <w:rFonts w:hint="eastAsia"/>
                <w:lang w:val="en-US" w:eastAsia="en-US"/>
              </w:rPr>
            </w:pPr>
            <w:r>
              <w:rPr>
                <w:rFonts w:hint="eastAsia"/>
                <w:lang w:val="en-US" w:eastAsia="en-US"/>
              </w:rPr>
              <w:t>安全生产风险分级管理控制制度</w:t>
            </w:r>
          </w:p>
        </w:tc>
      </w:tr>
      <w:tr w14:paraId="1C6CC6C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2DC1BA85">
            <w:pPr>
              <w:widowControl/>
              <w:kinsoku w:val="0"/>
              <w:autoSpaceDE w:val="0"/>
              <w:autoSpaceDN w:val="0"/>
              <w:spacing w:before="122" w:line="241" w:lineRule="auto"/>
              <w:ind w:left="292"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0"/>
                <w:kern w:val="0"/>
                <w:sz w:val="21"/>
                <w:szCs w:val="21"/>
                <w:lang w:eastAsia="en-US"/>
              </w:rPr>
              <w:t>9</w:t>
            </w:r>
          </w:p>
        </w:tc>
        <w:tc>
          <w:tcPr>
            <w:tcW w:w="3828" w:type="dxa"/>
            <w:noWrap w:val="0"/>
            <w:vAlign w:val="center"/>
          </w:tcPr>
          <w:p w14:paraId="6F87243F">
            <w:pPr>
              <w:pStyle w:val="54"/>
              <w:bidi w:val="0"/>
              <w:rPr>
                <w:rFonts w:hint="eastAsia"/>
                <w:lang w:val="en-US" w:eastAsia="en-US"/>
              </w:rPr>
            </w:pPr>
            <w:r>
              <w:rPr>
                <w:rFonts w:hint="eastAsia"/>
                <w:lang w:val="en-US" w:eastAsia="zh-CN"/>
              </w:rPr>
              <w:t>重大</w:t>
            </w:r>
            <w:r>
              <w:rPr>
                <w:rFonts w:hint="eastAsia"/>
                <w:lang w:val="en-US" w:eastAsia="en-US"/>
              </w:rPr>
              <w:t>危险源管理制度</w:t>
            </w:r>
          </w:p>
        </w:tc>
        <w:tc>
          <w:tcPr>
            <w:tcW w:w="849" w:type="dxa"/>
            <w:noWrap w:val="0"/>
            <w:vAlign w:val="center"/>
          </w:tcPr>
          <w:p w14:paraId="453E5967">
            <w:pPr>
              <w:pStyle w:val="54"/>
              <w:bidi w:val="0"/>
              <w:rPr>
                <w:rFonts w:hint="eastAsia"/>
                <w:lang w:val="en-US" w:eastAsia="en-US"/>
              </w:rPr>
            </w:pPr>
            <w:r>
              <w:rPr>
                <w:rFonts w:hint="eastAsia"/>
                <w:lang w:val="en-US" w:eastAsia="en-US"/>
              </w:rPr>
              <w:t>10</w:t>
            </w:r>
          </w:p>
        </w:tc>
        <w:tc>
          <w:tcPr>
            <w:tcW w:w="4049" w:type="dxa"/>
            <w:noWrap w:val="0"/>
            <w:vAlign w:val="center"/>
          </w:tcPr>
          <w:p w14:paraId="108AE8F9">
            <w:pPr>
              <w:pStyle w:val="54"/>
              <w:bidi w:val="0"/>
              <w:rPr>
                <w:rFonts w:hint="eastAsia"/>
                <w:lang w:val="en-US" w:eastAsia="en-US"/>
              </w:rPr>
            </w:pPr>
            <w:r>
              <w:rPr>
                <w:rFonts w:hint="eastAsia"/>
                <w:lang w:val="en-US" w:eastAsia="en-US"/>
              </w:rPr>
              <w:t>隐患排查及治理制度</w:t>
            </w:r>
          </w:p>
        </w:tc>
      </w:tr>
      <w:tr w14:paraId="1CA23E3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6CB74E65">
            <w:pPr>
              <w:widowControl/>
              <w:kinsoku w:val="0"/>
              <w:autoSpaceDE w:val="0"/>
              <w:autoSpaceDN w:val="0"/>
              <w:spacing w:before="123" w:line="242" w:lineRule="auto"/>
              <w:ind w:left="254"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6"/>
                <w:kern w:val="0"/>
                <w:sz w:val="21"/>
                <w:szCs w:val="21"/>
                <w:lang w:eastAsia="en-US"/>
              </w:rPr>
              <w:t>11</w:t>
            </w:r>
          </w:p>
        </w:tc>
        <w:tc>
          <w:tcPr>
            <w:tcW w:w="3828" w:type="dxa"/>
            <w:noWrap w:val="0"/>
            <w:vAlign w:val="center"/>
          </w:tcPr>
          <w:p w14:paraId="100452F8">
            <w:pPr>
              <w:pStyle w:val="54"/>
              <w:bidi w:val="0"/>
              <w:rPr>
                <w:rFonts w:hint="eastAsia"/>
                <w:lang w:val="en-US" w:eastAsia="en-US"/>
              </w:rPr>
            </w:pPr>
            <w:r>
              <w:rPr>
                <w:rFonts w:hint="eastAsia"/>
                <w:lang w:val="en-US" w:eastAsia="en-US"/>
              </w:rPr>
              <w:t>生产安全事故</w:t>
            </w:r>
            <w:r>
              <w:rPr>
                <w:rFonts w:hint="eastAsia"/>
                <w:lang w:val="en-US" w:eastAsia="zh-CN"/>
              </w:rPr>
              <w:t>管理</w:t>
            </w:r>
            <w:r>
              <w:rPr>
                <w:rFonts w:hint="eastAsia"/>
                <w:lang w:val="en-US" w:eastAsia="en-US"/>
              </w:rPr>
              <w:t>制度</w:t>
            </w:r>
          </w:p>
        </w:tc>
        <w:tc>
          <w:tcPr>
            <w:tcW w:w="849" w:type="dxa"/>
            <w:noWrap w:val="0"/>
            <w:vAlign w:val="center"/>
          </w:tcPr>
          <w:p w14:paraId="77E55123">
            <w:pPr>
              <w:pStyle w:val="54"/>
              <w:bidi w:val="0"/>
              <w:rPr>
                <w:rFonts w:hint="eastAsia"/>
                <w:lang w:val="en-US" w:eastAsia="en-US"/>
              </w:rPr>
            </w:pPr>
            <w:r>
              <w:rPr>
                <w:rFonts w:hint="eastAsia"/>
                <w:lang w:val="en-US" w:eastAsia="en-US"/>
              </w:rPr>
              <w:t>12</w:t>
            </w:r>
          </w:p>
        </w:tc>
        <w:tc>
          <w:tcPr>
            <w:tcW w:w="4049" w:type="dxa"/>
            <w:noWrap w:val="0"/>
            <w:vAlign w:val="center"/>
          </w:tcPr>
          <w:p w14:paraId="49E4FCD8">
            <w:pPr>
              <w:pStyle w:val="54"/>
              <w:bidi w:val="0"/>
              <w:rPr>
                <w:rFonts w:hint="eastAsia"/>
                <w:lang w:val="en-US" w:eastAsia="en-US"/>
              </w:rPr>
            </w:pPr>
            <w:r>
              <w:rPr>
                <w:rFonts w:hint="eastAsia"/>
                <w:lang w:val="en-US" w:eastAsia="en-US"/>
              </w:rPr>
              <w:t>劳动防护用品的管理制度</w:t>
            </w:r>
          </w:p>
        </w:tc>
      </w:tr>
      <w:tr w14:paraId="29DF5F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616C8D47">
            <w:pPr>
              <w:widowControl/>
              <w:kinsoku w:val="0"/>
              <w:autoSpaceDE w:val="0"/>
              <w:autoSpaceDN w:val="0"/>
              <w:spacing w:before="123" w:line="241" w:lineRule="auto"/>
              <w:ind w:left="254"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6"/>
                <w:kern w:val="0"/>
                <w:sz w:val="21"/>
                <w:szCs w:val="21"/>
                <w:lang w:eastAsia="en-US"/>
              </w:rPr>
              <w:t>13</w:t>
            </w:r>
          </w:p>
        </w:tc>
        <w:tc>
          <w:tcPr>
            <w:tcW w:w="3828" w:type="dxa"/>
            <w:noWrap w:val="0"/>
            <w:vAlign w:val="center"/>
          </w:tcPr>
          <w:p w14:paraId="618B8710">
            <w:pPr>
              <w:pStyle w:val="54"/>
              <w:bidi w:val="0"/>
              <w:rPr>
                <w:rFonts w:hint="eastAsia"/>
                <w:lang w:val="en-US" w:eastAsia="en-US"/>
              </w:rPr>
            </w:pPr>
            <w:r>
              <w:rPr>
                <w:rFonts w:hint="eastAsia"/>
                <w:lang w:val="en-US" w:eastAsia="en-US"/>
              </w:rPr>
              <w:t>边坡安全管理制度</w:t>
            </w:r>
          </w:p>
        </w:tc>
        <w:tc>
          <w:tcPr>
            <w:tcW w:w="849" w:type="dxa"/>
            <w:noWrap w:val="0"/>
            <w:vAlign w:val="center"/>
          </w:tcPr>
          <w:p w14:paraId="2CE017F5">
            <w:pPr>
              <w:pStyle w:val="54"/>
              <w:bidi w:val="0"/>
              <w:rPr>
                <w:rFonts w:hint="eastAsia"/>
                <w:lang w:val="en-US" w:eastAsia="en-US"/>
              </w:rPr>
            </w:pPr>
            <w:r>
              <w:rPr>
                <w:rFonts w:hint="eastAsia"/>
                <w:lang w:val="en-US" w:eastAsia="en-US"/>
              </w:rPr>
              <w:t>14</w:t>
            </w:r>
          </w:p>
        </w:tc>
        <w:tc>
          <w:tcPr>
            <w:tcW w:w="4049" w:type="dxa"/>
            <w:noWrap w:val="0"/>
            <w:vAlign w:val="center"/>
          </w:tcPr>
          <w:p w14:paraId="11A3218F">
            <w:pPr>
              <w:pStyle w:val="54"/>
              <w:bidi w:val="0"/>
              <w:rPr>
                <w:rFonts w:hint="eastAsia"/>
                <w:lang w:val="en-US" w:eastAsia="en-US"/>
              </w:rPr>
            </w:pPr>
            <w:r>
              <w:rPr>
                <w:rFonts w:hint="eastAsia"/>
                <w:lang w:val="en-US" w:eastAsia="en-US"/>
              </w:rPr>
              <w:t>供配电系统安全管理制度</w:t>
            </w:r>
          </w:p>
        </w:tc>
      </w:tr>
      <w:tr w14:paraId="13EBA72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4CF4EA53">
            <w:pPr>
              <w:widowControl/>
              <w:kinsoku w:val="0"/>
              <w:autoSpaceDE w:val="0"/>
              <w:autoSpaceDN w:val="0"/>
              <w:spacing w:before="123" w:line="241" w:lineRule="auto"/>
              <w:ind w:left="254"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6"/>
                <w:kern w:val="0"/>
                <w:sz w:val="21"/>
                <w:szCs w:val="21"/>
                <w:lang w:eastAsia="en-US"/>
              </w:rPr>
              <w:t>15</w:t>
            </w:r>
          </w:p>
        </w:tc>
        <w:tc>
          <w:tcPr>
            <w:tcW w:w="3828" w:type="dxa"/>
            <w:noWrap w:val="0"/>
            <w:vAlign w:val="center"/>
          </w:tcPr>
          <w:p w14:paraId="0919C826">
            <w:pPr>
              <w:pStyle w:val="54"/>
              <w:bidi w:val="0"/>
              <w:rPr>
                <w:rFonts w:hint="eastAsia"/>
                <w:lang w:val="en-US" w:eastAsia="en-US"/>
              </w:rPr>
            </w:pPr>
            <w:r>
              <w:rPr>
                <w:rFonts w:hint="eastAsia"/>
                <w:lang w:val="en-US" w:eastAsia="en-US"/>
              </w:rPr>
              <w:t>安全标志管理制度</w:t>
            </w:r>
          </w:p>
        </w:tc>
        <w:tc>
          <w:tcPr>
            <w:tcW w:w="849" w:type="dxa"/>
            <w:noWrap w:val="0"/>
            <w:vAlign w:val="center"/>
          </w:tcPr>
          <w:p w14:paraId="50A4D522">
            <w:pPr>
              <w:pStyle w:val="54"/>
              <w:bidi w:val="0"/>
              <w:rPr>
                <w:rFonts w:hint="eastAsia"/>
                <w:lang w:val="en-US" w:eastAsia="en-US"/>
              </w:rPr>
            </w:pPr>
            <w:r>
              <w:rPr>
                <w:rFonts w:hint="eastAsia"/>
                <w:lang w:val="en-US" w:eastAsia="en-US"/>
              </w:rPr>
              <w:t>16</w:t>
            </w:r>
          </w:p>
        </w:tc>
        <w:tc>
          <w:tcPr>
            <w:tcW w:w="4049" w:type="dxa"/>
            <w:noWrap w:val="0"/>
            <w:vAlign w:val="center"/>
          </w:tcPr>
          <w:p w14:paraId="20BFD1AD">
            <w:pPr>
              <w:pStyle w:val="54"/>
              <w:bidi w:val="0"/>
              <w:rPr>
                <w:rFonts w:hint="eastAsia"/>
                <w:lang w:val="en-US" w:eastAsia="en-US"/>
              </w:rPr>
            </w:pPr>
            <w:r>
              <w:rPr>
                <w:rFonts w:hint="eastAsia"/>
                <w:lang w:val="en-US" w:eastAsia="en-US"/>
              </w:rPr>
              <w:t>现场安全管理制度</w:t>
            </w:r>
          </w:p>
        </w:tc>
      </w:tr>
      <w:tr w14:paraId="1199651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7FEA6C05">
            <w:pPr>
              <w:widowControl/>
              <w:kinsoku w:val="0"/>
              <w:autoSpaceDE w:val="0"/>
              <w:autoSpaceDN w:val="0"/>
              <w:spacing w:before="124" w:line="241" w:lineRule="auto"/>
              <w:ind w:left="254"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6"/>
                <w:kern w:val="0"/>
                <w:sz w:val="21"/>
                <w:szCs w:val="21"/>
                <w:lang w:eastAsia="en-US"/>
              </w:rPr>
              <w:t>17</w:t>
            </w:r>
          </w:p>
        </w:tc>
        <w:tc>
          <w:tcPr>
            <w:tcW w:w="3828" w:type="dxa"/>
            <w:noWrap w:val="0"/>
            <w:vAlign w:val="center"/>
          </w:tcPr>
          <w:p w14:paraId="6E241006">
            <w:pPr>
              <w:pStyle w:val="54"/>
              <w:bidi w:val="0"/>
              <w:rPr>
                <w:rFonts w:hint="eastAsia"/>
                <w:lang w:val="en-US" w:eastAsia="en-US"/>
              </w:rPr>
            </w:pPr>
            <w:r>
              <w:rPr>
                <w:rFonts w:hint="eastAsia"/>
                <w:lang w:val="en-US" w:eastAsia="zh-CN"/>
              </w:rPr>
              <w:t>工伤保险管理制度</w:t>
            </w:r>
          </w:p>
        </w:tc>
        <w:tc>
          <w:tcPr>
            <w:tcW w:w="849" w:type="dxa"/>
            <w:noWrap w:val="0"/>
            <w:vAlign w:val="center"/>
          </w:tcPr>
          <w:p w14:paraId="4A031B60">
            <w:pPr>
              <w:pStyle w:val="54"/>
              <w:bidi w:val="0"/>
              <w:rPr>
                <w:rFonts w:hint="eastAsia"/>
                <w:lang w:val="en-US" w:eastAsia="en-US"/>
              </w:rPr>
            </w:pPr>
            <w:r>
              <w:rPr>
                <w:rFonts w:hint="eastAsia"/>
                <w:lang w:val="en-US" w:eastAsia="en-US"/>
              </w:rPr>
              <w:t>18</w:t>
            </w:r>
          </w:p>
        </w:tc>
        <w:tc>
          <w:tcPr>
            <w:tcW w:w="4049" w:type="dxa"/>
            <w:noWrap w:val="0"/>
            <w:vAlign w:val="center"/>
          </w:tcPr>
          <w:p w14:paraId="01720852">
            <w:pPr>
              <w:pStyle w:val="54"/>
              <w:bidi w:val="0"/>
              <w:rPr>
                <w:rFonts w:hint="eastAsia"/>
                <w:lang w:val="en-US" w:eastAsia="en-US"/>
              </w:rPr>
            </w:pPr>
            <w:r>
              <w:rPr>
                <w:rFonts w:hint="eastAsia"/>
                <w:lang w:val="en-US" w:eastAsia="zh-CN"/>
              </w:rPr>
              <w:t>安全生产责任险管理制度</w:t>
            </w:r>
          </w:p>
        </w:tc>
      </w:tr>
      <w:tr w14:paraId="6E67567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14E2FE9E">
            <w:pPr>
              <w:widowControl/>
              <w:kinsoku w:val="0"/>
              <w:autoSpaceDE w:val="0"/>
              <w:autoSpaceDN w:val="0"/>
              <w:spacing w:before="124" w:line="241" w:lineRule="auto"/>
              <w:ind w:left="254"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6"/>
                <w:kern w:val="0"/>
                <w:sz w:val="21"/>
                <w:szCs w:val="21"/>
                <w:lang w:eastAsia="en-US"/>
              </w:rPr>
              <w:t>19</w:t>
            </w:r>
          </w:p>
        </w:tc>
        <w:tc>
          <w:tcPr>
            <w:tcW w:w="3828" w:type="dxa"/>
            <w:noWrap w:val="0"/>
            <w:vAlign w:val="center"/>
          </w:tcPr>
          <w:p w14:paraId="5ABDF767">
            <w:pPr>
              <w:pStyle w:val="54"/>
              <w:bidi w:val="0"/>
              <w:rPr>
                <w:rFonts w:hint="eastAsia"/>
                <w:lang w:val="en-US" w:eastAsia="en-US"/>
              </w:rPr>
            </w:pPr>
            <w:r>
              <w:rPr>
                <w:rFonts w:hint="eastAsia"/>
                <w:lang w:val="en-US" w:eastAsia="en-US"/>
              </w:rPr>
              <w:t>安全生产费用提取管理制度</w:t>
            </w:r>
          </w:p>
        </w:tc>
        <w:tc>
          <w:tcPr>
            <w:tcW w:w="849" w:type="dxa"/>
            <w:noWrap w:val="0"/>
            <w:vAlign w:val="center"/>
          </w:tcPr>
          <w:p w14:paraId="11D9550E">
            <w:pPr>
              <w:pStyle w:val="54"/>
              <w:bidi w:val="0"/>
              <w:rPr>
                <w:rFonts w:hint="eastAsia"/>
                <w:lang w:val="en-US" w:eastAsia="en-US"/>
              </w:rPr>
            </w:pPr>
            <w:r>
              <w:rPr>
                <w:rFonts w:hint="eastAsia"/>
                <w:lang w:val="en-US" w:eastAsia="en-US"/>
              </w:rPr>
              <w:t>20</w:t>
            </w:r>
          </w:p>
        </w:tc>
        <w:tc>
          <w:tcPr>
            <w:tcW w:w="4049" w:type="dxa"/>
            <w:noWrap w:val="0"/>
            <w:vAlign w:val="center"/>
          </w:tcPr>
          <w:p w14:paraId="741AF058">
            <w:pPr>
              <w:pStyle w:val="54"/>
              <w:bidi w:val="0"/>
              <w:rPr>
                <w:rFonts w:hint="eastAsia"/>
                <w:lang w:val="en-US" w:eastAsia="en-US"/>
              </w:rPr>
            </w:pPr>
            <w:r>
              <w:rPr>
                <w:rFonts w:hint="eastAsia"/>
                <w:lang w:val="en-US" w:eastAsia="en-US"/>
              </w:rPr>
              <w:t>安全教育培训管理制度</w:t>
            </w:r>
          </w:p>
        </w:tc>
      </w:tr>
      <w:tr w14:paraId="273F789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47DF7E00">
            <w:pPr>
              <w:widowControl/>
              <w:kinsoku w:val="0"/>
              <w:autoSpaceDE w:val="0"/>
              <w:autoSpaceDN w:val="0"/>
              <w:spacing w:before="171" w:line="242" w:lineRule="auto"/>
              <w:ind w:left="240"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3"/>
                <w:kern w:val="0"/>
                <w:sz w:val="21"/>
                <w:szCs w:val="21"/>
                <w:lang w:eastAsia="en-US"/>
              </w:rPr>
              <w:t>21</w:t>
            </w:r>
          </w:p>
        </w:tc>
        <w:tc>
          <w:tcPr>
            <w:tcW w:w="3828" w:type="dxa"/>
            <w:noWrap w:val="0"/>
            <w:vAlign w:val="center"/>
          </w:tcPr>
          <w:p w14:paraId="31030C72">
            <w:pPr>
              <w:pStyle w:val="54"/>
              <w:bidi w:val="0"/>
              <w:rPr>
                <w:rFonts w:hint="eastAsia"/>
                <w:lang w:val="en-US" w:eastAsia="en-US"/>
              </w:rPr>
            </w:pPr>
            <w:r>
              <w:rPr>
                <w:rFonts w:hint="eastAsia"/>
                <w:lang w:val="en-US" w:eastAsia="zh-CN"/>
              </w:rPr>
              <w:t>“三同时”管理制度</w:t>
            </w:r>
          </w:p>
        </w:tc>
        <w:tc>
          <w:tcPr>
            <w:tcW w:w="849" w:type="dxa"/>
            <w:noWrap w:val="0"/>
            <w:vAlign w:val="center"/>
          </w:tcPr>
          <w:p w14:paraId="6473314F">
            <w:pPr>
              <w:pStyle w:val="54"/>
              <w:bidi w:val="0"/>
              <w:rPr>
                <w:rFonts w:hint="eastAsia"/>
                <w:lang w:val="en-US" w:eastAsia="en-US"/>
              </w:rPr>
            </w:pPr>
            <w:r>
              <w:rPr>
                <w:rFonts w:hint="eastAsia"/>
                <w:lang w:val="en-US" w:eastAsia="zh-CN"/>
              </w:rPr>
              <w:t>22</w:t>
            </w:r>
          </w:p>
        </w:tc>
        <w:tc>
          <w:tcPr>
            <w:tcW w:w="4049" w:type="dxa"/>
            <w:noWrap w:val="0"/>
            <w:vAlign w:val="center"/>
          </w:tcPr>
          <w:p w14:paraId="789678CD">
            <w:pPr>
              <w:pStyle w:val="54"/>
              <w:bidi w:val="0"/>
              <w:rPr>
                <w:rFonts w:hint="eastAsia"/>
                <w:lang w:val="en-US" w:eastAsia="en-US"/>
              </w:rPr>
            </w:pPr>
            <w:r>
              <w:rPr>
                <w:rFonts w:hint="eastAsia"/>
                <w:lang w:val="en-US" w:eastAsia="zh-CN"/>
              </w:rPr>
              <w:t>相关方及外用工（单位）管理制度</w:t>
            </w:r>
          </w:p>
        </w:tc>
      </w:tr>
      <w:tr w14:paraId="0F916B7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4D535B11">
            <w:pPr>
              <w:widowControl/>
              <w:kinsoku w:val="0"/>
              <w:autoSpaceDE w:val="0"/>
              <w:autoSpaceDN w:val="0"/>
              <w:spacing w:before="171" w:line="242" w:lineRule="auto"/>
              <w:ind w:left="240" w:firstLine="0" w:firstLineChars="0"/>
              <w:jc w:val="left"/>
              <w:textAlignment w:val="baseline"/>
              <w:rPr>
                <w:rFonts w:hint="default" w:ascii="宋体" w:hAnsi="宋体" w:eastAsia="宋体" w:cs="宋体"/>
                <w:snapToGrid w:val="0"/>
                <w:color w:val="000000"/>
                <w:spacing w:val="-3"/>
                <w:kern w:val="0"/>
                <w:sz w:val="21"/>
                <w:szCs w:val="21"/>
                <w:lang w:val="en-US" w:eastAsia="zh-CN"/>
              </w:rPr>
            </w:pPr>
            <w:r>
              <w:rPr>
                <w:rFonts w:hint="eastAsia" w:ascii="宋体" w:hAnsi="宋体" w:cs="宋体"/>
                <w:snapToGrid w:val="0"/>
                <w:color w:val="000000"/>
                <w:spacing w:val="-3"/>
                <w:kern w:val="0"/>
                <w:sz w:val="21"/>
                <w:szCs w:val="21"/>
                <w:lang w:val="en-US" w:eastAsia="zh-CN"/>
              </w:rPr>
              <w:t>23</w:t>
            </w:r>
          </w:p>
        </w:tc>
        <w:tc>
          <w:tcPr>
            <w:tcW w:w="3828" w:type="dxa"/>
            <w:noWrap w:val="0"/>
            <w:vAlign w:val="center"/>
          </w:tcPr>
          <w:p w14:paraId="5B063416">
            <w:pPr>
              <w:pStyle w:val="54"/>
              <w:bidi w:val="0"/>
              <w:rPr>
                <w:rFonts w:hint="eastAsia"/>
                <w:lang w:val="en-US" w:eastAsia="en-US"/>
              </w:rPr>
            </w:pPr>
            <w:r>
              <w:rPr>
                <w:rFonts w:hint="eastAsia"/>
                <w:lang w:val="en-US" w:eastAsia="zh-CN"/>
              </w:rPr>
              <w:t>特种作业人员管理制度</w:t>
            </w:r>
          </w:p>
        </w:tc>
        <w:tc>
          <w:tcPr>
            <w:tcW w:w="849" w:type="dxa"/>
            <w:noWrap w:val="0"/>
            <w:vAlign w:val="center"/>
          </w:tcPr>
          <w:p w14:paraId="15743C6C">
            <w:pPr>
              <w:pStyle w:val="54"/>
              <w:bidi w:val="0"/>
              <w:rPr>
                <w:rFonts w:hint="default"/>
                <w:lang w:val="en-US" w:eastAsia="zh-CN"/>
              </w:rPr>
            </w:pPr>
            <w:r>
              <w:rPr>
                <w:rFonts w:hint="eastAsia"/>
                <w:lang w:val="en-US" w:eastAsia="zh-CN"/>
              </w:rPr>
              <w:t>24</w:t>
            </w:r>
          </w:p>
        </w:tc>
        <w:tc>
          <w:tcPr>
            <w:tcW w:w="4049" w:type="dxa"/>
            <w:noWrap w:val="0"/>
            <w:vAlign w:val="center"/>
          </w:tcPr>
          <w:p w14:paraId="39A59584">
            <w:pPr>
              <w:pStyle w:val="54"/>
              <w:bidi w:val="0"/>
              <w:rPr>
                <w:rFonts w:hint="eastAsia"/>
                <w:lang w:val="en-US" w:eastAsia="en-US"/>
              </w:rPr>
            </w:pPr>
            <w:r>
              <w:rPr>
                <w:rFonts w:hint="eastAsia"/>
                <w:lang w:val="en-US" w:eastAsia="zh-CN"/>
              </w:rPr>
              <w:t>矿山安全生产风险分级管理控制制度（含灾害报告及紧急撤人制度）</w:t>
            </w:r>
          </w:p>
        </w:tc>
      </w:tr>
      <w:tr w14:paraId="6A26C09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4EB4CFC6">
            <w:pPr>
              <w:widowControl/>
              <w:kinsoku w:val="0"/>
              <w:autoSpaceDE w:val="0"/>
              <w:autoSpaceDN w:val="0"/>
              <w:spacing w:before="171" w:line="242" w:lineRule="auto"/>
              <w:ind w:left="240" w:firstLine="0" w:firstLineChars="0"/>
              <w:jc w:val="left"/>
              <w:textAlignment w:val="baseline"/>
              <w:rPr>
                <w:rFonts w:hint="default" w:ascii="宋体" w:hAnsi="宋体" w:cs="宋体"/>
                <w:snapToGrid w:val="0"/>
                <w:color w:val="000000"/>
                <w:spacing w:val="-3"/>
                <w:kern w:val="0"/>
                <w:sz w:val="21"/>
                <w:szCs w:val="21"/>
                <w:lang w:val="en-US" w:eastAsia="zh-CN"/>
              </w:rPr>
            </w:pPr>
            <w:r>
              <w:rPr>
                <w:rFonts w:hint="eastAsia" w:ascii="宋体" w:hAnsi="宋体" w:cs="宋体"/>
                <w:snapToGrid w:val="0"/>
                <w:color w:val="000000"/>
                <w:spacing w:val="-3"/>
                <w:kern w:val="0"/>
                <w:sz w:val="21"/>
                <w:szCs w:val="21"/>
                <w:lang w:val="en-US" w:eastAsia="zh-CN"/>
              </w:rPr>
              <w:t>25</w:t>
            </w:r>
          </w:p>
        </w:tc>
        <w:tc>
          <w:tcPr>
            <w:tcW w:w="3828" w:type="dxa"/>
            <w:noWrap w:val="0"/>
            <w:vAlign w:val="center"/>
          </w:tcPr>
          <w:p w14:paraId="4610D384">
            <w:pPr>
              <w:pStyle w:val="54"/>
              <w:bidi w:val="0"/>
              <w:rPr>
                <w:rFonts w:hint="eastAsia"/>
                <w:lang w:val="en-US" w:eastAsia="en-US"/>
              </w:rPr>
            </w:pPr>
            <w:r>
              <w:rPr>
                <w:rFonts w:hint="eastAsia"/>
                <w:lang w:val="en-US" w:eastAsia="zh-CN"/>
              </w:rPr>
              <w:t>职业健康管理制度</w:t>
            </w:r>
          </w:p>
        </w:tc>
        <w:tc>
          <w:tcPr>
            <w:tcW w:w="849" w:type="dxa"/>
            <w:noWrap w:val="0"/>
            <w:vAlign w:val="center"/>
          </w:tcPr>
          <w:p w14:paraId="18E1623C">
            <w:pPr>
              <w:pStyle w:val="54"/>
              <w:bidi w:val="0"/>
              <w:rPr>
                <w:rFonts w:hint="default"/>
                <w:lang w:val="en-US" w:eastAsia="zh-CN"/>
              </w:rPr>
            </w:pPr>
          </w:p>
        </w:tc>
        <w:tc>
          <w:tcPr>
            <w:tcW w:w="4049" w:type="dxa"/>
            <w:noWrap w:val="0"/>
            <w:vAlign w:val="center"/>
          </w:tcPr>
          <w:p w14:paraId="36578FBD">
            <w:pPr>
              <w:pStyle w:val="54"/>
              <w:bidi w:val="0"/>
              <w:rPr>
                <w:rFonts w:hint="eastAsia"/>
                <w:lang w:val="en-US" w:eastAsia="en-US"/>
              </w:rPr>
            </w:pPr>
          </w:p>
        </w:tc>
      </w:tr>
    </w:tbl>
    <w:p w14:paraId="0DE4FC9C">
      <w:pPr>
        <w:widowControl/>
        <w:kinsoku w:val="0"/>
        <w:autoSpaceDE w:val="0"/>
        <w:autoSpaceDN w:val="0"/>
        <w:spacing w:line="240" w:lineRule="auto"/>
        <w:ind w:firstLine="0" w:firstLineChars="0"/>
        <w:jc w:val="left"/>
        <w:textAlignment w:val="baseline"/>
        <w:rPr>
          <w:rFonts w:ascii="Arial" w:hAnsi="Arial" w:eastAsia="Arial" w:cs="Arial"/>
          <w:snapToGrid w:val="0"/>
          <w:color w:val="000000"/>
          <w:spacing w:val="0"/>
          <w:kern w:val="0"/>
          <w:sz w:val="21"/>
          <w:szCs w:val="21"/>
          <w:lang w:eastAsia="en-US"/>
        </w:rPr>
      </w:pPr>
    </w:p>
    <w:p w14:paraId="2764D998">
      <w:pPr>
        <w:bidi w:val="0"/>
        <w:rPr>
          <w:lang w:val="en-US" w:eastAsia="en-US"/>
        </w:rPr>
      </w:pPr>
      <w:r>
        <w:rPr>
          <w:rFonts w:hint="eastAsia"/>
          <w:lang w:val="en-US" w:eastAsia="zh-CN"/>
        </w:rPr>
        <w:t>（3）</w:t>
      </w:r>
      <w:r>
        <w:rPr>
          <w:lang w:val="en-US" w:eastAsia="en-US"/>
        </w:rPr>
        <w:t>安全</w:t>
      </w:r>
      <w:r>
        <w:rPr>
          <w:rFonts w:hint="eastAsia"/>
          <w:lang w:val="en-US" w:eastAsia="zh-CN"/>
        </w:rPr>
        <w:t>生产</w:t>
      </w:r>
      <w:r>
        <w:rPr>
          <w:lang w:val="en-US" w:eastAsia="en-US"/>
        </w:rPr>
        <w:t>操作规程</w:t>
      </w:r>
    </w:p>
    <w:p w14:paraId="079DA71D">
      <w:pPr>
        <w:bidi w:val="0"/>
        <w:rPr>
          <w:lang w:val="en-US" w:eastAsia="en-US"/>
        </w:rPr>
      </w:pPr>
      <w:r>
        <w:rPr>
          <w:lang w:val="en-US" w:eastAsia="en-US"/>
        </w:rPr>
        <w:t>矿山已按照生产工艺建立了相应的安全操作规程，生产过程中员工已严格按照各项操作规程作业，现场检查，相应的工种基本能回答自己的操作规程，且有相应的台账记录对员工操作规程的培训，矿山安全操作规程的运行情况满足安全生产要求。</w:t>
      </w:r>
    </w:p>
    <w:p w14:paraId="73338B3B">
      <w:pPr>
        <w:rPr>
          <w:lang w:val="en-US" w:eastAsia="en-US"/>
        </w:rPr>
      </w:pPr>
      <w:r>
        <w:rPr>
          <w:lang w:val="en-US" w:eastAsia="en-US"/>
        </w:rPr>
        <w:br w:type="page"/>
      </w:r>
    </w:p>
    <w:p w14:paraId="6EC9C95D">
      <w:pPr>
        <w:bidi w:val="0"/>
        <w:rPr>
          <w:lang w:val="en-US" w:eastAsia="en-US"/>
        </w:rPr>
      </w:pPr>
    </w:p>
    <w:p w14:paraId="58844A4D">
      <w:pPr>
        <w:pStyle w:val="47"/>
        <w:bidi w:val="0"/>
        <w:rPr>
          <w:lang w:val="en-US" w:eastAsia="en-US"/>
        </w:rPr>
      </w:pPr>
      <w:r>
        <w:rPr>
          <w:lang w:val="en-US" w:eastAsia="en-US"/>
        </w:rPr>
        <w:t>表2</w:t>
      </w:r>
      <w:r>
        <w:rPr>
          <w:rFonts w:hint="eastAsia"/>
          <w:lang w:val="en-US" w:eastAsia="zh-CN"/>
        </w:rPr>
        <w:t>.4</w:t>
      </w:r>
      <w:r>
        <w:rPr>
          <w:lang w:val="en-US" w:eastAsia="en-US"/>
        </w:rPr>
        <w:t>-</w:t>
      </w:r>
      <w:r>
        <w:rPr>
          <w:rFonts w:hint="eastAsia"/>
          <w:lang w:val="en-US" w:eastAsia="zh-CN"/>
        </w:rPr>
        <w:t>15</w:t>
      </w:r>
      <w:r>
        <w:rPr>
          <w:lang w:val="en-US" w:eastAsia="en-US"/>
        </w:rPr>
        <w:t>安全操作规程</w:t>
      </w:r>
    </w:p>
    <w:tbl>
      <w:tblPr>
        <w:tblStyle w:val="78"/>
        <w:tblpPr w:leftFromText="180" w:rightFromText="180" w:vertAnchor="text" w:horzAnchor="page" w:tblpX="1424" w:tblpY="117"/>
        <w:tblOverlap w:val="never"/>
        <w:tblW w:w="9326"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79"/>
        <w:gridCol w:w="3828"/>
        <w:gridCol w:w="849"/>
        <w:gridCol w:w="3970"/>
      </w:tblGrid>
      <w:tr w14:paraId="45B65BB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7FC2F699">
            <w:pPr>
              <w:widowControl/>
              <w:kinsoku w:val="0"/>
              <w:autoSpaceDE w:val="0"/>
              <w:autoSpaceDN w:val="0"/>
              <w:spacing w:before="116" w:line="222" w:lineRule="auto"/>
              <w:ind w:left="134" w:firstLine="0" w:firstLineChars="0"/>
              <w:jc w:val="center"/>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序号</w:t>
            </w:r>
          </w:p>
        </w:tc>
        <w:tc>
          <w:tcPr>
            <w:tcW w:w="3828" w:type="dxa"/>
            <w:noWrap w:val="0"/>
            <w:vAlign w:val="center"/>
          </w:tcPr>
          <w:p w14:paraId="13991E21">
            <w:pPr>
              <w:widowControl/>
              <w:kinsoku w:val="0"/>
              <w:autoSpaceDE w:val="0"/>
              <w:autoSpaceDN w:val="0"/>
              <w:spacing w:before="116" w:line="221" w:lineRule="auto"/>
              <w:ind w:left="1708"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规程</w:t>
            </w:r>
          </w:p>
        </w:tc>
        <w:tc>
          <w:tcPr>
            <w:tcW w:w="849" w:type="dxa"/>
            <w:noWrap w:val="0"/>
            <w:vAlign w:val="center"/>
          </w:tcPr>
          <w:p w14:paraId="69D2AE13">
            <w:pPr>
              <w:widowControl/>
              <w:kinsoku w:val="0"/>
              <w:autoSpaceDE w:val="0"/>
              <w:autoSpaceDN w:val="0"/>
              <w:spacing w:before="116" w:line="222" w:lineRule="auto"/>
              <w:ind w:left="218" w:firstLine="0" w:firstLineChars="0"/>
              <w:jc w:val="center"/>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序号</w:t>
            </w:r>
          </w:p>
        </w:tc>
        <w:tc>
          <w:tcPr>
            <w:tcW w:w="3970" w:type="dxa"/>
            <w:noWrap w:val="0"/>
            <w:vAlign w:val="center"/>
          </w:tcPr>
          <w:p w14:paraId="4BF65111">
            <w:pPr>
              <w:widowControl/>
              <w:kinsoku w:val="0"/>
              <w:autoSpaceDE w:val="0"/>
              <w:autoSpaceDN w:val="0"/>
              <w:spacing w:before="116" w:line="221" w:lineRule="auto"/>
              <w:ind w:left="1778"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b/>
                <w:bCs/>
                <w:snapToGrid w:val="0"/>
                <w:color w:val="000000"/>
                <w:spacing w:val="-4"/>
                <w:kern w:val="0"/>
                <w:sz w:val="21"/>
                <w:szCs w:val="21"/>
                <w:lang w:eastAsia="en-US"/>
              </w:rPr>
              <w:t>规程</w:t>
            </w:r>
          </w:p>
        </w:tc>
      </w:tr>
      <w:tr w14:paraId="5759104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5B42420B">
            <w:pPr>
              <w:pStyle w:val="59"/>
              <w:bidi w:val="0"/>
              <w:jc w:val="center"/>
              <w:rPr>
                <w:lang w:eastAsia="en-US"/>
              </w:rPr>
            </w:pPr>
            <w:r>
              <w:rPr>
                <w:lang w:eastAsia="en-US"/>
              </w:rPr>
              <w:t>1</w:t>
            </w:r>
          </w:p>
        </w:tc>
        <w:tc>
          <w:tcPr>
            <w:tcW w:w="3828" w:type="dxa"/>
            <w:noWrap w:val="0"/>
            <w:vAlign w:val="center"/>
          </w:tcPr>
          <w:p w14:paraId="149EE6E7">
            <w:pPr>
              <w:pStyle w:val="59"/>
              <w:bidi w:val="0"/>
              <w:rPr>
                <w:lang w:eastAsia="en-US"/>
              </w:rPr>
            </w:pPr>
            <w:r>
              <w:rPr>
                <w:lang w:eastAsia="en-US"/>
              </w:rPr>
              <w:t>空压机</w:t>
            </w:r>
            <w:r>
              <w:rPr>
                <w:rFonts w:hint="eastAsia"/>
                <w:lang w:val="en-US" w:eastAsia="zh-CN"/>
              </w:rPr>
              <w:t>操作人员</w:t>
            </w:r>
            <w:r>
              <w:rPr>
                <w:lang w:eastAsia="en-US"/>
              </w:rPr>
              <w:t>安全操作规程</w:t>
            </w:r>
          </w:p>
        </w:tc>
        <w:tc>
          <w:tcPr>
            <w:tcW w:w="849" w:type="dxa"/>
            <w:noWrap w:val="0"/>
            <w:vAlign w:val="center"/>
          </w:tcPr>
          <w:p w14:paraId="65E8904B">
            <w:pPr>
              <w:pStyle w:val="59"/>
              <w:bidi w:val="0"/>
              <w:jc w:val="center"/>
              <w:rPr>
                <w:lang w:eastAsia="en-US"/>
              </w:rPr>
            </w:pPr>
            <w:r>
              <w:rPr>
                <w:lang w:eastAsia="en-US"/>
              </w:rPr>
              <w:t>2</w:t>
            </w:r>
          </w:p>
        </w:tc>
        <w:tc>
          <w:tcPr>
            <w:tcW w:w="3970" w:type="dxa"/>
            <w:noWrap w:val="0"/>
            <w:vAlign w:val="center"/>
          </w:tcPr>
          <w:p w14:paraId="17922083">
            <w:pPr>
              <w:pStyle w:val="59"/>
              <w:bidi w:val="0"/>
              <w:rPr>
                <w:lang w:eastAsia="en-US"/>
              </w:rPr>
            </w:pPr>
            <w:r>
              <w:rPr>
                <w:rFonts w:hint="eastAsia"/>
                <w:lang w:val="en-US" w:eastAsia="zh-CN"/>
              </w:rPr>
              <w:t>钻机操作人员</w:t>
            </w:r>
            <w:r>
              <w:rPr>
                <w:lang w:eastAsia="en-US"/>
              </w:rPr>
              <w:t>安全操作规程</w:t>
            </w:r>
          </w:p>
        </w:tc>
      </w:tr>
      <w:tr w14:paraId="1954AFC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7E855386">
            <w:pPr>
              <w:pStyle w:val="59"/>
              <w:bidi w:val="0"/>
              <w:jc w:val="center"/>
              <w:rPr>
                <w:lang w:eastAsia="en-US"/>
              </w:rPr>
            </w:pPr>
            <w:r>
              <w:rPr>
                <w:lang w:eastAsia="en-US"/>
              </w:rPr>
              <w:t>3</w:t>
            </w:r>
          </w:p>
        </w:tc>
        <w:tc>
          <w:tcPr>
            <w:tcW w:w="3828" w:type="dxa"/>
            <w:noWrap w:val="0"/>
            <w:vAlign w:val="center"/>
          </w:tcPr>
          <w:p w14:paraId="28B81447">
            <w:pPr>
              <w:pStyle w:val="59"/>
              <w:bidi w:val="0"/>
              <w:rPr>
                <w:lang w:eastAsia="en-US"/>
              </w:rPr>
            </w:pPr>
            <w:r>
              <w:rPr>
                <w:lang w:eastAsia="en-US"/>
              </w:rPr>
              <w:t>爆破</w:t>
            </w:r>
            <w:r>
              <w:rPr>
                <w:rFonts w:hint="eastAsia"/>
                <w:lang w:val="en-US" w:eastAsia="zh-CN"/>
              </w:rPr>
              <w:t>操作人员</w:t>
            </w:r>
            <w:r>
              <w:rPr>
                <w:lang w:eastAsia="en-US"/>
              </w:rPr>
              <w:t>安全操作规程</w:t>
            </w:r>
          </w:p>
        </w:tc>
        <w:tc>
          <w:tcPr>
            <w:tcW w:w="849" w:type="dxa"/>
            <w:noWrap w:val="0"/>
            <w:vAlign w:val="center"/>
          </w:tcPr>
          <w:p w14:paraId="0F96E2EC">
            <w:pPr>
              <w:pStyle w:val="59"/>
              <w:bidi w:val="0"/>
              <w:jc w:val="center"/>
              <w:rPr>
                <w:lang w:eastAsia="en-US"/>
              </w:rPr>
            </w:pPr>
            <w:r>
              <w:rPr>
                <w:lang w:eastAsia="en-US"/>
              </w:rPr>
              <w:t>4</w:t>
            </w:r>
          </w:p>
        </w:tc>
        <w:tc>
          <w:tcPr>
            <w:tcW w:w="3970" w:type="dxa"/>
            <w:noWrap w:val="0"/>
            <w:vAlign w:val="center"/>
          </w:tcPr>
          <w:p w14:paraId="6D71C01E">
            <w:pPr>
              <w:pStyle w:val="59"/>
              <w:bidi w:val="0"/>
              <w:rPr>
                <w:rFonts w:hint="eastAsia"/>
                <w:lang w:eastAsia="en-US"/>
              </w:rPr>
            </w:pPr>
            <w:r>
              <w:rPr>
                <w:rFonts w:hint="eastAsia"/>
                <w:lang w:val="en-US" w:eastAsia="en-US"/>
              </w:rPr>
              <w:t>挖掘机</w:t>
            </w:r>
            <w:r>
              <w:rPr>
                <w:rFonts w:hint="eastAsia"/>
                <w:lang w:val="en-US" w:eastAsia="zh-CN"/>
              </w:rPr>
              <w:t>操作人员</w:t>
            </w:r>
            <w:r>
              <w:rPr>
                <w:rFonts w:hint="eastAsia"/>
                <w:lang w:val="en-US" w:eastAsia="en-US"/>
              </w:rPr>
              <w:t>操作规程</w:t>
            </w:r>
          </w:p>
        </w:tc>
      </w:tr>
      <w:tr w14:paraId="2CC713F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44EF66C6">
            <w:pPr>
              <w:pStyle w:val="59"/>
              <w:bidi w:val="0"/>
              <w:jc w:val="center"/>
              <w:rPr>
                <w:lang w:eastAsia="en-US"/>
              </w:rPr>
            </w:pPr>
            <w:r>
              <w:rPr>
                <w:lang w:eastAsia="en-US"/>
              </w:rPr>
              <w:t>5</w:t>
            </w:r>
          </w:p>
        </w:tc>
        <w:tc>
          <w:tcPr>
            <w:tcW w:w="3828" w:type="dxa"/>
            <w:noWrap w:val="0"/>
            <w:vAlign w:val="center"/>
          </w:tcPr>
          <w:p w14:paraId="71904B35">
            <w:pPr>
              <w:pStyle w:val="59"/>
              <w:bidi w:val="0"/>
              <w:rPr>
                <w:lang w:eastAsia="en-US"/>
              </w:rPr>
            </w:pPr>
            <w:r>
              <w:rPr>
                <w:rFonts w:hint="eastAsia"/>
                <w:lang w:val="en-US" w:eastAsia="en-US"/>
              </w:rPr>
              <w:t>装载机</w:t>
            </w:r>
            <w:r>
              <w:rPr>
                <w:rFonts w:hint="eastAsia"/>
                <w:lang w:val="en-US" w:eastAsia="zh-CN"/>
              </w:rPr>
              <w:t>操作人员</w:t>
            </w:r>
            <w:r>
              <w:rPr>
                <w:rFonts w:hint="eastAsia"/>
                <w:lang w:val="en-US" w:eastAsia="en-US"/>
              </w:rPr>
              <w:t>操作规程</w:t>
            </w:r>
          </w:p>
        </w:tc>
        <w:tc>
          <w:tcPr>
            <w:tcW w:w="849" w:type="dxa"/>
            <w:noWrap w:val="0"/>
            <w:vAlign w:val="center"/>
          </w:tcPr>
          <w:p w14:paraId="15F132FF">
            <w:pPr>
              <w:pStyle w:val="59"/>
              <w:bidi w:val="0"/>
              <w:jc w:val="center"/>
              <w:rPr>
                <w:lang w:eastAsia="en-US"/>
              </w:rPr>
            </w:pPr>
            <w:r>
              <w:rPr>
                <w:lang w:eastAsia="en-US"/>
              </w:rPr>
              <w:t>6</w:t>
            </w:r>
          </w:p>
        </w:tc>
        <w:tc>
          <w:tcPr>
            <w:tcW w:w="3970" w:type="dxa"/>
            <w:noWrap w:val="0"/>
            <w:vAlign w:val="center"/>
          </w:tcPr>
          <w:p w14:paraId="57C12176">
            <w:pPr>
              <w:pStyle w:val="59"/>
              <w:bidi w:val="0"/>
              <w:rPr>
                <w:rFonts w:hint="eastAsia"/>
                <w:lang w:eastAsia="en-US"/>
              </w:rPr>
            </w:pPr>
            <w:r>
              <w:rPr>
                <w:rFonts w:hint="eastAsia"/>
                <w:lang w:val="en-US" w:eastAsia="zh-CN"/>
              </w:rPr>
              <w:t>自卸卡车操作人员安全操作规程</w:t>
            </w:r>
          </w:p>
        </w:tc>
      </w:tr>
      <w:tr w14:paraId="462471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5B694218">
            <w:pPr>
              <w:pStyle w:val="59"/>
              <w:bidi w:val="0"/>
              <w:jc w:val="center"/>
              <w:rPr>
                <w:lang w:eastAsia="en-US"/>
              </w:rPr>
            </w:pPr>
            <w:r>
              <w:rPr>
                <w:lang w:eastAsia="en-US"/>
              </w:rPr>
              <w:t>7</w:t>
            </w:r>
          </w:p>
        </w:tc>
        <w:tc>
          <w:tcPr>
            <w:tcW w:w="3828" w:type="dxa"/>
            <w:noWrap w:val="0"/>
            <w:vAlign w:val="center"/>
          </w:tcPr>
          <w:p w14:paraId="1BCB7A48">
            <w:pPr>
              <w:pStyle w:val="59"/>
              <w:bidi w:val="0"/>
              <w:rPr>
                <w:lang w:eastAsia="en-US"/>
              </w:rPr>
            </w:pPr>
            <w:r>
              <w:rPr>
                <w:lang w:eastAsia="en-US"/>
              </w:rPr>
              <w:t>破碎</w:t>
            </w:r>
            <w:r>
              <w:rPr>
                <w:rFonts w:hint="eastAsia"/>
                <w:lang w:val="en-US" w:eastAsia="zh-CN"/>
              </w:rPr>
              <w:t>站操作人员</w:t>
            </w:r>
            <w:r>
              <w:rPr>
                <w:lang w:eastAsia="en-US"/>
              </w:rPr>
              <w:t>安全操作规程</w:t>
            </w:r>
          </w:p>
        </w:tc>
        <w:tc>
          <w:tcPr>
            <w:tcW w:w="849" w:type="dxa"/>
            <w:noWrap w:val="0"/>
            <w:vAlign w:val="center"/>
          </w:tcPr>
          <w:p w14:paraId="2CCE18CC">
            <w:pPr>
              <w:pStyle w:val="59"/>
              <w:bidi w:val="0"/>
              <w:jc w:val="center"/>
              <w:rPr>
                <w:lang w:eastAsia="en-US"/>
              </w:rPr>
            </w:pPr>
            <w:r>
              <w:rPr>
                <w:lang w:eastAsia="en-US"/>
              </w:rPr>
              <w:t>8</w:t>
            </w:r>
          </w:p>
        </w:tc>
        <w:tc>
          <w:tcPr>
            <w:tcW w:w="3970" w:type="dxa"/>
            <w:noWrap w:val="0"/>
            <w:vAlign w:val="center"/>
          </w:tcPr>
          <w:p w14:paraId="0CC710C9">
            <w:pPr>
              <w:pStyle w:val="59"/>
              <w:bidi w:val="0"/>
              <w:rPr>
                <w:lang w:eastAsia="en-US"/>
              </w:rPr>
            </w:pPr>
            <w:r>
              <w:rPr>
                <w:rFonts w:hint="eastAsia"/>
                <w:lang w:val="en-US" w:eastAsia="zh-CN"/>
              </w:rPr>
              <w:t>加</w:t>
            </w:r>
            <w:r>
              <w:rPr>
                <w:rFonts w:hint="eastAsia"/>
              </w:rPr>
              <w:t>油安全操作规程</w:t>
            </w:r>
          </w:p>
        </w:tc>
      </w:tr>
      <w:tr w14:paraId="3AD6247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581567AB">
            <w:pPr>
              <w:pStyle w:val="59"/>
              <w:bidi w:val="0"/>
              <w:jc w:val="center"/>
              <w:rPr>
                <w:lang w:eastAsia="en-US"/>
              </w:rPr>
            </w:pPr>
            <w:r>
              <w:rPr>
                <w:lang w:eastAsia="en-US"/>
              </w:rPr>
              <w:t>9</w:t>
            </w:r>
          </w:p>
        </w:tc>
        <w:tc>
          <w:tcPr>
            <w:tcW w:w="3828" w:type="dxa"/>
            <w:noWrap w:val="0"/>
            <w:vAlign w:val="center"/>
          </w:tcPr>
          <w:p w14:paraId="7B139B07">
            <w:pPr>
              <w:pStyle w:val="59"/>
              <w:bidi w:val="0"/>
              <w:rPr>
                <w:lang w:eastAsia="en-US"/>
              </w:rPr>
            </w:pPr>
            <w:r>
              <w:rPr>
                <w:lang w:eastAsia="en-US"/>
              </w:rPr>
              <w:t>电工安全操作规程</w:t>
            </w:r>
          </w:p>
        </w:tc>
        <w:tc>
          <w:tcPr>
            <w:tcW w:w="849" w:type="dxa"/>
            <w:noWrap w:val="0"/>
            <w:vAlign w:val="center"/>
          </w:tcPr>
          <w:p w14:paraId="7C046545">
            <w:pPr>
              <w:pStyle w:val="59"/>
              <w:bidi w:val="0"/>
              <w:jc w:val="center"/>
              <w:rPr>
                <w:lang w:eastAsia="en-US"/>
              </w:rPr>
            </w:pPr>
            <w:r>
              <w:rPr>
                <w:lang w:eastAsia="en-US"/>
              </w:rPr>
              <w:t>10</w:t>
            </w:r>
          </w:p>
        </w:tc>
        <w:tc>
          <w:tcPr>
            <w:tcW w:w="3970" w:type="dxa"/>
            <w:noWrap w:val="0"/>
            <w:vAlign w:val="center"/>
          </w:tcPr>
          <w:p w14:paraId="5E78556C">
            <w:pPr>
              <w:pStyle w:val="59"/>
              <w:bidi w:val="0"/>
              <w:rPr>
                <w:lang w:eastAsia="en-US"/>
              </w:rPr>
            </w:pPr>
            <w:r>
              <w:rPr>
                <w:lang w:eastAsia="en-US"/>
              </w:rPr>
              <w:t>焊工安全操作规程</w:t>
            </w:r>
          </w:p>
        </w:tc>
      </w:tr>
      <w:tr w14:paraId="413846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51BA6BFE">
            <w:pPr>
              <w:pStyle w:val="59"/>
              <w:bidi w:val="0"/>
              <w:jc w:val="center"/>
              <w:rPr>
                <w:lang w:eastAsia="en-US"/>
              </w:rPr>
            </w:pPr>
            <w:r>
              <w:rPr>
                <w:lang w:eastAsia="en-US"/>
              </w:rPr>
              <w:t>11</w:t>
            </w:r>
          </w:p>
        </w:tc>
        <w:tc>
          <w:tcPr>
            <w:tcW w:w="3828" w:type="dxa"/>
            <w:noWrap w:val="0"/>
            <w:vAlign w:val="center"/>
          </w:tcPr>
          <w:p w14:paraId="71A2918C">
            <w:pPr>
              <w:pStyle w:val="59"/>
              <w:bidi w:val="0"/>
              <w:rPr>
                <w:lang w:eastAsia="en-US"/>
              </w:rPr>
            </w:pPr>
            <w:r>
              <w:rPr>
                <w:lang w:eastAsia="en-US"/>
              </w:rPr>
              <w:t>巡检员安全操作规程</w:t>
            </w:r>
          </w:p>
        </w:tc>
        <w:tc>
          <w:tcPr>
            <w:tcW w:w="849" w:type="dxa"/>
            <w:noWrap w:val="0"/>
            <w:vAlign w:val="center"/>
          </w:tcPr>
          <w:p w14:paraId="01B758A8">
            <w:pPr>
              <w:pStyle w:val="59"/>
              <w:bidi w:val="0"/>
              <w:jc w:val="center"/>
              <w:rPr>
                <w:rFonts w:hint="default"/>
                <w:lang w:val="en-US" w:eastAsia="zh-CN"/>
              </w:rPr>
            </w:pPr>
            <w:r>
              <w:rPr>
                <w:rFonts w:hint="eastAsia"/>
                <w:lang w:val="en-US" w:eastAsia="zh-CN"/>
              </w:rPr>
              <w:t>12</w:t>
            </w:r>
          </w:p>
        </w:tc>
        <w:tc>
          <w:tcPr>
            <w:tcW w:w="3970" w:type="dxa"/>
            <w:noWrap w:val="0"/>
            <w:vAlign w:val="center"/>
          </w:tcPr>
          <w:p w14:paraId="71F4A389">
            <w:pPr>
              <w:pStyle w:val="59"/>
              <w:bidi w:val="0"/>
              <w:rPr>
                <w:lang w:eastAsia="en-US"/>
              </w:rPr>
            </w:pPr>
            <w:r>
              <w:rPr>
                <w:rFonts w:hint="eastAsia"/>
                <w:lang w:val="en-US" w:eastAsia="en-US"/>
              </w:rPr>
              <w:t>供配电设备安全操作规程</w:t>
            </w:r>
          </w:p>
        </w:tc>
      </w:tr>
      <w:tr w14:paraId="21FA629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476" w:hRule="atLeast"/>
        </w:trPr>
        <w:tc>
          <w:tcPr>
            <w:tcW w:w="679" w:type="dxa"/>
            <w:noWrap w:val="0"/>
            <w:vAlign w:val="center"/>
          </w:tcPr>
          <w:p w14:paraId="7C68D3CB">
            <w:pPr>
              <w:pStyle w:val="59"/>
              <w:bidi w:val="0"/>
              <w:jc w:val="center"/>
              <w:rPr>
                <w:rFonts w:hint="default"/>
                <w:lang w:val="en-US" w:eastAsia="zh-CN"/>
              </w:rPr>
            </w:pPr>
            <w:r>
              <w:rPr>
                <w:rFonts w:hint="eastAsia"/>
                <w:lang w:val="en-US" w:eastAsia="zh-CN"/>
              </w:rPr>
              <w:t>13</w:t>
            </w:r>
          </w:p>
        </w:tc>
        <w:tc>
          <w:tcPr>
            <w:tcW w:w="3828" w:type="dxa"/>
            <w:noWrap w:val="0"/>
            <w:vAlign w:val="center"/>
          </w:tcPr>
          <w:p w14:paraId="743422C3">
            <w:pPr>
              <w:pStyle w:val="59"/>
              <w:bidi w:val="0"/>
              <w:rPr>
                <w:lang w:eastAsia="en-US"/>
              </w:rPr>
            </w:pPr>
            <w:r>
              <w:rPr>
                <w:rFonts w:hint="eastAsia"/>
              </w:rPr>
              <w:t>水泵工安全操作规程</w:t>
            </w:r>
          </w:p>
        </w:tc>
        <w:tc>
          <w:tcPr>
            <w:tcW w:w="849" w:type="dxa"/>
            <w:noWrap w:val="0"/>
            <w:vAlign w:val="center"/>
          </w:tcPr>
          <w:p w14:paraId="47F62855">
            <w:pPr>
              <w:pStyle w:val="59"/>
              <w:bidi w:val="0"/>
              <w:jc w:val="center"/>
              <w:rPr>
                <w:lang w:eastAsia="en-US"/>
              </w:rPr>
            </w:pPr>
          </w:p>
        </w:tc>
        <w:tc>
          <w:tcPr>
            <w:tcW w:w="3970" w:type="dxa"/>
            <w:noWrap w:val="0"/>
            <w:vAlign w:val="center"/>
          </w:tcPr>
          <w:p w14:paraId="5F93E9BA">
            <w:pPr>
              <w:pStyle w:val="59"/>
              <w:bidi w:val="0"/>
              <w:rPr>
                <w:rFonts w:hint="eastAsia"/>
                <w:lang w:val="en-US" w:eastAsia="en-US"/>
              </w:rPr>
            </w:pPr>
          </w:p>
        </w:tc>
      </w:tr>
    </w:tbl>
    <w:p w14:paraId="6F13E235">
      <w:pPr>
        <w:pStyle w:val="47"/>
        <w:bidi w:val="0"/>
        <w:rPr>
          <w:lang w:val="en-US" w:eastAsia="en-US"/>
        </w:rPr>
      </w:pPr>
    </w:p>
    <w:p w14:paraId="1DAE1081">
      <w:pPr>
        <w:widowControl/>
        <w:kinsoku w:val="0"/>
        <w:autoSpaceDE w:val="0"/>
        <w:autoSpaceDN w:val="0"/>
        <w:spacing w:line="127" w:lineRule="exact"/>
        <w:ind w:firstLine="0" w:firstLineChars="0"/>
        <w:jc w:val="left"/>
        <w:textAlignment w:val="baseline"/>
        <w:rPr>
          <w:rFonts w:ascii="Arial" w:hAnsi="Arial" w:eastAsia="Arial" w:cs="Arial"/>
          <w:snapToGrid w:val="0"/>
          <w:color w:val="000000"/>
          <w:spacing w:val="0"/>
          <w:kern w:val="0"/>
          <w:sz w:val="21"/>
          <w:szCs w:val="21"/>
          <w:lang w:eastAsia="en-US"/>
        </w:rPr>
      </w:pPr>
    </w:p>
    <w:p w14:paraId="60980C28">
      <w:pPr>
        <w:bidi w:val="0"/>
        <w:rPr>
          <w:lang w:val="en-US" w:eastAsia="en-US"/>
        </w:rPr>
      </w:pPr>
      <w:r>
        <w:rPr>
          <w:rFonts w:hint="eastAsia"/>
          <w:lang w:val="en-US" w:eastAsia="zh-CN"/>
        </w:rPr>
        <w:t>2、</w:t>
      </w:r>
      <w:r>
        <w:rPr>
          <w:lang w:val="en-US" w:eastAsia="en-US"/>
        </w:rPr>
        <w:t>安全管理档案</w:t>
      </w:r>
    </w:p>
    <w:p w14:paraId="0605EBA2">
      <w:pPr>
        <w:bidi w:val="0"/>
        <w:rPr>
          <w:lang w:val="en-US" w:eastAsia="en-US"/>
        </w:rPr>
      </w:pPr>
      <w:r>
        <w:rPr>
          <w:rFonts w:hint="eastAsia"/>
          <w:lang w:val="en-US" w:eastAsia="zh-CN"/>
        </w:rPr>
        <w:t>（1）</w:t>
      </w:r>
      <w:r>
        <w:rPr>
          <w:lang w:val="en-US" w:eastAsia="en-US"/>
        </w:rPr>
        <w:t>安全生产会议记录台账；</w:t>
      </w:r>
    </w:p>
    <w:p w14:paraId="62F2D821">
      <w:pPr>
        <w:bidi w:val="0"/>
        <w:rPr>
          <w:lang w:val="en-US" w:eastAsia="en-US"/>
        </w:rPr>
      </w:pPr>
      <w:r>
        <w:rPr>
          <w:rFonts w:hint="eastAsia"/>
          <w:lang w:val="en-US" w:eastAsia="zh-CN"/>
        </w:rPr>
        <w:t>（2）</w:t>
      </w:r>
      <w:r>
        <w:rPr>
          <w:lang w:val="en-US" w:eastAsia="en-US"/>
        </w:rPr>
        <w:t>安全教育培训记录台账；</w:t>
      </w:r>
    </w:p>
    <w:p w14:paraId="7C3F1491">
      <w:pPr>
        <w:bidi w:val="0"/>
        <w:rPr>
          <w:lang w:val="en-US" w:eastAsia="en-US"/>
        </w:rPr>
      </w:pPr>
      <w:r>
        <w:rPr>
          <w:rFonts w:hint="eastAsia"/>
          <w:lang w:val="en-US" w:eastAsia="zh-CN"/>
        </w:rPr>
        <w:t>（3）</w:t>
      </w:r>
      <w:r>
        <w:rPr>
          <w:lang w:val="en-US" w:eastAsia="en-US"/>
        </w:rPr>
        <w:t>安全设备设施运行检查及维修保养记录台账；</w:t>
      </w:r>
    </w:p>
    <w:p w14:paraId="626EB75A">
      <w:pPr>
        <w:bidi w:val="0"/>
        <w:rPr>
          <w:lang w:val="en-US" w:eastAsia="en-US"/>
        </w:rPr>
      </w:pPr>
      <w:r>
        <w:rPr>
          <w:rFonts w:hint="eastAsia"/>
          <w:lang w:val="en-US" w:eastAsia="zh-CN"/>
        </w:rPr>
        <w:t>（4）</w:t>
      </w:r>
      <w:r>
        <w:rPr>
          <w:lang w:val="en-US" w:eastAsia="en-US"/>
        </w:rPr>
        <w:t>事故隐患排查台账；</w:t>
      </w:r>
    </w:p>
    <w:p w14:paraId="68BFA9FE">
      <w:pPr>
        <w:bidi w:val="0"/>
        <w:rPr>
          <w:lang w:val="en-US" w:eastAsia="en-US"/>
        </w:rPr>
      </w:pPr>
      <w:r>
        <w:rPr>
          <w:rFonts w:hint="eastAsia"/>
          <w:lang w:val="en-US" w:eastAsia="zh-CN"/>
        </w:rPr>
        <w:t>（5）</w:t>
      </w:r>
      <w:r>
        <w:rPr>
          <w:lang w:val="en-US" w:eastAsia="en-US"/>
        </w:rPr>
        <w:t>安全生产检查记录台账；</w:t>
      </w:r>
    </w:p>
    <w:p w14:paraId="52CA1404">
      <w:pPr>
        <w:bidi w:val="0"/>
        <w:rPr>
          <w:lang w:val="en-US" w:eastAsia="en-US"/>
        </w:rPr>
      </w:pPr>
      <w:r>
        <w:rPr>
          <w:rFonts w:hint="eastAsia"/>
          <w:lang w:val="en-US" w:eastAsia="zh-CN"/>
        </w:rPr>
        <w:t>（6）</w:t>
      </w:r>
      <w:r>
        <w:rPr>
          <w:lang w:val="en-US" w:eastAsia="en-US"/>
        </w:rPr>
        <w:t>安全管理投入记录台账；</w:t>
      </w:r>
    </w:p>
    <w:p w14:paraId="5DD05034">
      <w:pPr>
        <w:bidi w:val="0"/>
        <w:rPr>
          <w:lang w:val="en-US" w:eastAsia="en-US"/>
        </w:rPr>
      </w:pPr>
      <w:r>
        <w:rPr>
          <w:rFonts w:hint="eastAsia"/>
          <w:lang w:val="en-US" w:eastAsia="zh-CN"/>
        </w:rPr>
        <w:t>（7）</w:t>
      </w:r>
      <w:r>
        <w:rPr>
          <w:lang w:val="en-US" w:eastAsia="en-US"/>
        </w:rPr>
        <w:t>企业基本情况、人员持证情况、安全生产组织机构台账；</w:t>
      </w:r>
    </w:p>
    <w:p w14:paraId="362D9EB2">
      <w:pPr>
        <w:bidi w:val="0"/>
        <w:rPr>
          <w:lang w:val="en-US" w:eastAsia="en-US"/>
        </w:rPr>
      </w:pPr>
      <w:r>
        <w:rPr>
          <w:rFonts w:hint="eastAsia"/>
          <w:lang w:val="en-US" w:eastAsia="zh-CN"/>
        </w:rPr>
        <w:t>（8）</w:t>
      </w:r>
      <w:r>
        <w:rPr>
          <w:lang w:val="en-US" w:eastAsia="en-US"/>
        </w:rPr>
        <w:t>劳动防护用品采购、发放记录台账；</w:t>
      </w:r>
    </w:p>
    <w:p w14:paraId="66D35527">
      <w:pPr>
        <w:bidi w:val="0"/>
        <w:rPr>
          <w:lang w:val="en-US" w:eastAsia="en-US"/>
        </w:rPr>
      </w:pPr>
      <w:r>
        <w:rPr>
          <w:rFonts w:hint="eastAsia"/>
          <w:lang w:val="en-US" w:eastAsia="zh-CN"/>
        </w:rPr>
        <w:t>（9）</w:t>
      </w:r>
      <w:r>
        <w:rPr>
          <w:lang w:val="en-US" w:eastAsia="en-US"/>
        </w:rPr>
        <w:t>边坡管理台账；</w:t>
      </w:r>
    </w:p>
    <w:p w14:paraId="3EFD6892">
      <w:pPr>
        <w:bidi w:val="0"/>
        <w:rPr>
          <w:lang w:val="en-US" w:eastAsia="en-US"/>
        </w:rPr>
      </w:pPr>
      <w:r>
        <w:rPr>
          <w:rFonts w:hint="eastAsia"/>
          <w:lang w:val="en-US" w:eastAsia="zh-CN"/>
        </w:rPr>
        <w:t>（10）</w:t>
      </w:r>
      <w:r>
        <w:rPr>
          <w:lang w:val="en-US" w:eastAsia="en-US"/>
        </w:rPr>
        <w:t>应急管理台账；</w:t>
      </w:r>
    </w:p>
    <w:p w14:paraId="7E3BD9E1">
      <w:pPr>
        <w:bidi w:val="0"/>
        <w:rPr>
          <w:lang w:val="en-US" w:eastAsia="en-US"/>
        </w:rPr>
      </w:pPr>
      <w:r>
        <w:rPr>
          <w:rFonts w:hint="eastAsia"/>
          <w:lang w:val="en-US" w:eastAsia="zh-CN"/>
        </w:rPr>
        <w:t>（11）</w:t>
      </w:r>
      <w:r>
        <w:rPr>
          <w:lang w:val="en-US" w:eastAsia="en-US"/>
        </w:rPr>
        <w:t>安全生产奖惩台账；</w:t>
      </w:r>
    </w:p>
    <w:p w14:paraId="06A64701">
      <w:pPr>
        <w:bidi w:val="0"/>
        <w:rPr>
          <w:lang w:val="en-US" w:eastAsia="en-US"/>
        </w:rPr>
      </w:pPr>
      <w:r>
        <w:rPr>
          <w:rFonts w:hint="eastAsia"/>
          <w:lang w:val="en-US" w:eastAsia="zh-CN"/>
        </w:rPr>
        <w:t>（12）</w:t>
      </w:r>
      <w:r>
        <w:rPr>
          <w:lang w:val="en-US" w:eastAsia="en-US"/>
        </w:rPr>
        <w:t>新员工</w:t>
      </w:r>
      <w:r>
        <w:rPr>
          <w:rFonts w:hint="eastAsia"/>
          <w:lang w:val="en-US" w:eastAsia="zh-CN"/>
        </w:rPr>
        <w:t>“</w:t>
      </w:r>
      <w:r>
        <w:rPr>
          <w:lang w:val="en-US" w:eastAsia="en-US"/>
        </w:rPr>
        <w:t>三级安全教育培训</w:t>
      </w:r>
      <w:r>
        <w:rPr>
          <w:rFonts w:hint="eastAsia"/>
          <w:lang w:val="en-US" w:eastAsia="zh-CN"/>
        </w:rPr>
        <w:t>”</w:t>
      </w:r>
      <w:r>
        <w:rPr>
          <w:lang w:val="en-US" w:eastAsia="en-US"/>
        </w:rPr>
        <w:t>台账；</w:t>
      </w:r>
    </w:p>
    <w:p w14:paraId="52F18824">
      <w:pPr>
        <w:bidi w:val="0"/>
        <w:rPr>
          <w:lang w:val="en-US" w:eastAsia="en-US"/>
        </w:rPr>
      </w:pPr>
      <w:r>
        <w:rPr>
          <w:rFonts w:hint="eastAsia"/>
          <w:lang w:val="en-US" w:eastAsia="zh-CN"/>
        </w:rPr>
        <w:t>（13）重大危险源监控检测</w:t>
      </w:r>
      <w:r>
        <w:rPr>
          <w:lang w:val="en-US" w:eastAsia="en-US"/>
        </w:rPr>
        <w:t>台账；</w:t>
      </w:r>
    </w:p>
    <w:p w14:paraId="705321CD">
      <w:pPr>
        <w:bidi w:val="0"/>
        <w:rPr>
          <w:lang w:val="en-US" w:eastAsia="en-US"/>
        </w:rPr>
      </w:pPr>
      <w:r>
        <w:rPr>
          <w:rFonts w:hint="eastAsia"/>
          <w:lang w:val="en-US" w:eastAsia="zh-CN"/>
        </w:rPr>
        <w:t>（14）伤亡事故报告</w:t>
      </w:r>
      <w:r>
        <w:rPr>
          <w:lang w:val="en-US" w:eastAsia="en-US"/>
        </w:rPr>
        <w:t>台账；</w:t>
      </w:r>
    </w:p>
    <w:p w14:paraId="7C217959">
      <w:pPr>
        <w:bidi w:val="0"/>
        <w:rPr>
          <w:rFonts w:hint="eastAsia" w:eastAsia="宋体"/>
          <w:lang w:val="en-US" w:eastAsia="zh-CN"/>
        </w:rPr>
      </w:pPr>
      <w:r>
        <w:rPr>
          <w:rFonts w:hint="eastAsia"/>
          <w:lang w:val="en-US" w:eastAsia="zh-CN"/>
        </w:rPr>
        <w:t>（15）特种作业管理记录</w:t>
      </w:r>
      <w:r>
        <w:rPr>
          <w:lang w:val="en-US" w:eastAsia="en-US"/>
        </w:rPr>
        <w:t>记录</w:t>
      </w:r>
      <w:r>
        <w:rPr>
          <w:rFonts w:hint="eastAsia"/>
          <w:lang w:val="en-US" w:eastAsia="zh-CN"/>
        </w:rPr>
        <w:t>。</w:t>
      </w:r>
    </w:p>
    <w:p w14:paraId="73B5C188">
      <w:pPr>
        <w:pStyle w:val="5"/>
        <w:bidi w:val="0"/>
        <w:rPr>
          <w:color w:val="auto"/>
          <w:lang w:val="en-US" w:eastAsia="en-US"/>
        </w:rPr>
      </w:pPr>
      <w:bookmarkStart w:id="236" w:name="_Toc2426"/>
      <w:r>
        <w:rPr>
          <w:color w:val="auto"/>
          <w:lang w:val="en-US" w:eastAsia="en-US"/>
        </w:rPr>
        <w:fldChar w:fldCharType="begin"/>
      </w:r>
      <w:r>
        <w:rPr>
          <w:color w:val="auto"/>
          <w:lang w:val="en-US" w:eastAsia="en-US"/>
        </w:rPr>
        <w:instrText xml:space="preserve"> HYPERLINK "2.4.12.4" </w:instrText>
      </w:r>
      <w:r>
        <w:rPr>
          <w:color w:val="auto"/>
          <w:lang w:val="en-US" w:eastAsia="en-US"/>
        </w:rPr>
        <w:fldChar w:fldCharType="separate"/>
      </w:r>
      <w:r>
        <w:rPr>
          <w:color w:val="auto"/>
          <w:lang w:val="en-US" w:eastAsia="en-US"/>
        </w:rPr>
        <w:t>2.4.12.</w:t>
      </w:r>
      <w:r>
        <w:rPr>
          <w:rFonts w:hint="eastAsia"/>
          <w:color w:val="auto"/>
          <w:lang w:val="en-US" w:eastAsia="zh-CN"/>
        </w:rPr>
        <w:t>6</w:t>
      </w:r>
      <w:r>
        <w:rPr>
          <w:color w:val="auto"/>
          <w:lang w:val="en-US" w:eastAsia="en-US"/>
        </w:rPr>
        <w:fldChar w:fldCharType="end"/>
      </w:r>
      <w:r>
        <w:rPr>
          <w:color w:val="auto"/>
          <w:lang w:val="en-US" w:eastAsia="en-US"/>
        </w:rPr>
        <w:t>应急救援预案编制及备案</w:t>
      </w:r>
      <w:bookmarkEnd w:id="236"/>
    </w:p>
    <w:p w14:paraId="1589D308">
      <w:pPr>
        <w:bidi w:val="0"/>
        <w:rPr>
          <w:color w:val="C00000"/>
          <w:lang w:val="en-US" w:eastAsia="en-US"/>
        </w:rPr>
      </w:pPr>
      <w:r>
        <w:rPr>
          <w:color w:val="auto"/>
          <w:lang w:val="en-US" w:eastAsia="en-US"/>
        </w:rPr>
        <w:t>企业编制了《</w:t>
      </w:r>
      <w:r>
        <w:rPr>
          <w:rFonts w:hint="eastAsia"/>
          <w:color w:val="auto"/>
          <w:szCs w:val="28"/>
          <w:lang w:val="zh-TW" w:eastAsia="zh-CN"/>
        </w:rPr>
        <w:t>广南县城硕矿业有限公司</w:t>
      </w:r>
      <w:r>
        <w:rPr>
          <w:color w:val="auto"/>
          <w:lang w:val="en-US" w:eastAsia="en-US"/>
        </w:rPr>
        <w:t>生产安全事故应急预案》，应急预案于202</w:t>
      </w:r>
      <w:r>
        <w:rPr>
          <w:rFonts w:hint="eastAsia"/>
          <w:color w:val="auto"/>
          <w:lang w:val="en-US" w:eastAsia="zh-CN"/>
        </w:rPr>
        <w:t>6</w:t>
      </w:r>
      <w:r>
        <w:rPr>
          <w:color w:val="auto"/>
          <w:lang w:val="en-US" w:eastAsia="en-US"/>
        </w:rPr>
        <w:t>年</w:t>
      </w:r>
      <w:r>
        <w:rPr>
          <w:rFonts w:hint="eastAsia"/>
          <w:color w:val="auto"/>
          <w:lang w:val="en-US" w:eastAsia="zh-CN"/>
        </w:rPr>
        <w:t>3</w:t>
      </w:r>
      <w:r>
        <w:rPr>
          <w:color w:val="auto"/>
          <w:lang w:val="en-US" w:eastAsia="en-US"/>
        </w:rPr>
        <w:t>月</w:t>
      </w:r>
      <w:r>
        <w:rPr>
          <w:rFonts w:hint="eastAsia"/>
          <w:color w:val="auto"/>
          <w:lang w:val="en-US" w:eastAsia="zh-CN"/>
        </w:rPr>
        <w:t>11</w:t>
      </w:r>
      <w:r>
        <w:rPr>
          <w:color w:val="auto"/>
          <w:lang w:val="en-US" w:eastAsia="en-US"/>
        </w:rPr>
        <w:t>日到广南县应急管理局备案，备案编号：</w:t>
      </w:r>
      <w:r>
        <w:rPr>
          <w:rFonts w:hint="eastAsia"/>
          <w:color w:val="auto"/>
          <w:lang w:val="en-US" w:eastAsia="zh-CN"/>
        </w:rPr>
        <w:t>532627-2026-07</w:t>
      </w:r>
      <w:r>
        <w:rPr>
          <w:color w:val="auto"/>
          <w:lang w:val="en-US" w:eastAsia="en-US"/>
        </w:rPr>
        <w:t>。</w:t>
      </w:r>
    </w:p>
    <w:p w14:paraId="32257189">
      <w:pPr>
        <w:pStyle w:val="5"/>
        <w:bidi w:val="0"/>
        <w:rPr>
          <w:lang w:val="en-US" w:eastAsia="en-US"/>
        </w:rPr>
      </w:pPr>
      <w:bookmarkStart w:id="237" w:name="_Toc1389"/>
      <w:r>
        <w:rPr>
          <w:lang w:val="en-US" w:eastAsia="en-US"/>
        </w:rPr>
        <w:fldChar w:fldCharType="begin"/>
      </w:r>
      <w:r>
        <w:rPr>
          <w:lang w:val="en-US" w:eastAsia="en-US"/>
        </w:rPr>
        <w:instrText xml:space="preserve"> HYPERLINK "2.4.12.5" </w:instrText>
      </w:r>
      <w:r>
        <w:rPr>
          <w:lang w:val="en-US" w:eastAsia="en-US"/>
        </w:rPr>
        <w:fldChar w:fldCharType="separate"/>
      </w:r>
      <w:r>
        <w:rPr>
          <w:lang w:val="en-US" w:eastAsia="en-US"/>
        </w:rPr>
        <w:t>2.4.12.</w:t>
      </w:r>
      <w:r>
        <w:rPr>
          <w:rFonts w:hint="eastAsia"/>
          <w:lang w:val="en-US" w:eastAsia="zh-CN"/>
        </w:rPr>
        <w:t>7</w:t>
      </w:r>
      <w:r>
        <w:rPr>
          <w:lang w:val="en-US" w:eastAsia="en-US"/>
        </w:rPr>
        <w:fldChar w:fldCharType="end"/>
      </w:r>
      <w:r>
        <w:rPr>
          <w:lang w:val="en-US" w:eastAsia="en-US"/>
        </w:rPr>
        <w:t>保险</w:t>
      </w:r>
      <w:bookmarkEnd w:id="237"/>
    </w:p>
    <w:p w14:paraId="0CF70B7A">
      <w:pPr>
        <w:bidi w:val="0"/>
        <w:rPr>
          <w:lang w:val="en-US" w:eastAsia="en-US"/>
        </w:rPr>
      </w:pPr>
      <w:r>
        <w:rPr>
          <w:lang w:val="en-US" w:eastAsia="en-US"/>
        </w:rPr>
        <w:t>矿山已按照《中华人民共和国安全生产法》、《工伤保险条例》的规定为员工购买了工伤保险、</w:t>
      </w:r>
      <w:r>
        <w:rPr>
          <w:rFonts w:hint="eastAsia"/>
          <w:lang w:val="en-US" w:eastAsia="zh-CN"/>
        </w:rPr>
        <w:t>意外伤害</w:t>
      </w:r>
      <w:r>
        <w:rPr>
          <w:lang w:val="en-US" w:eastAsia="en-US"/>
        </w:rPr>
        <w:t>险。</w:t>
      </w:r>
    </w:p>
    <w:p w14:paraId="526DB4A6">
      <w:pPr>
        <w:pStyle w:val="5"/>
        <w:bidi w:val="0"/>
        <w:rPr>
          <w:rFonts w:hint="default"/>
          <w:lang w:val="en-US" w:eastAsia="zh-CN"/>
        </w:rPr>
      </w:pPr>
      <w:bookmarkStart w:id="238" w:name="_Toc15051"/>
      <w:r>
        <w:rPr>
          <w:lang w:val="en-US" w:eastAsia="en-US"/>
        </w:rPr>
        <w:fldChar w:fldCharType="begin"/>
      </w:r>
      <w:r>
        <w:rPr>
          <w:lang w:val="en-US" w:eastAsia="en-US"/>
        </w:rPr>
        <w:instrText xml:space="preserve"> HYPERLINK "2.4.12.6" </w:instrText>
      </w:r>
      <w:r>
        <w:rPr>
          <w:lang w:val="en-US" w:eastAsia="en-US"/>
        </w:rPr>
        <w:fldChar w:fldCharType="separate"/>
      </w:r>
      <w:r>
        <w:rPr>
          <w:lang w:val="en-US" w:eastAsia="en-US"/>
        </w:rPr>
        <w:t>2.4.12.</w:t>
      </w:r>
      <w:r>
        <w:rPr>
          <w:rFonts w:hint="eastAsia"/>
          <w:lang w:val="en-US" w:eastAsia="zh-CN"/>
        </w:rPr>
        <w:t>8</w:t>
      </w:r>
      <w:r>
        <w:rPr>
          <w:lang w:val="en-US" w:eastAsia="en-US"/>
        </w:rPr>
        <w:fldChar w:fldCharType="end"/>
      </w:r>
      <w:r>
        <w:rPr>
          <w:rFonts w:hint="eastAsia"/>
          <w:lang w:val="en-US" w:eastAsia="zh-CN"/>
        </w:rPr>
        <w:t>矿山工作制度</w:t>
      </w:r>
    </w:p>
    <w:p w14:paraId="50B66F08">
      <w:pPr>
        <w:bidi w:val="0"/>
        <w:rPr>
          <w:lang w:val="zh-TW" w:eastAsia="zh-TW"/>
        </w:rPr>
      </w:pPr>
      <w:r>
        <w:rPr>
          <w:lang w:val="zh-TW" w:eastAsia="zh-TW"/>
        </w:rPr>
        <w:t>矿区采剥</w:t>
      </w:r>
      <w:r>
        <w:rPr>
          <w:lang w:val="zh-TW" w:eastAsia="zh-CN"/>
        </w:rPr>
        <w:t>、切割</w:t>
      </w:r>
      <w:r>
        <w:rPr>
          <w:lang w:val="zh-TW" w:eastAsia="zh-TW"/>
        </w:rPr>
        <w:t>作业采用间断工作制，年工作300天，每天工作</w:t>
      </w:r>
      <w:r>
        <w:rPr>
          <w:lang w:val="en-US" w:eastAsia="zh-CN"/>
        </w:rPr>
        <w:t>一</w:t>
      </w:r>
      <w:r>
        <w:rPr>
          <w:lang w:val="zh-TW" w:eastAsia="zh-TW"/>
        </w:rPr>
        <w:t>班，每班工作8小时。辅助作业每天工作一班。</w:t>
      </w:r>
    </w:p>
    <w:p w14:paraId="52292D16">
      <w:pPr>
        <w:pStyle w:val="5"/>
        <w:bidi w:val="0"/>
      </w:pPr>
      <w:r>
        <w:rPr>
          <w:lang w:val="en-US" w:eastAsia="en-US"/>
        </w:rPr>
        <w:fldChar w:fldCharType="begin"/>
      </w:r>
      <w:r>
        <w:rPr>
          <w:lang w:val="en-US" w:eastAsia="en-US"/>
        </w:rPr>
        <w:instrText xml:space="preserve"> HYPERLINK "2.4.12.6" </w:instrText>
      </w:r>
      <w:r>
        <w:rPr>
          <w:lang w:val="en-US" w:eastAsia="en-US"/>
        </w:rPr>
        <w:fldChar w:fldCharType="separate"/>
      </w:r>
      <w:r>
        <w:rPr>
          <w:lang w:val="en-US" w:eastAsia="en-US"/>
        </w:rPr>
        <w:t>2.4.12.</w:t>
      </w:r>
      <w:r>
        <w:rPr>
          <w:rFonts w:hint="eastAsia"/>
          <w:lang w:val="en-US" w:eastAsia="zh-CN"/>
        </w:rPr>
        <w:t>9</w:t>
      </w:r>
      <w:r>
        <w:rPr>
          <w:lang w:val="en-US" w:eastAsia="en-US"/>
        </w:rPr>
        <w:fldChar w:fldCharType="end"/>
      </w:r>
      <w:bookmarkEnd w:id="238"/>
      <w:bookmarkStart w:id="239" w:name="_Toc18379"/>
      <w:r>
        <w:rPr>
          <w:rFonts w:hint="eastAsia"/>
        </w:rPr>
        <w:t>智能矿山建设</w:t>
      </w:r>
      <w:bookmarkEnd w:id="239"/>
      <w:r>
        <w:rPr>
          <w:rFonts w:hint="eastAsia"/>
          <w:lang w:val="en-US" w:eastAsia="zh-CN"/>
        </w:rPr>
        <w:t>及边坡监测</w:t>
      </w:r>
    </w:p>
    <w:p w14:paraId="1B2AA6B4">
      <w:pPr>
        <w:bidi w:val="0"/>
      </w:pPr>
      <w:r>
        <w:rPr>
          <w:rFonts w:hint="eastAsia"/>
          <w:lang w:val="en-US" w:eastAsia="zh-CN"/>
        </w:rPr>
        <w:t>1、</w:t>
      </w:r>
      <w:r>
        <w:rPr>
          <w:rFonts w:hint="eastAsia"/>
        </w:rPr>
        <w:t>智能矿山建设</w:t>
      </w:r>
    </w:p>
    <w:p w14:paraId="3D4393CF">
      <w:r>
        <w:rPr>
          <w:rFonts w:hint="eastAsia"/>
        </w:rPr>
        <w:t>矿山开展智能化建设工作，并结合矿山实际情况，矿山</w:t>
      </w:r>
      <w:r>
        <w:rPr>
          <w:rFonts w:hint="eastAsia"/>
          <w:lang w:val="en-US" w:eastAsia="zh-CN"/>
        </w:rPr>
        <w:t>建立了边坡监测</w:t>
      </w:r>
      <w:r>
        <w:rPr>
          <w:rFonts w:hint="eastAsia"/>
        </w:rPr>
        <w:t>数据管理工作簿、边坡监测管理系统。</w:t>
      </w:r>
    </w:p>
    <w:p w14:paraId="3823011F">
      <w:r>
        <w:rPr>
          <w:rFonts w:hint="eastAsia"/>
        </w:rPr>
        <w:t>（1）数字化动态生产数据管理工作簿</w:t>
      </w:r>
    </w:p>
    <w:p w14:paraId="2C6C86CE">
      <w:r>
        <w:rPr>
          <w:rFonts w:hint="eastAsia"/>
        </w:rPr>
        <w:t>矿山在进行安全标准化实践过程中，对矿山每日安全巡检、设备检修等安全生产情况进行台账汇总，矿山建立</w:t>
      </w:r>
      <w:r>
        <w:rPr>
          <w:rFonts w:hint="eastAsia"/>
          <w:lang w:val="en-US" w:eastAsia="zh-CN"/>
        </w:rPr>
        <w:t>边坡监测等</w:t>
      </w:r>
      <w:r>
        <w:rPr>
          <w:rFonts w:hint="eastAsia"/>
        </w:rPr>
        <w:t>生产动态数据管理工作簿，把以上纸质台账进行数字化，并实现实时上传更新。方便矿山进行不同时段、不同区域的安全生产信息横纵对比，帮助矿山更好的进行安全生产管理工作。</w:t>
      </w:r>
    </w:p>
    <w:p w14:paraId="605FB4A1">
      <w:r>
        <w:rPr>
          <w:rFonts w:hint="eastAsia"/>
        </w:rPr>
        <w:t>（2）边坡监测管理系统</w:t>
      </w:r>
    </w:p>
    <w:p w14:paraId="07BF3B88">
      <w:r>
        <w:rPr>
          <w:rFonts w:hint="eastAsia"/>
        </w:rPr>
        <w:t>矿山建立健全边坡监测管理系统，实现矿山边坡监测的数字化管理</w:t>
      </w:r>
      <w:r>
        <w:rPr>
          <w:rFonts w:hint="eastAsia"/>
          <w:lang w:eastAsia="zh-CN"/>
        </w:rPr>
        <w:t>。</w:t>
      </w:r>
      <w:r>
        <w:rPr>
          <w:rFonts w:hint="eastAsia"/>
          <w:lang w:val="en-US" w:eastAsia="zh-CN"/>
        </w:rPr>
        <w:t>通过人工和仪器对边坡监测，获取监测数据，</w:t>
      </w:r>
      <w:r>
        <w:rPr>
          <w:rFonts w:hint="eastAsia"/>
        </w:rPr>
        <w:t>通过互联网、大数据对矿山边坡监测数据进行实时整理分析，做到及时对矿山进行危险预警，保障矿山安全生产。</w:t>
      </w:r>
    </w:p>
    <w:p w14:paraId="12705E6F">
      <w:pPr>
        <w:adjustRightInd w:val="0"/>
        <w:snapToGrid w:val="0"/>
        <w:ind w:firstLine="560"/>
      </w:pPr>
      <w:r>
        <w:rPr>
          <w:rFonts w:hint="eastAsia"/>
          <w:lang w:val="en-US" w:eastAsia="zh-CN"/>
        </w:rPr>
        <w:t>2、</w:t>
      </w:r>
      <w:r>
        <w:rPr>
          <w:rFonts w:hint="eastAsia"/>
        </w:rPr>
        <w:t>边坡监测</w:t>
      </w:r>
    </w:p>
    <w:p w14:paraId="57688A23">
      <w:pPr>
        <w:adjustRightInd w:val="0"/>
        <w:snapToGrid w:val="0"/>
        <w:ind w:firstLine="560"/>
        <w:rPr>
          <w:rFonts w:hint="eastAsia" w:ascii="Times New Roman" w:hAnsi="Times New Roman" w:cs="Times New Roman"/>
          <w:color w:val="auto"/>
          <w:lang w:eastAsia="zh-CN"/>
        </w:rPr>
      </w:pPr>
      <w:r>
        <w:rPr>
          <w:rFonts w:hint="default" w:ascii="Times New Roman" w:hAnsi="Times New Roman" w:cs="Times New Roman"/>
          <w:color w:val="auto"/>
        </w:rPr>
        <w:t>边坡安全监测</w:t>
      </w:r>
      <w:r>
        <w:rPr>
          <w:rFonts w:hint="eastAsia" w:ascii="Times New Roman" w:hAnsi="Times New Roman" w:cs="Times New Roman"/>
          <w:color w:val="auto"/>
          <w:lang w:val="en-US" w:eastAsia="zh-CN"/>
        </w:rPr>
        <w:t>为二</w:t>
      </w:r>
      <w:r>
        <w:rPr>
          <w:rFonts w:hint="default" w:ascii="Times New Roman" w:hAnsi="Times New Roman" w:cs="Times New Roman"/>
          <w:color w:val="auto"/>
        </w:rPr>
        <w:t>级，应监测对象为表面位移、爆破振动</w:t>
      </w:r>
      <w:r>
        <w:rPr>
          <w:rFonts w:hint="default" w:ascii="Times New Roman" w:hAnsi="Times New Roman" w:cs="Times New Roman"/>
          <w:color w:val="auto"/>
          <w:lang w:eastAsia="zh-CN"/>
        </w:rPr>
        <w:t>（</w:t>
      </w:r>
      <w:r>
        <w:rPr>
          <w:rFonts w:hint="default" w:ascii="Times New Roman" w:hAnsi="Times New Roman" w:cs="Times New Roman"/>
          <w:color w:val="auto"/>
        </w:rPr>
        <w:t>质点速度</w:t>
      </w:r>
      <w:r>
        <w:rPr>
          <w:rFonts w:hint="default" w:ascii="Times New Roman" w:hAnsi="Times New Roman" w:cs="Times New Roman"/>
          <w:color w:val="auto"/>
          <w:lang w:eastAsia="zh-CN"/>
        </w:rPr>
        <w:t>）、</w:t>
      </w:r>
      <w:r>
        <w:rPr>
          <w:rFonts w:hint="default" w:ascii="Times New Roman" w:hAnsi="Times New Roman" w:cs="Times New Roman"/>
          <w:color w:val="auto"/>
        </w:rPr>
        <w:t>降雨量及视频监控</w:t>
      </w:r>
      <w:r>
        <w:rPr>
          <w:rFonts w:hint="eastAsia" w:ascii="Times New Roman" w:hAnsi="Times New Roman" w:cs="Times New Roman"/>
          <w:color w:val="auto"/>
          <w:lang w:eastAsia="zh-CN"/>
        </w:rPr>
        <w:t>。</w:t>
      </w:r>
    </w:p>
    <w:p w14:paraId="1F94FEFF">
      <w:pPr>
        <w:bidi w:val="0"/>
        <w:rPr>
          <w:rFonts w:hint="eastAsia"/>
          <w:lang w:val="en-US" w:eastAsia="zh-CN"/>
        </w:rPr>
      </w:pPr>
      <w:r>
        <w:rPr>
          <w:rFonts w:hint="eastAsia"/>
          <w:lang w:val="en-US" w:eastAsia="zh-CN"/>
        </w:rPr>
        <w:t>（1）</w:t>
      </w:r>
      <w:r>
        <w:rPr>
          <w:rFonts w:hint="default"/>
          <w:lang w:val="en-US" w:eastAsia="zh-CN"/>
        </w:rPr>
        <w:t>监测方法</w:t>
      </w:r>
      <w:r>
        <w:rPr>
          <w:rFonts w:hint="eastAsia"/>
          <w:lang w:val="en-US" w:eastAsia="zh-CN"/>
        </w:rPr>
        <w:t>和监测内容有：</w:t>
      </w:r>
    </w:p>
    <w:p w14:paraId="4F1CEAEA">
      <w:pPr>
        <w:bidi w:val="0"/>
        <w:rPr>
          <w:rFonts w:hint="default"/>
        </w:rPr>
      </w:pPr>
      <w:r>
        <w:rPr>
          <w:rFonts w:hint="eastAsia" w:ascii="微软雅黑" w:hAnsi="微软雅黑" w:eastAsia="微软雅黑" w:cs="微软雅黑"/>
        </w:rPr>
        <w:t>①</w:t>
      </w:r>
      <w:r>
        <w:rPr>
          <w:rFonts w:hint="default"/>
        </w:rPr>
        <w:t>采用RTK测量仪人工监测表面位移。</w:t>
      </w:r>
    </w:p>
    <w:p w14:paraId="68578C7B">
      <w:pPr>
        <w:bidi w:val="0"/>
        <w:rPr>
          <w:rFonts w:hint="default"/>
        </w:rPr>
      </w:pPr>
      <w:r>
        <w:rPr>
          <w:rFonts w:hint="eastAsia" w:ascii="微软雅黑" w:hAnsi="微软雅黑" w:eastAsia="微软雅黑" w:cs="微软雅黑"/>
          <w:lang w:val="en-US" w:eastAsia="zh-CN"/>
        </w:rPr>
        <w:t>②</w:t>
      </w:r>
      <w:r>
        <w:rPr>
          <w:rFonts w:hint="eastAsia"/>
          <w:lang w:val="en-US" w:eastAsia="zh-CN"/>
        </w:rPr>
        <w:t>采用</w:t>
      </w:r>
      <w:r>
        <w:rPr>
          <w:rFonts w:hint="default"/>
        </w:rPr>
        <w:t>移动式爆破测振仪</w:t>
      </w:r>
      <w:r>
        <w:rPr>
          <w:rFonts w:hint="eastAsia"/>
          <w:lang w:val="en-US" w:eastAsia="zh-CN"/>
        </w:rPr>
        <w:t>监测</w:t>
      </w:r>
      <w:r>
        <w:rPr>
          <w:rFonts w:hint="default"/>
        </w:rPr>
        <w:t>爆破振动。</w:t>
      </w:r>
    </w:p>
    <w:p w14:paraId="749603E0">
      <w:pPr>
        <w:bidi w:val="0"/>
        <w:rPr>
          <w:rFonts w:hint="default"/>
        </w:rPr>
      </w:pPr>
      <w:r>
        <w:rPr>
          <w:rFonts w:hint="eastAsia" w:ascii="微软雅黑" w:hAnsi="微软雅黑" w:eastAsia="微软雅黑" w:cs="微软雅黑"/>
        </w:rPr>
        <w:t>③</w:t>
      </w:r>
      <w:r>
        <w:rPr>
          <w:rFonts w:hint="default"/>
        </w:rPr>
        <w:t>采用降雨量监测仪</w:t>
      </w:r>
      <w:r>
        <w:rPr>
          <w:rFonts w:hint="eastAsia"/>
          <w:lang w:val="en-US" w:eastAsia="zh-CN"/>
        </w:rPr>
        <w:t>监测</w:t>
      </w:r>
      <w:r>
        <w:rPr>
          <w:rFonts w:hint="default"/>
        </w:rPr>
        <w:t>降雨量。</w:t>
      </w:r>
    </w:p>
    <w:p w14:paraId="08177076">
      <w:pPr>
        <w:bidi w:val="0"/>
        <w:rPr>
          <w:rFonts w:hint="default"/>
        </w:rPr>
      </w:pPr>
      <w:r>
        <w:rPr>
          <w:rFonts w:hint="eastAsia" w:ascii="微软雅黑" w:hAnsi="微软雅黑" w:eastAsia="微软雅黑" w:cs="微软雅黑"/>
        </w:rPr>
        <w:t>④</w:t>
      </w:r>
      <w:r>
        <w:rPr>
          <w:rFonts w:hint="default"/>
        </w:rPr>
        <w:t>视频监控由前端摄像头、视频监控平台组成。</w:t>
      </w:r>
    </w:p>
    <w:p w14:paraId="1F414843">
      <w:pPr>
        <w:bidi w:val="0"/>
        <w:rPr>
          <w:rFonts w:hint="eastAsia"/>
          <w:lang w:val="en-US" w:eastAsia="zh-CN"/>
        </w:rPr>
      </w:pPr>
      <w:r>
        <w:rPr>
          <w:rFonts w:hint="eastAsia"/>
          <w:lang w:val="en-US" w:eastAsia="zh-CN"/>
        </w:rPr>
        <w:t>3、</w:t>
      </w:r>
      <w:r>
        <w:rPr>
          <w:lang w:val="en-US" w:eastAsia="en-US"/>
        </w:rPr>
        <w:t>日常安全检查</w:t>
      </w:r>
    </w:p>
    <w:p w14:paraId="61BFD926">
      <w:pPr>
        <w:bidi w:val="0"/>
        <w:rPr>
          <w:lang w:val="en-US" w:eastAsia="en-US"/>
        </w:rPr>
      </w:pPr>
      <w:r>
        <w:rPr>
          <w:lang w:val="en-US" w:eastAsia="en-US"/>
        </w:rPr>
        <w:t>矿山</w:t>
      </w:r>
      <w:r>
        <w:rPr>
          <w:rFonts w:hint="eastAsia"/>
          <w:lang w:val="en-US" w:eastAsia="zh-CN"/>
        </w:rPr>
        <w:t>由</w:t>
      </w:r>
      <w:r>
        <w:rPr>
          <w:lang w:val="en-US" w:eastAsia="en-US"/>
        </w:rPr>
        <w:t>专职安全员负责矿山的日常安全检查。</w:t>
      </w:r>
    </w:p>
    <w:p w14:paraId="3E594120">
      <w:pPr>
        <w:bidi w:val="0"/>
        <w:rPr>
          <w:rFonts w:hint="default" w:eastAsia="宋体"/>
          <w:lang w:val="en-US" w:eastAsia="zh-CN"/>
        </w:rPr>
      </w:pPr>
      <w:r>
        <w:rPr>
          <w:rFonts w:hint="eastAsia"/>
          <w:lang w:val="en-US" w:eastAsia="zh-CN"/>
        </w:rPr>
        <w:t>4、建设情况：矿山采用仪器和人工结合开展矿山监测，填写边坡监测记录。</w:t>
      </w:r>
    </w:p>
    <w:p w14:paraId="7C6187D6">
      <w:pPr>
        <w:pStyle w:val="4"/>
        <w:bidi w:val="0"/>
        <w:rPr>
          <w:lang w:val="en-US" w:eastAsia="en-US"/>
        </w:rPr>
      </w:pPr>
      <w:bookmarkStart w:id="240" w:name="_Toc20744"/>
      <w:bookmarkStart w:id="241" w:name="_Toc17091"/>
      <w:r>
        <w:rPr>
          <w:lang w:val="en-US" w:eastAsia="en-US"/>
        </w:rPr>
        <w:t>2.4.13安全设施投入</w:t>
      </w:r>
      <w:bookmarkEnd w:id="240"/>
      <w:bookmarkEnd w:id="241"/>
    </w:p>
    <w:p w14:paraId="23249BEA">
      <w:pPr>
        <w:bidi w:val="0"/>
        <w:rPr>
          <w:lang w:val="en-US" w:eastAsia="en-US"/>
        </w:rPr>
      </w:pPr>
      <w:r>
        <w:rPr>
          <w:lang w:val="en-US" w:eastAsia="en-US"/>
        </w:rPr>
        <w:t>矿山安全设施投入一览表见表2</w:t>
      </w:r>
      <w:r>
        <w:rPr>
          <w:rFonts w:hint="eastAsia"/>
          <w:lang w:val="en-US" w:eastAsia="zh-CN"/>
        </w:rPr>
        <w:t>.4</w:t>
      </w:r>
      <w:r>
        <w:rPr>
          <w:lang w:val="en-US" w:eastAsia="en-US"/>
        </w:rPr>
        <w:t>-</w:t>
      </w:r>
      <w:r>
        <w:rPr>
          <w:rFonts w:hint="eastAsia"/>
          <w:lang w:val="en-US" w:eastAsia="zh-CN"/>
        </w:rPr>
        <w:t>9</w:t>
      </w:r>
      <w:r>
        <w:rPr>
          <w:lang w:val="en-US" w:eastAsia="en-US"/>
        </w:rPr>
        <w:t>。</w:t>
      </w:r>
    </w:p>
    <w:p w14:paraId="14D7C8F5">
      <w:pPr>
        <w:pStyle w:val="47"/>
        <w:bidi w:val="0"/>
        <w:rPr>
          <w:lang w:val="en-US" w:eastAsia="en-US"/>
        </w:rPr>
      </w:pPr>
      <w:r>
        <w:rPr>
          <w:lang w:val="en-US" w:eastAsia="en-US"/>
        </w:rPr>
        <w:t>表2</w:t>
      </w:r>
      <w:r>
        <w:rPr>
          <w:rFonts w:hint="eastAsia"/>
          <w:lang w:val="en-US" w:eastAsia="zh-CN"/>
        </w:rPr>
        <w:t>.4</w:t>
      </w:r>
      <w:r>
        <w:rPr>
          <w:lang w:val="en-US" w:eastAsia="en-US"/>
        </w:rPr>
        <w:t>-</w:t>
      </w:r>
      <w:r>
        <w:rPr>
          <w:rFonts w:hint="eastAsia"/>
          <w:lang w:val="en-US" w:eastAsia="zh-CN"/>
        </w:rPr>
        <w:t>9</w:t>
      </w:r>
      <w:r>
        <w:rPr>
          <w:lang w:val="en-US" w:eastAsia="en-US"/>
        </w:rPr>
        <w:t>矿山建设情况安全设施投资表</w:t>
      </w:r>
    </w:p>
    <w:tbl>
      <w:tblPr>
        <w:tblStyle w:val="35"/>
        <w:tblW w:w="924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2"/>
        <w:gridCol w:w="1896"/>
        <w:gridCol w:w="3573"/>
        <w:gridCol w:w="1052"/>
        <w:gridCol w:w="2156"/>
      </w:tblGrid>
      <w:tr w14:paraId="0DE770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restart"/>
            <w:vAlign w:val="center"/>
          </w:tcPr>
          <w:p w14:paraId="7F2816D3">
            <w:pPr>
              <w:pStyle w:val="47"/>
              <w:bidi w:val="0"/>
              <w:rPr>
                <w:color w:val="auto"/>
                <w:lang w:val="en-US" w:eastAsia="zh-CN"/>
              </w:rPr>
            </w:pPr>
            <w:r>
              <w:rPr>
                <w:color w:val="auto"/>
                <w:lang w:val="en-US" w:eastAsia="zh-CN"/>
              </w:rPr>
              <w:t>序号</w:t>
            </w:r>
          </w:p>
        </w:tc>
        <w:tc>
          <w:tcPr>
            <w:tcW w:w="1896" w:type="dxa"/>
            <w:vMerge w:val="restart"/>
            <w:vAlign w:val="center"/>
          </w:tcPr>
          <w:p w14:paraId="6329D7FF">
            <w:pPr>
              <w:pStyle w:val="47"/>
              <w:bidi w:val="0"/>
              <w:rPr>
                <w:color w:val="auto"/>
                <w:lang w:val="en-US" w:eastAsia="zh-CN"/>
              </w:rPr>
            </w:pPr>
            <w:r>
              <w:rPr>
                <w:rFonts w:hint="eastAsia"/>
                <w:color w:val="auto"/>
                <w:lang w:val="en-US" w:eastAsia="zh-CN"/>
              </w:rPr>
              <w:t>名称</w:t>
            </w:r>
          </w:p>
        </w:tc>
        <w:tc>
          <w:tcPr>
            <w:tcW w:w="3573" w:type="dxa"/>
            <w:vMerge w:val="restart"/>
            <w:vAlign w:val="center"/>
          </w:tcPr>
          <w:p w14:paraId="45739EBB">
            <w:pPr>
              <w:pStyle w:val="47"/>
              <w:bidi w:val="0"/>
              <w:rPr>
                <w:color w:val="auto"/>
                <w:lang w:val="en-US" w:eastAsia="zh-CN"/>
              </w:rPr>
            </w:pPr>
            <w:r>
              <w:rPr>
                <w:rFonts w:hint="eastAsia"/>
                <w:color w:val="auto"/>
                <w:lang w:val="en-US" w:eastAsia="zh-CN"/>
              </w:rPr>
              <w:t>描述</w:t>
            </w:r>
          </w:p>
        </w:tc>
        <w:tc>
          <w:tcPr>
            <w:tcW w:w="1052" w:type="dxa"/>
            <w:vAlign w:val="center"/>
          </w:tcPr>
          <w:p w14:paraId="5AA71933">
            <w:pPr>
              <w:pStyle w:val="47"/>
              <w:bidi w:val="0"/>
              <w:rPr>
                <w:color w:val="auto"/>
                <w:lang w:val="en-US" w:eastAsia="zh-CN"/>
              </w:rPr>
            </w:pPr>
            <w:r>
              <w:rPr>
                <w:rFonts w:hint="eastAsia"/>
                <w:color w:val="auto"/>
                <w:lang w:val="en-US" w:eastAsia="zh-CN"/>
              </w:rPr>
              <w:t>投资</w:t>
            </w:r>
          </w:p>
        </w:tc>
        <w:tc>
          <w:tcPr>
            <w:tcW w:w="2156" w:type="dxa"/>
            <w:vMerge w:val="restart"/>
            <w:vAlign w:val="center"/>
          </w:tcPr>
          <w:p w14:paraId="1E9B07E3">
            <w:pPr>
              <w:pStyle w:val="47"/>
              <w:bidi w:val="0"/>
              <w:rPr>
                <w:color w:val="auto"/>
                <w:lang w:val="en-US" w:eastAsia="zh-CN"/>
              </w:rPr>
            </w:pPr>
            <w:r>
              <w:rPr>
                <w:rFonts w:hint="eastAsia"/>
                <w:color w:val="auto"/>
                <w:lang w:val="en-US" w:eastAsia="zh-CN"/>
              </w:rPr>
              <w:t>说明</w:t>
            </w:r>
          </w:p>
        </w:tc>
      </w:tr>
      <w:tr w14:paraId="342623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tcBorders>
              <w:bottom w:val="single" w:color="auto" w:sz="4" w:space="0"/>
            </w:tcBorders>
            <w:vAlign w:val="center"/>
          </w:tcPr>
          <w:p w14:paraId="36F0F714">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tcBorders>
              <w:bottom w:val="single" w:color="auto" w:sz="4" w:space="0"/>
            </w:tcBorders>
            <w:vAlign w:val="center"/>
          </w:tcPr>
          <w:p w14:paraId="45E8157D">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Merge w:val="continue"/>
            <w:tcBorders>
              <w:bottom w:val="single" w:color="auto" w:sz="4" w:space="0"/>
            </w:tcBorders>
            <w:vAlign w:val="center"/>
          </w:tcPr>
          <w:p w14:paraId="606D9406">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052" w:type="dxa"/>
            <w:vAlign w:val="center"/>
          </w:tcPr>
          <w:p w14:paraId="1D69C00F">
            <w:pPr>
              <w:pStyle w:val="47"/>
              <w:bidi w:val="0"/>
              <w:rPr>
                <w:rFonts w:ascii="Times New Roman" w:hAnsi="Times New Roman" w:eastAsia="宋体" w:cs="Times New Roman"/>
                <w:b/>
                <w:bCs/>
                <w:color w:val="auto"/>
                <w:kern w:val="2"/>
                <w:szCs w:val="24"/>
                <w:lang w:val="en-US" w:eastAsia="zh-CN" w:bidi="ar-SA"/>
              </w:rPr>
            </w:pPr>
            <w:r>
              <w:rPr>
                <w:rFonts w:hint="eastAsia"/>
                <w:color w:val="auto"/>
                <w:lang w:val="en-US" w:eastAsia="zh-CN"/>
              </w:rPr>
              <w:t>（万元）</w:t>
            </w:r>
          </w:p>
        </w:tc>
        <w:tc>
          <w:tcPr>
            <w:tcW w:w="2156" w:type="dxa"/>
            <w:vMerge w:val="continue"/>
            <w:vAlign w:val="center"/>
          </w:tcPr>
          <w:p w14:paraId="5C6998D0">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r>
      <w:tr w14:paraId="0E48B1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restart"/>
            <w:tcBorders>
              <w:top w:val="single" w:color="auto" w:sz="4" w:space="0"/>
              <w:left w:val="single" w:color="auto" w:sz="4" w:space="0"/>
              <w:bottom w:val="single" w:color="auto" w:sz="4" w:space="0"/>
              <w:right w:val="single" w:color="auto" w:sz="4" w:space="0"/>
            </w:tcBorders>
            <w:vAlign w:val="center"/>
          </w:tcPr>
          <w:p w14:paraId="63A25B6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kern w:val="2"/>
                <w:sz w:val="21"/>
                <w:szCs w:val="24"/>
                <w:lang w:val="en-US" w:eastAsia="zh-CN" w:bidi="ar-SA"/>
              </w:rPr>
              <w:t>1</w:t>
            </w:r>
          </w:p>
        </w:tc>
        <w:tc>
          <w:tcPr>
            <w:tcW w:w="1896" w:type="dxa"/>
            <w:vMerge w:val="restart"/>
            <w:tcBorders>
              <w:top w:val="single" w:color="auto" w:sz="4" w:space="0"/>
              <w:left w:val="single" w:color="auto" w:sz="4" w:space="0"/>
              <w:bottom w:val="single" w:color="auto" w:sz="4" w:space="0"/>
              <w:right w:val="single" w:color="auto" w:sz="4" w:space="0"/>
            </w:tcBorders>
            <w:vAlign w:val="center"/>
          </w:tcPr>
          <w:p w14:paraId="043A0D77">
            <w:pPr>
              <w:pStyle w:val="54"/>
              <w:bidi w:val="0"/>
              <w:rPr>
                <w:color w:val="auto"/>
                <w:lang w:val="en-US" w:eastAsia="zh-CN"/>
              </w:rPr>
            </w:pPr>
            <w:r>
              <w:rPr>
                <w:rFonts w:hint="eastAsia"/>
                <w:color w:val="auto"/>
                <w:lang w:val="en-US" w:eastAsia="zh-CN"/>
              </w:rPr>
              <w:t>露天采场</w:t>
            </w:r>
          </w:p>
        </w:tc>
        <w:tc>
          <w:tcPr>
            <w:tcW w:w="3573" w:type="dxa"/>
            <w:tcBorders>
              <w:top w:val="single" w:color="auto" w:sz="4" w:space="0"/>
              <w:left w:val="single" w:color="auto" w:sz="4" w:space="0"/>
              <w:bottom w:val="single" w:color="auto" w:sz="4" w:space="0"/>
              <w:right w:val="single" w:color="auto" w:sz="4" w:space="0"/>
            </w:tcBorders>
            <w:vAlign w:val="center"/>
          </w:tcPr>
          <w:p w14:paraId="32560E8C">
            <w:pPr>
              <w:pStyle w:val="54"/>
              <w:bidi w:val="0"/>
              <w:rPr>
                <w:color w:val="auto"/>
                <w:lang w:val="en-US" w:eastAsia="zh-CN"/>
              </w:rPr>
            </w:pPr>
            <w:r>
              <w:rPr>
                <w:rFonts w:hint="eastAsia"/>
                <w:color w:val="auto"/>
                <w:lang w:val="en-US" w:eastAsia="zh-CN"/>
              </w:rPr>
              <w:t>边界安全护栏</w:t>
            </w:r>
          </w:p>
        </w:tc>
        <w:tc>
          <w:tcPr>
            <w:tcW w:w="1052" w:type="dxa"/>
            <w:tcBorders>
              <w:left w:val="single" w:color="auto" w:sz="4" w:space="0"/>
            </w:tcBorders>
            <w:vAlign w:val="center"/>
          </w:tcPr>
          <w:p w14:paraId="791073A3">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3</w:t>
            </w:r>
          </w:p>
        </w:tc>
        <w:tc>
          <w:tcPr>
            <w:tcW w:w="2156" w:type="dxa"/>
            <w:vAlign w:val="center"/>
          </w:tcPr>
          <w:p w14:paraId="6AC4164C">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刺铁丝</w:t>
            </w:r>
            <w:r>
              <w:rPr>
                <w:rFonts w:hint="eastAsia" w:ascii="Calibri" w:hAnsi="Calibri" w:eastAsia="宋体" w:cs="Times New Roman"/>
                <w:color w:val="auto"/>
                <w:spacing w:val="-2"/>
                <w:sz w:val="21"/>
                <w:lang w:val="en-US" w:eastAsia="zh-CN" w:bidi="ar-SA"/>
              </w:rPr>
              <w:t>、钢管立柱制</w:t>
            </w:r>
          </w:p>
        </w:tc>
      </w:tr>
      <w:tr w14:paraId="391E0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tcBorders>
              <w:top w:val="single" w:color="auto" w:sz="4" w:space="0"/>
              <w:left w:val="single" w:color="auto" w:sz="4" w:space="0"/>
              <w:bottom w:val="single" w:color="auto" w:sz="4" w:space="0"/>
              <w:right w:val="single" w:color="auto" w:sz="4" w:space="0"/>
            </w:tcBorders>
            <w:vAlign w:val="center"/>
          </w:tcPr>
          <w:p w14:paraId="3352F487">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tcBorders>
              <w:top w:val="single" w:color="auto" w:sz="4" w:space="0"/>
              <w:left w:val="single" w:color="auto" w:sz="4" w:space="0"/>
              <w:bottom w:val="single" w:color="auto" w:sz="4" w:space="0"/>
              <w:right w:val="single" w:color="auto" w:sz="4" w:space="0"/>
            </w:tcBorders>
            <w:vAlign w:val="center"/>
          </w:tcPr>
          <w:p w14:paraId="25D2F8EF">
            <w:pPr>
              <w:pStyle w:val="54"/>
              <w:bidi w:val="0"/>
              <w:rPr>
                <w:color w:val="auto"/>
                <w:lang w:val="en-US" w:eastAsia="zh-CN"/>
              </w:rPr>
            </w:pPr>
          </w:p>
        </w:tc>
        <w:tc>
          <w:tcPr>
            <w:tcW w:w="3573" w:type="dxa"/>
            <w:tcBorders>
              <w:top w:val="single" w:color="auto" w:sz="4" w:space="0"/>
              <w:left w:val="single" w:color="auto" w:sz="4" w:space="0"/>
              <w:bottom w:val="single" w:color="auto" w:sz="4" w:space="0"/>
              <w:right w:val="single" w:color="auto" w:sz="4" w:space="0"/>
            </w:tcBorders>
            <w:vAlign w:val="center"/>
          </w:tcPr>
          <w:p w14:paraId="5AB23950">
            <w:pPr>
              <w:pStyle w:val="54"/>
              <w:bidi w:val="0"/>
              <w:rPr>
                <w:color w:val="auto"/>
                <w:lang w:val="en-US" w:eastAsia="zh-CN"/>
              </w:rPr>
            </w:pPr>
            <w:r>
              <w:rPr>
                <w:rFonts w:hint="eastAsia"/>
                <w:color w:val="auto"/>
                <w:lang w:val="en-US" w:eastAsia="zh-CN"/>
              </w:rPr>
              <w:t>警示旗</w:t>
            </w:r>
          </w:p>
        </w:tc>
        <w:tc>
          <w:tcPr>
            <w:tcW w:w="1052" w:type="dxa"/>
            <w:tcBorders>
              <w:left w:val="single" w:color="auto" w:sz="4" w:space="0"/>
            </w:tcBorders>
            <w:vAlign w:val="center"/>
          </w:tcPr>
          <w:p w14:paraId="0F4378CF">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0.5</w:t>
            </w:r>
          </w:p>
        </w:tc>
        <w:tc>
          <w:tcPr>
            <w:tcW w:w="2156" w:type="dxa"/>
            <w:vAlign w:val="center"/>
          </w:tcPr>
          <w:p w14:paraId="3EA944DA">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彩旗带+</w:t>
            </w:r>
            <w:r>
              <w:rPr>
                <w:rFonts w:hint="eastAsia" w:ascii="Calibri" w:hAnsi="Calibri" w:eastAsia="宋体" w:cs="Times New Roman"/>
                <w:color w:val="auto"/>
                <w:spacing w:val="-2"/>
                <w:sz w:val="21"/>
                <w:lang w:val="en-US" w:eastAsia="zh-CN" w:bidi="ar-SA"/>
              </w:rPr>
              <w:t>手持红旗</w:t>
            </w:r>
          </w:p>
        </w:tc>
      </w:tr>
      <w:tr w14:paraId="009F3E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tcBorders>
              <w:top w:val="single" w:color="auto" w:sz="4" w:space="0"/>
              <w:left w:val="single" w:color="auto" w:sz="4" w:space="0"/>
              <w:bottom w:val="single" w:color="auto" w:sz="4" w:space="0"/>
              <w:right w:val="single" w:color="auto" w:sz="4" w:space="0"/>
            </w:tcBorders>
            <w:vAlign w:val="center"/>
          </w:tcPr>
          <w:p w14:paraId="2049DCE2">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tcBorders>
              <w:top w:val="single" w:color="auto" w:sz="4" w:space="0"/>
              <w:left w:val="single" w:color="auto" w:sz="4" w:space="0"/>
              <w:bottom w:val="single" w:color="auto" w:sz="4" w:space="0"/>
              <w:right w:val="single" w:color="auto" w:sz="4" w:space="0"/>
            </w:tcBorders>
            <w:vAlign w:val="center"/>
          </w:tcPr>
          <w:p w14:paraId="5A5D8C8E">
            <w:pPr>
              <w:pStyle w:val="54"/>
              <w:bidi w:val="0"/>
              <w:rPr>
                <w:color w:val="auto"/>
                <w:lang w:val="en-US" w:eastAsia="zh-CN"/>
              </w:rPr>
            </w:pPr>
          </w:p>
        </w:tc>
        <w:tc>
          <w:tcPr>
            <w:tcW w:w="3573" w:type="dxa"/>
            <w:tcBorders>
              <w:top w:val="single" w:color="auto" w:sz="4" w:space="0"/>
              <w:left w:val="single" w:color="auto" w:sz="4" w:space="0"/>
              <w:bottom w:val="single" w:color="auto" w:sz="4" w:space="0"/>
              <w:right w:val="single" w:color="auto" w:sz="4" w:space="0"/>
            </w:tcBorders>
            <w:vAlign w:val="center"/>
          </w:tcPr>
          <w:p w14:paraId="232DC562">
            <w:pPr>
              <w:pStyle w:val="54"/>
              <w:bidi w:val="0"/>
              <w:rPr>
                <w:color w:val="auto"/>
                <w:lang w:val="en-US" w:eastAsia="zh-CN"/>
              </w:rPr>
            </w:pPr>
            <w:r>
              <w:rPr>
                <w:rFonts w:hint="eastAsia"/>
                <w:color w:val="auto"/>
                <w:lang w:val="en-US" w:eastAsia="zh-CN"/>
              </w:rPr>
              <w:t>报警器</w:t>
            </w:r>
          </w:p>
        </w:tc>
        <w:tc>
          <w:tcPr>
            <w:tcW w:w="1052" w:type="dxa"/>
            <w:tcBorders>
              <w:left w:val="single" w:color="auto" w:sz="4" w:space="0"/>
            </w:tcBorders>
            <w:vAlign w:val="center"/>
          </w:tcPr>
          <w:p w14:paraId="6737DE69">
            <w:pPr>
              <w:widowControl w:val="0"/>
              <w:bidi w:val="0"/>
              <w:adjustRightInd w:val="0"/>
              <w:snapToGrid w:val="0"/>
              <w:spacing w:line="240" w:lineRule="auto"/>
              <w:ind w:firstLine="0" w:firstLineChars="0"/>
              <w:jc w:val="center"/>
              <w:rPr>
                <w:rFonts w:hint="default"/>
                <w:color w:val="auto"/>
                <w:lang w:val="en-US" w:eastAsia="zh-CN"/>
              </w:rPr>
            </w:pPr>
            <w:r>
              <w:rPr>
                <w:rFonts w:hint="eastAsia" w:ascii="Calibri" w:hAnsi="Calibri" w:cs="Times New Roman"/>
                <w:color w:val="auto"/>
                <w:spacing w:val="-2"/>
                <w:sz w:val="21"/>
                <w:lang w:val="en-US" w:eastAsia="zh-CN" w:bidi="ar-SA"/>
              </w:rPr>
              <w:t>0.05</w:t>
            </w:r>
          </w:p>
        </w:tc>
        <w:tc>
          <w:tcPr>
            <w:tcW w:w="2156" w:type="dxa"/>
            <w:vAlign w:val="center"/>
          </w:tcPr>
          <w:p w14:paraId="6ADC3454">
            <w:pPr>
              <w:widowControl w:val="0"/>
              <w:bidi w:val="0"/>
              <w:adjustRightInd w:val="0"/>
              <w:snapToGrid w:val="0"/>
              <w:spacing w:line="240" w:lineRule="auto"/>
              <w:ind w:firstLine="0" w:firstLineChars="0"/>
              <w:jc w:val="center"/>
              <w:rPr>
                <w:color w:val="auto"/>
                <w:lang w:val="en-US" w:eastAsia="zh-CN"/>
              </w:rPr>
            </w:pPr>
            <w:r>
              <w:rPr>
                <w:rFonts w:hint="eastAsia" w:ascii="Calibri" w:hAnsi="Calibri" w:eastAsia="宋体" w:cs="Times New Roman"/>
                <w:color w:val="auto"/>
                <w:spacing w:val="-2"/>
                <w:sz w:val="21"/>
                <w:lang w:val="en-US" w:eastAsia="zh-CN" w:bidi="ar-SA"/>
              </w:rPr>
              <w:t>挂杆式喇叭</w:t>
            </w:r>
          </w:p>
        </w:tc>
      </w:tr>
      <w:tr w14:paraId="1D0DA6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tcBorders>
              <w:top w:val="single" w:color="auto" w:sz="4" w:space="0"/>
              <w:left w:val="single" w:color="auto" w:sz="4" w:space="0"/>
              <w:bottom w:val="single" w:color="auto" w:sz="4" w:space="0"/>
              <w:right w:val="single" w:color="auto" w:sz="4" w:space="0"/>
            </w:tcBorders>
            <w:vAlign w:val="center"/>
          </w:tcPr>
          <w:p w14:paraId="002D4BF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tcBorders>
              <w:top w:val="single" w:color="auto" w:sz="4" w:space="0"/>
              <w:left w:val="single" w:color="auto" w:sz="4" w:space="0"/>
              <w:bottom w:val="single" w:color="auto" w:sz="4" w:space="0"/>
              <w:right w:val="single" w:color="auto" w:sz="4" w:space="0"/>
            </w:tcBorders>
            <w:vAlign w:val="center"/>
          </w:tcPr>
          <w:p w14:paraId="6E73E0DC">
            <w:pPr>
              <w:pStyle w:val="54"/>
              <w:bidi w:val="0"/>
              <w:rPr>
                <w:color w:val="auto"/>
                <w:lang w:val="en-US" w:eastAsia="zh-CN"/>
              </w:rPr>
            </w:pPr>
          </w:p>
        </w:tc>
        <w:tc>
          <w:tcPr>
            <w:tcW w:w="3573" w:type="dxa"/>
            <w:tcBorders>
              <w:top w:val="single" w:color="auto" w:sz="4" w:space="0"/>
              <w:left w:val="single" w:color="auto" w:sz="4" w:space="0"/>
              <w:bottom w:val="single" w:color="auto" w:sz="4" w:space="0"/>
              <w:right w:val="single" w:color="auto" w:sz="4" w:space="0"/>
            </w:tcBorders>
            <w:vAlign w:val="center"/>
          </w:tcPr>
          <w:p w14:paraId="02AE9ED9">
            <w:pPr>
              <w:pStyle w:val="54"/>
              <w:bidi w:val="0"/>
              <w:rPr>
                <w:color w:val="auto"/>
                <w:lang w:val="en-US" w:eastAsia="zh-CN"/>
              </w:rPr>
            </w:pPr>
            <w:r>
              <w:rPr>
                <w:rFonts w:hint="eastAsia"/>
                <w:color w:val="auto"/>
                <w:lang w:val="en-US" w:eastAsia="zh-CN"/>
              </w:rPr>
              <w:t>边坡加固及防护措施</w:t>
            </w:r>
          </w:p>
        </w:tc>
        <w:tc>
          <w:tcPr>
            <w:tcW w:w="1052" w:type="dxa"/>
            <w:tcBorders>
              <w:left w:val="single" w:color="auto" w:sz="4" w:space="0"/>
            </w:tcBorders>
            <w:vAlign w:val="center"/>
          </w:tcPr>
          <w:p w14:paraId="1215679B">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0BB26A9E">
            <w:pPr>
              <w:widowControl w:val="0"/>
              <w:bidi w:val="0"/>
              <w:adjustRightInd w:val="0"/>
              <w:snapToGrid w:val="0"/>
              <w:spacing w:line="240" w:lineRule="auto"/>
              <w:ind w:firstLine="0" w:firstLineChars="0"/>
              <w:jc w:val="center"/>
              <w:rPr>
                <w:color w:val="auto"/>
                <w:lang w:val="en-US" w:eastAsia="zh-CN"/>
              </w:rPr>
            </w:pPr>
            <w:r>
              <w:rPr>
                <w:rFonts w:hint="eastAsia" w:ascii="Calibri" w:hAnsi="Calibri" w:eastAsia="宋体" w:cs="Times New Roman"/>
                <w:color w:val="auto"/>
                <w:spacing w:val="-2"/>
                <w:sz w:val="21"/>
                <w:lang w:val="en-US" w:eastAsia="zh-CN" w:bidi="ar-SA"/>
              </w:rPr>
              <w:t>锚杆（索）或抗滑桩</w:t>
            </w:r>
          </w:p>
        </w:tc>
      </w:tr>
      <w:tr w14:paraId="3D5772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tcBorders>
              <w:top w:val="single" w:color="auto" w:sz="4" w:space="0"/>
              <w:left w:val="single" w:color="auto" w:sz="4" w:space="0"/>
              <w:bottom w:val="single" w:color="auto" w:sz="4" w:space="0"/>
              <w:right w:val="single" w:color="auto" w:sz="4" w:space="0"/>
            </w:tcBorders>
            <w:vAlign w:val="center"/>
          </w:tcPr>
          <w:p w14:paraId="27F91D8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tcBorders>
              <w:top w:val="single" w:color="auto" w:sz="4" w:space="0"/>
              <w:left w:val="single" w:color="auto" w:sz="4" w:space="0"/>
              <w:bottom w:val="single" w:color="auto" w:sz="4" w:space="0"/>
              <w:right w:val="single" w:color="auto" w:sz="4" w:space="0"/>
            </w:tcBorders>
            <w:vAlign w:val="center"/>
          </w:tcPr>
          <w:p w14:paraId="347DAEDF">
            <w:pPr>
              <w:pStyle w:val="54"/>
              <w:bidi w:val="0"/>
              <w:rPr>
                <w:color w:val="auto"/>
                <w:lang w:val="en-US" w:eastAsia="zh-CN"/>
              </w:rPr>
            </w:pPr>
          </w:p>
        </w:tc>
        <w:tc>
          <w:tcPr>
            <w:tcW w:w="3573" w:type="dxa"/>
            <w:tcBorders>
              <w:top w:val="single" w:color="auto" w:sz="4" w:space="0"/>
              <w:left w:val="single" w:color="auto" w:sz="4" w:space="0"/>
              <w:bottom w:val="single" w:color="auto" w:sz="4" w:space="0"/>
              <w:right w:val="single" w:color="auto" w:sz="4" w:space="0"/>
            </w:tcBorders>
            <w:vAlign w:val="center"/>
          </w:tcPr>
          <w:p w14:paraId="539D2566">
            <w:pPr>
              <w:pStyle w:val="54"/>
              <w:bidi w:val="0"/>
              <w:rPr>
                <w:color w:val="auto"/>
                <w:lang w:val="en-US" w:eastAsia="zh-CN"/>
              </w:rPr>
            </w:pPr>
            <w:r>
              <w:rPr>
                <w:rFonts w:hint="eastAsia"/>
                <w:color w:val="auto"/>
                <w:lang w:val="en-US" w:eastAsia="zh-CN"/>
              </w:rPr>
              <w:t>采装设备防护罩</w:t>
            </w:r>
          </w:p>
        </w:tc>
        <w:tc>
          <w:tcPr>
            <w:tcW w:w="1052" w:type="dxa"/>
            <w:tcBorders>
              <w:left w:val="single" w:color="auto" w:sz="4" w:space="0"/>
            </w:tcBorders>
            <w:vAlign w:val="center"/>
          </w:tcPr>
          <w:p w14:paraId="3F4FFBC7">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480B1FB7">
            <w:pPr>
              <w:widowControl w:val="0"/>
              <w:bidi w:val="0"/>
              <w:adjustRightInd w:val="0"/>
              <w:snapToGrid w:val="0"/>
              <w:spacing w:line="240" w:lineRule="auto"/>
              <w:ind w:firstLine="0" w:firstLineChars="0"/>
              <w:jc w:val="center"/>
              <w:rPr>
                <w:color w:val="auto"/>
                <w:lang w:val="en-US" w:eastAsia="zh-CN"/>
              </w:rPr>
            </w:pPr>
          </w:p>
        </w:tc>
      </w:tr>
      <w:tr w14:paraId="0924F2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restart"/>
            <w:tcBorders>
              <w:top w:val="single" w:color="auto" w:sz="4" w:space="0"/>
              <w:left w:val="single" w:color="auto" w:sz="4" w:space="0"/>
              <w:bottom w:val="single" w:color="auto" w:sz="4" w:space="0"/>
              <w:right w:val="single" w:color="auto" w:sz="4" w:space="0"/>
            </w:tcBorders>
            <w:vAlign w:val="center"/>
          </w:tcPr>
          <w:p w14:paraId="409B4930">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r>
              <w:rPr>
                <w:rFonts w:ascii="Times New Roman" w:hAnsi="Times New Roman" w:eastAsia="宋体" w:cs="Times New Roman"/>
                <w:color w:val="auto"/>
                <w:kern w:val="2"/>
                <w:sz w:val="21"/>
                <w:szCs w:val="24"/>
                <w:lang w:val="en-US" w:eastAsia="zh-CN" w:bidi="ar-SA"/>
              </w:rPr>
              <w:t>2</w:t>
            </w:r>
          </w:p>
        </w:tc>
        <w:tc>
          <w:tcPr>
            <w:tcW w:w="1896" w:type="dxa"/>
            <w:vMerge w:val="restart"/>
            <w:tcBorders>
              <w:top w:val="single" w:color="auto" w:sz="4" w:space="0"/>
              <w:left w:val="single" w:color="auto" w:sz="4" w:space="0"/>
              <w:bottom w:val="single" w:color="auto" w:sz="4" w:space="0"/>
              <w:right w:val="single" w:color="auto" w:sz="4" w:space="0"/>
            </w:tcBorders>
            <w:vAlign w:val="center"/>
          </w:tcPr>
          <w:p w14:paraId="343E2A28">
            <w:pPr>
              <w:pStyle w:val="54"/>
              <w:bidi w:val="0"/>
              <w:rPr>
                <w:color w:val="auto"/>
                <w:lang w:val="en-US" w:eastAsia="zh-CN"/>
              </w:rPr>
            </w:pPr>
            <w:r>
              <w:rPr>
                <w:rFonts w:hint="eastAsia"/>
                <w:color w:val="auto"/>
                <w:lang w:val="en-US" w:eastAsia="zh-CN"/>
              </w:rPr>
              <w:t>运输道路</w:t>
            </w:r>
          </w:p>
        </w:tc>
        <w:tc>
          <w:tcPr>
            <w:tcW w:w="3573" w:type="dxa"/>
            <w:tcBorders>
              <w:top w:val="single" w:color="auto" w:sz="4" w:space="0"/>
              <w:left w:val="single" w:color="auto" w:sz="4" w:space="0"/>
              <w:bottom w:val="single" w:color="auto" w:sz="4" w:space="0"/>
              <w:right w:val="single" w:color="auto" w:sz="4" w:space="0"/>
            </w:tcBorders>
            <w:vAlign w:val="center"/>
          </w:tcPr>
          <w:p w14:paraId="6D3A82F6">
            <w:pPr>
              <w:pStyle w:val="54"/>
              <w:bidi w:val="0"/>
              <w:rPr>
                <w:color w:val="auto"/>
                <w:lang w:val="en-US" w:eastAsia="zh-CN"/>
              </w:rPr>
            </w:pPr>
            <w:r>
              <w:rPr>
                <w:rFonts w:hint="eastAsia"/>
                <w:color w:val="auto"/>
                <w:lang w:val="en-US" w:eastAsia="zh-CN"/>
              </w:rPr>
              <w:t>安全护栏</w:t>
            </w:r>
          </w:p>
        </w:tc>
        <w:tc>
          <w:tcPr>
            <w:tcW w:w="1052" w:type="dxa"/>
            <w:tcBorders>
              <w:left w:val="single" w:color="auto" w:sz="4" w:space="0"/>
            </w:tcBorders>
            <w:vAlign w:val="center"/>
          </w:tcPr>
          <w:p w14:paraId="39F4FEB0">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1</w:t>
            </w:r>
          </w:p>
        </w:tc>
        <w:tc>
          <w:tcPr>
            <w:tcW w:w="2156" w:type="dxa"/>
            <w:vAlign w:val="center"/>
          </w:tcPr>
          <w:p w14:paraId="705E6CF2">
            <w:pPr>
              <w:widowControl w:val="0"/>
              <w:bidi w:val="0"/>
              <w:adjustRightInd w:val="0"/>
              <w:snapToGrid w:val="0"/>
              <w:spacing w:line="240" w:lineRule="auto"/>
              <w:ind w:firstLine="0" w:firstLineChars="0"/>
              <w:jc w:val="center"/>
              <w:rPr>
                <w:color w:val="auto"/>
                <w:lang w:val="en-US" w:eastAsia="zh-CN"/>
              </w:rPr>
            </w:pPr>
            <w:r>
              <w:rPr>
                <w:rFonts w:hint="eastAsia" w:ascii="Calibri" w:hAnsi="Calibri" w:eastAsia="宋体" w:cs="Times New Roman"/>
                <w:color w:val="auto"/>
                <w:spacing w:val="-2"/>
                <w:sz w:val="21"/>
                <w:lang w:val="en-US" w:eastAsia="zh-CN" w:bidi="ar-SA"/>
              </w:rPr>
              <w:t>大块石、土夹石</w:t>
            </w:r>
          </w:p>
        </w:tc>
      </w:tr>
      <w:tr w14:paraId="537077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tcBorders>
              <w:top w:val="single" w:color="auto" w:sz="4" w:space="0"/>
            </w:tcBorders>
            <w:vAlign w:val="center"/>
          </w:tcPr>
          <w:p w14:paraId="5C61301B">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tcBorders>
              <w:top w:val="single" w:color="auto" w:sz="4" w:space="0"/>
            </w:tcBorders>
            <w:vAlign w:val="center"/>
          </w:tcPr>
          <w:p w14:paraId="4B6D1072">
            <w:pPr>
              <w:pStyle w:val="54"/>
              <w:bidi w:val="0"/>
              <w:rPr>
                <w:color w:val="auto"/>
                <w:lang w:val="en-US" w:eastAsia="zh-CN"/>
              </w:rPr>
            </w:pPr>
          </w:p>
        </w:tc>
        <w:tc>
          <w:tcPr>
            <w:tcW w:w="3573" w:type="dxa"/>
            <w:tcBorders>
              <w:top w:val="single" w:color="auto" w:sz="4" w:space="0"/>
            </w:tcBorders>
            <w:vAlign w:val="center"/>
          </w:tcPr>
          <w:p w14:paraId="4E63C468">
            <w:pPr>
              <w:pStyle w:val="54"/>
              <w:bidi w:val="0"/>
              <w:rPr>
                <w:color w:val="auto"/>
                <w:lang w:val="en-US" w:eastAsia="zh-CN"/>
              </w:rPr>
            </w:pPr>
            <w:r>
              <w:rPr>
                <w:rFonts w:hint="eastAsia"/>
                <w:color w:val="auto"/>
                <w:lang w:val="en-US" w:eastAsia="zh-CN"/>
              </w:rPr>
              <w:t>错车道</w:t>
            </w:r>
          </w:p>
        </w:tc>
        <w:tc>
          <w:tcPr>
            <w:tcW w:w="1052" w:type="dxa"/>
            <w:vAlign w:val="center"/>
          </w:tcPr>
          <w:p w14:paraId="67355768">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0AA334E2">
            <w:pPr>
              <w:widowControl w:val="0"/>
              <w:bidi w:val="0"/>
              <w:adjustRightInd w:val="0"/>
              <w:snapToGrid w:val="0"/>
              <w:spacing w:line="240" w:lineRule="auto"/>
              <w:ind w:firstLine="0" w:firstLineChars="0"/>
              <w:jc w:val="center"/>
              <w:rPr>
                <w:color w:val="auto"/>
                <w:lang w:val="en-US" w:eastAsia="zh-CN"/>
              </w:rPr>
            </w:pPr>
          </w:p>
        </w:tc>
      </w:tr>
      <w:tr w14:paraId="5D2D41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5A8D035E">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76BED1DD">
            <w:pPr>
              <w:pStyle w:val="54"/>
              <w:bidi w:val="0"/>
              <w:rPr>
                <w:color w:val="auto"/>
                <w:lang w:val="en-US" w:eastAsia="zh-CN"/>
              </w:rPr>
            </w:pPr>
          </w:p>
        </w:tc>
        <w:tc>
          <w:tcPr>
            <w:tcW w:w="3573" w:type="dxa"/>
            <w:vAlign w:val="center"/>
          </w:tcPr>
          <w:p w14:paraId="440E4408">
            <w:pPr>
              <w:pStyle w:val="54"/>
              <w:bidi w:val="0"/>
              <w:rPr>
                <w:color w:val="auto"/>
                <w:lang w:val="en-US" w:eastAsia="zh-CN"/>
              </w:rPr>
            </w:pPr>
            <w:r>
              <w:rPr>
                <w:rFonts w:hint="eastAsia"/>
                <w:color w:val="auto"/>
                <w:lang w:val="en-US" w:eastAsia="zh-CN"/>
              </w:rPr>
              <w:t>外侧安全车挡</w:t>
            </w:r>
          </w:p>
        </w:tc>
        <w:tc>
          <w:tcPr>
            <w:tcW w:w="1052" w:type="dxa"/>
            <w:vAlign w:val="center"/>
          </w:tcPr>
          <w:p w14:paraId="1D6D4ABF">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1</w:t>
            </w:r>
          </w:p>
        </w:tc>
        <w:tc>
          <w:tcPr>
            <w:tcW w:w="2156" w:type="dxa"/>
            <w:vAlign w:val="center"/>
          </w:tcPr>
          <w:p w14:paraId="75A56C48">
            <w:pPr>
              <w:widowControl w:val="0"/>
              <w:bidi w:val="0"/>
              <w:adjustRightInd w:val="0"/>
              <w:snapToGrid w:val="0"/>
              <w:spacing w:line="240" w:lineRule="auto"/>
              <w:ind w:firstLine="0" w:firstLineChars="0"/>
              <w:jc w:val="center"/>
              <w:rPr>
                <w:color w:val="auto"/>
                <w:lang w:val="en-US" w:eastAsia="zh-CN"/>
              </w:rPr>
            </w:pPr>
          </w:p>
        </w:tc>
      </w:tr>
      <w:tr w14:paraId="741DE6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4E653578">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357E6EDD">
            <w:pPr>
              <w:pStyle w:val="54"/>
              <w:bidi w:val="0"/>
              <w:rPr>
                <w:color w:val="auto"/>
                <w:lang w:val="en-US" w:eastAsia="zh-CN"/>
              </w:rPr>
            </w:pPr>
          </w:p>
        </w:tc>
        <w:tc>
          <w:tcPr>
            <w:tcW w:w="3573" w:type="dxa"/>
            <w:vAlign w:val="center"/>
          </w:tcPr>
          <w:p w14:paraId="6301D9D3">
            <w:pPr>
              <w:pStyle w:val="54"/>
              <w:bidi w:val="0"/>
              <w:rPr>
                <w:color w:val="auto"/>
                <w:lang w:val="en-US" w:eastAsia="zh-CN"/>
              </w:rPr>
            </w:pPr>
            <w:r>
              <w:rPr>
                <w:rFonts w:hint="eastAsia"/>
                <w:color w:val="auto"/>
                <w:lang w:val="en-US" w:eastAsia="zh-CN"/>
              </w:rPr>
              <w:t>内侧排水沟</w:t>
            </w:r>
          </w:p>
        </w:tc>
        <w:tc>
          <w:tcPr>
            <w:tcW w:w="1052" w:type="dxa"/>
            <w:vAlign w:val="center"/>
          </w:tcPr>
          <w:p w14:paraId="207E2B67">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1</w:t>
            </w:r>
          </w:p>
        </w:tc>
        <w:tc>
          <w:tcPr>
            <w:tcW w:w="2156" w:type="dxa"/>
            <w:vAlign w:val="center"/>
          </w:tcPr>
          <w:p w14:paraId="4BC54D5D">
            <w:pPr>
              <w:widowControl w:val="0"/>
              <w:bidi w:val="0"/>
              <w:adjustRightInd w:val="0"/>
              <w:snapToGrid w:val="0"/>
              <w:spacing w:line="240" w:lineRule="auto"/>
              <w:ind w:firstLine="0" w:firstLineChars="0"/>
              <w:jc w:val="center"/>
              <w:rPr>
                <w:color w:val="auto"/>
                <w:lang w:val="en-US" w:eastAsia="zh-CN"/>
              </w:rPr>
            </w:pPr>
          </w:p>
        </w:tc>
      </w:tr>
      <w:tr w14:paraId="5DDC6C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restart"/>
            <w:vAlign w:val="center"/>
          </w:tcPr>
          <w:p w14:paraId="0D0198BB">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3</w:t>
            </w:r>
          </w:p>
        </w:tc>
        <w:tc>
          <w:tcPr>
            <w:tcW w:w="1896" w:type="dxa"/>
            <w:vMerge w:val="restart"/>
            <w:vAlign w:val="center"/>
          </w:tcPr>
          <w:p w14:paraId="6503ADC0">
            <w:pPr>
              <w:pStyle w:val="54"/>
              <w:bidi w:val="0"/>
              <w:rPr>
                <w:color w:val="auto"/>
                <w:lang w:val="en-US" w:eastAsia="zh-CN"/>
              </w:rPr>
            </w:pPr>
            <w:r>
              <w:rPr>
                <w:rFonts w:hint="eastAsia"/>
                <w:color w:val="auto"/>
                <w:lang w:val="en-US" w:eastAsia="zh-CN"/>
              </w:rPr>
              <w:t>供、配电设施</w:t>
            </w:r>
          </w:p>
        </w:tc>
        <w:tc>
          <w:tcPr>
            <w:tcW w:w="3573" w:type="dxa"/>
            <w:vAlign w:val="center"/>
          </w:tcPr>
          <w:p w14:paraId="4CC3F1B9">
            <w:pPr>
              <w:pStyle w:val="54"/>
              <w:bidi w:val="0"/>
              <w:rPr>
                <w:color w:val="auto"/>
                <w:lang w:val="en-US" w:eastAsia="zh-CN"/>
              </w:rPr>
            </w:pPr>
            <w:r>
              <w:rPr>
                <w:rFonts w:hint="eastAsia"/>
                <w:color w:val="auto"/>
                <w:lang w:val="en-US" w:eastAsia="zh-CN"/>
              </w:rPr>
              <w:t>矿山供电电源、线路</w:t>
            </w:r>
          </w:p>
        </w:tc>
        <w:tc>
          <w:tcPr>
            <w:tcW w:w="1052" w:type="dxa"/>
            <w:vAlign w:val="center"/>
          </w:tcPr>
          <w:p w14:paraId="66083449">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18</w:t>
            </w:r>
          </w:p>
        </w:tc>
        <w:tc>
          <w:tcPr>
            <w:tcW w:w="2156" w:type="dxa"/>
            <w:vAlign w:val="center"/>
          </w:tcPr>
          <w:p w14:paraId="0FFA21D0">
            <w:pPr>
              <w:widowControl w:val="0"/>
              <w:bidi w:val="0"/>
              <w:adjustRightInd w:val="0"/>
              <w:snapToGrid w:val="0"/>
              <w:spacing w:line="240" w:lineRule="auto"/>
              <w:ind w:firstLine="0" w:firstLineChars="0"/>
              <w:jc w:val="center"/>
              <w:rPr>
                <w:rFonts w:hint="default"/>
                <w:color w:val="auto"/>
                <w:lang w:val="en-US" w:eastAsia="zh-CN"/>
              </w:rPr>
            </w:pPr>
            <w:r>
              <w:rPr>
                <w:rFonts w:hint="eastAsia" w:ascii="Calibri" w:hAnsi="Calibri" w:cs="Times New Roman"/>
                <w:color w:val="auto"/>
                <w:spacing w:val="-2"/>
                <w:sz w:val="21"/>
                <w:lang w:val="en-US" w:eastAsia="zh-CN" w:bidi="ar-SA"/>
              </w:rPr>
              <w:t>变压器+配电房改造</w:t>
            </w:r>
          </w:p>
        </w:tc>
      </w:tr>
      <w:tr w14:paraId="5B3B4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03258C8E">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3E3BA00F">
            <w:pPr>
              <w:pStyle w:val="54"/>
              <w:bidi w:val="0"/>
              <w:rPr>
                <w:color w:val="auto"/>
                <w:lang w:val="en-US" w:eastAsia="zh-CN"/>
              </w:rPr>
            </w:pPr>
          </w:p>
        </w:tc>
        <w:tc>
          <w:tcPr>
            <w:tcW w:w="3573" w:type="dxa"/>
            <w:vAlign w:val="center"/>
          </w:tcPr>
          <w:p w14:paraId="75FE65E9">
            <w:pPr>
              <w:pStyle w:val="54"/>
              <w:bidi w:val="0"/>
              <w:rPr>
                <w:color w:val="auto"/>
                <w:lang w:val="en-US" w:eastAsia="zh-CN"/>
              </w:rPr>
            </w:pPr>
            <w:r>
              <w:rPr>
                <w:rFonts w:hint="eastAsia"/>
                <w:color w:val="auto"/>
                <w:lang w:val="en-US" w:eastAsia="zh-CN"/>
              </w:rPr>
              <w:t>采矿场供电线路保护及避雷设施</w:t>
            </w:r>
          </w:p>
        </w:tc>
        <w:tc>
          <w:tcPr>
            <w:tcW w:w="1052" w:type="dxa"/>
            <w:vAlign w:val="center"/>
          </w:tcPr>
          <w:p w14:paraId="55486228">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01401B1C">
            <w:pPr>
              <w:widowControl w:val="0"/>
              <w:bidi w:val="0"/>
              <w:adjustRightInd w:val="0"/>
              <w:snapToGrid w:val="0"/>
              <w:spacing w:line="240" w:lineRule="auto"/>
              <w:ind w:firstLine="0" w:firstLineChars="0"/>
              <w:jc w:val="center"/>
              <w:rPr>
                <w:color w:val="auto"/>
                <w:lang w:val="en-US" w:eastAsia="zh-CN"/>
              </w:rPr>
            </w:pPr>
          </w:p>
        </w:tc>
      </w:tr>
      <w:tr w14:paraId="3F43E1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6F9082EF">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01CFAF89">
            <w:pPr>
              <w:pStyle w:val="54"/>
              <w:bidi w:val="0"/>
              <w:rPr>
                <w:color w:val="auto"/>
                <w:lang w:val="en-US" w:eastAsia="zh-CN"/>
              </w:rPr>
            </w:pPr>
          </w:p>
        </w:tc>
        <w:tc>
          <w:tcPr>
            <w:tcW w:w="3573" w:type="dxa"/>
            <w:vAlign w:val="center"/>
          </w:tcPr>
          <w:p w14:paraId="760A4C3C">
            <w:pPr>
              <w:pStyle w:val="54"/>
              <w:bidi w:val="0"/>
              <w:rPr>
                <w:color w:val="auto"/>
                <w:lang w:val="en-US" w:eastAsia="zh-CN"/>
              </w:rPr>
            </w:pPr>
            <w:r>
              <w:rPr>
                <w:rFonts w:hint="eastAsia"/>
                <w:color w:val="auto"/>
                <w:lang w:val="en-US" w:eastAsia="zh-CN"/>
              </w:rPr>
              <w:t>裸带电体基本（直接接触）防护设施</w:t>
            </w:r>
          </w:p>
        </w:tc>
        <w:tc>
          <w:tcPr>
            <w:tcW w:w="1052" w:type="dxa"/>
            <w:vAlign w:val="center"/>
          </w:tcPr>
          <w:p w14:paraId="5664A838">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7ECA17C1">
            <w:pPr>
              <w:widowControl w:val="0"/>
              <w:bidi w:val="0"/>
              <w:adjustRightInd w:val="0"/>
              <w:snapToGrid w:val="0"/>
              <w:spacing w:line="240" w:lineRule="auto"/>
              <w:ind w:firstLine="0" w:firstLineChars="0"/>
              <w:jc w:val="center"/>
              <w:rPr>
                <w:color w:val="auto"/>
                <w:lang w:val="en-US" w:eastAsia="zh-CN"/>
              </w:rPr>
            </w:pPr>
          </w:p>
        </w:tc>
      </w:tr>
      <w:tr w14:paraId="033899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74BDF16B">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6916212A">
            <w:pPr>
              <w:pStyle w:val="54"/>
              <w:bidi w:val="0"/>
              <w:rPr>
                <w:color w:val="auto"/>
                <w:lang w:val="en-US" w:eastAsia="zh-CN"/>
              </w:rPr>
            </w:pPr>
          </w:p>
        </w:tc>
        <w:tc>
          <w:tcPr>
            <w:tcW w:w="3573" w:type="dxa"/>
            <w:vAlign w:val="center"/>
          </w:tcPr>
          <w:p w14:paraId="0E2E90BD">
            <w:pPr>
              <w:pStyle w:val="54"/>
              <w:bidi w:val="0"/>
              <w:rPr>
                <w:color w:val="auto"/>
                <w:lang w:val="en-US" w:eastAsia="zh-CN"/>
              </w:rPr>
            </w:pPr>
            <w:r>
              <w:rPr>
                <w:rFonts w:hint="eastAsia"/>
                <w:color w:val="auto"/>
                <w:lang w:val="en-US" w:eastAsia="zh-CN"/>
              </w:rPr>
              <w:t>配电室改造及保护接地设施</w:t>
            </w:r>
          </w:p>
        </w:tc>
        <w:tc>
          <w:tcPr>
            <w:tcW w:w="1052" w:type="dxa"/>
            <w:vAlign w:val="center"/>
          </w:tcPr>
          <w:p w14:paraId="14819034">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06CBC4EA">
            <w:pPr>
              <w:widowControl w:val="0"/>
              <w:bidi w:val="0"/>
              <w:adjustRightInd w:val="0"/>
              <w:snapToGrid w:val="0"/>
              <w:spacing w:line="240" w:lineRule="auto"/>
              <w:ind w:firstLine="0" w:firstLineChars="0"/>
              <w:jc w:val="center"/>
              <w:rPr>
                <w:color w:val="auto"/>
                <w:lang w:val="en-US" w:eastAsia="zh-CN"/>
              </w:rPr>
            </w:pPr>
          </w:p>
        </w:tc>
      </w:tr>
      <w:tr w14:paraId="2254F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702E4B2B">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37111A13">
            <w:pPr>
              <w:pStyle w:val="54"/>
              <w:bidi w:val="0"/>
              <w:rPr>
                <w:color w:val="auto"/>
                <w:lang w:val="en-US" w:eastAsia="zh-CN"/>
              </w:rPr>
            </w:pPr>
          </w:p>
        </w:tc>
        <w:tc>
          <w:tcPr>
            <w:tcW w:w="3573" w:type="dxa"/>
            <w:vAlign w:val="center"/>
          </w:tcPr>
          <w:p w14:paraId="1E14B8AD">
            <w:pPr>
              <w:pStyle w:val="54"/>
              <w:bidi w:val="0"/>
              <w:rPr>
                <w:color w:val="auto"/>
                <w:lang w:val="en-US" w:eastAsia="zh-CN"/>
              </w:rPr>
            </w:pPr>
            <w:r>
              <w:rPr>
                <w:rFonts w:hint="eastAsia"/>
                <w:color w:val="auto"/>
                <w:lang w:val="en-US" w:eastAsia="zh-CN"/>
              </w:rPr>
              <w:t>地面建筑物及防雷设施</w:t>
            </w:r>
          </w:p>
        </w:tc>
        <w:tc>
          <w:tcPr>
            <w:tcW w:w="1052" w:type="dxa"/>
            <w:vAlign w:val="center"/>
          </w:tcPr>
          <w:p w14:paraId="5B7115DE">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3</w:t>
            </w:r>
          </w:p>
        </w:tc>
        <w:tc>
          <w:tcPr>
            <w:tcW w:w="2156" w:type="dxa"/>
            <w:vAlign w:val="center"/>
          </w:tcPr>
          <w:p w14:paraId="361FC84D">
            <w:pPr>
              <w:widowControl w:val="0"/>
              <w:bidi w:val="0"/>
              <w:adjustRightInd w:val="0"/>
              <w:snapToGrid w:val="0"/>
              <w:spacing w:line="240" w:lineRule="auto"/>
              <w:ind w:firstLine="0" w:firstLineChars="0"/>
              <w:jc w:val="center"/>
              <w:rPr>
                <w:color w:val="auto"/>
                <w:lang w:val="en-US" w:eastAsia="zh-CN"/>
              </w:rPr>
            </w:pPr>
          </w:p>
        </w:tc>
      </w:tr>
      <w:tr w14:paraId="5930E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restart"/>
            <w:vAlign w:val="center"/>
          </w:tcPr>
          <w:p w14:paraId="43B5C812">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r>
              <w:rPr>
                <w:rFonts w:hint="eastAsia" w:ascii="Times New Roman" w:hAnsi="Times New Roman" w:cs="Times New Roman"/>
                <w:color w:val="auto"/>
                <w:kern w:val="2"/>
                <w:sz w:val="21"/>
                <w:szCs w:val="24"/>
                <w:lang w:val="en-US" w:eastAsia="zh-CN" w:bidi="ar-SA"/>
              </w:rPr>
              <w:t>4</w:t>
            </w:r>
          </w:p>
        </w:tc>
        <w:tc>
          <w:tcPr>
            <w:tcW w:w="1896" w:type="dxa"/>
            <w:vMerge w:val="restart"/>
            <w:vAlign w:val="center"/>
          </w:tcPr>
          <w:p w14:paraId="343E7F04">
            <w:pPr>
              <w:pStyle w:val="54"/>
              <w:bidi w:val="0"/>
              <w:rPr>
                <w:color w:val="auto"/>
                <w:lang w:val="en-US" w:eastAsia="zh-CN"/>
              </w:rPr>
            </w:pPr>
            <w:r>
              <w:rPr>
                <w:rFonts w:hint="eastAsia"/>
                <w:color w:val="auto"/>
                <w:lang w:val="en-US" w:eastAsia="zh-CN"/>
              </w:rPr>
              <w:t>矿山应急救援器材及设备</w:t>
            </w:r>
          </w:p>
        </w:tc>
        <w:tc>
          <w:tcPr>
            <w:tcW w:w="3573" w:type="dxa"/>
            <w:vAlign w:val="center"/>
          </w:tcPr>
          <w:p w14:paraId="7B63B416">
            <w:pPr>
              <w:pStyle w:val="54"/>
              <w:bidi w:val="0"/>
              <w:rPr>
                <w:color w:val="auto"/>
                <w:lang w:val="en-US" w:eastAsia="zh-CN"/>
              </w:rPr>
            </w:pPr>
            <w:r>
              <w:rPr>
                <w:rFonts w:hint="eastAsia"/>
                <w:color w:val="auto"/>
                <w:lang w:val="en-US" w:eastAsia="zh-CN"/>
              </w:rPr>
              <w:t>挖掘机</w:t>
            </w:r>
          </w:p>
        </w:tc>
        <w:tc>
          <w:tcPr>
            <w:tcW w:w="1052" w:type="dxa"/>
            <w:vAlign w:val="center"/>
          </w:tcPr>
          <w:p w14:paraId="226059B9">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681241DF">
            <w:pPr>
              <w:widowControl w:val="0"/>
              <w:bidi w:val="0"/>
              <w:adjustRightInd w:val="0"/>
              <w:snapToGrid w:val="0"/>
              <w:spacing w:line="240" w:lineRule="auto"/>
              <w:ind w:firstLine="412" w:firstLineChars="200"/>
              <w:jc w:val="center"/>
              <w:rPr>
                <w:color w:val="auto"/>
                <w:lang w:val="en-US" w:eastAsia="zh-CN"/>
              </w:rPr>
            </w:pPr>
            <w:r>
              <w:rPr>
                <w:rFonts w:hint="eastAsia" w:ascii="Calibri" w:hAnsi="Calibri" w:eastAsia="宋体" w:cs="Times New Roman"/>
                <w:color w:val="auto"/>
                <w:spacing w:val="-2"/>
                <w:sz w:val="21"/>
                <w:lang w:val="en-US" w:eastAsia="zh-CN" w:bidi="ar-SA"/>
              </w:rPr>
              <w:t>利旧</w:t>
            </w:r>
          </w:p>
        </w:tc>
      </w:tr>
      <w:tr w14:paraId="53A9AA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2456F50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0C86D7EA">
            <w:pPr>
              <w:pStyle w:val="54"/>
              <w:bidi w:val="0"/>
              <w:rPr>
                <w:color w:val="auto"/>
                <w:lang w:val="en-US" w:eastAsia="zh-CN"/>
              </w:rPr>
            </w:pPr>
          </w:p>
        </w:tc>
        <w:tc>
          <w:tcPr>
            <w:tcW w:w="3573" w:type="dxa"/>
            <w:vAlign w:val="center"/>
          </w:tcPr>
          <w:p w14:paraId="4A8E0860">
            <w:pPr>
              <w:pStyle w:val="54"/>
              <w:bidi w:val="0"/>
              <w:rPr>
                <w:color w:val="auto"/>
                <w:lang w:val="en-US" w:eastAsia="zh-CN"/>
              </w:rPr>
            </w:pPr>
            <w:r>
              <w:rPr>
                <w:rFonts w:hint="eastAsia"/>
                <w:color w:val="auto"/>
                <w:lang w:val="en-US" w:eastAsia="zh-CN"/>
              </w:rPr>
              <w:t>装载机</w:t>
            </w:r>
          </w:p>
        </w:tc>
        <w:tc>
          <w:tcPr>
            <w:tcW w:w="1052" w:type="dxa"/>
            <w:vAlign w:val="center"/>
          </w:tcPr>
          <w:p w14:paraId="5635E1A5">
            <w:pPr>
              <w:widowControl w:val="0"/>
              <w:bidi w:val="0"/>
              <w:adjustRightInd w:val="0"/>
              <w:snapToGrid w:val="0"/>
              <w:spacing w:line="240" w:lineRule="auto"/>
              <w:ind w:firstLine="0" w:firstLineChars="0"/>
              <w:jc w:val="center"/>
              <w:rPr>
                <w:rFonts w:hint="default"/>
                <w:color w:val="auto"/>
                <w:lang w:val="en-US" w:eastAsia="zh-CN"/>
              </w:rPr>
            </w:pPr>
          </w:p>
        </w:tc>
        <w:tc>
          <w:tcPr>
            <w:tcW w:w="2156" w:type="dxa"/>
            <w:vAlign w:val="center"/>
          </w:tcPr>
          <w:p w14:paraId="7974CC45">
            <w:pPr>
              <w:widowControl w:val="0"/>
              <w:bidi w:val="0"/>
              <w:adjustRightInd w:val="0"/>
              <w:snapToGrid w:val="0"/>
              <w:spacing w:line="240" w:lineRule="auto"/>
              <w:ind w:firstLine="412" w:firstLineChars="200"/>
              <w:jc w:val="center"/>
              <w:rPr>
                <w:color w:val="auto"/>
                <w:lang w:val="en-US" w:eastAsia="zh-CN"/>
              </w:rPr>
            </w:pPr>
            <w:r>
              <w:rPr>
                <w:rFonts w:hint="eastAsia" w:ascii="Calibri" w:hAnsi="Calibri" w:eastAsia="宋体" w:cs="Times New Roman"/>
                <w:color w:val="auto"/>
                <w:spacing w:val="-2"/>
                <w:sz w:val="21"/>
                <w:lang w:val="en-US" w:eastAsia="zh-CN" w:bidi="ar-SA"/>
              </w:rPr>
              <w:t>利旧</w:t>
            </w:r>
          </w:p>
        </w:tc>
      </w:tr>
      <w:tr w14:paraId="648A7F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6DA147EE">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657973E6">
            <w:pPr>
              <w:pStyle w:val="54"/>
              <w:bidi w:val="0"/>
              <w:rPr>
                <w:color w:val="auto"/>
                <w:lang w:val="en-US" w:eastAsia="zh-CN"/>
              </w:rPr>
            </w:pPr>
          </w:p>
        </w:tc>
        <w:tc>
          <w:tcPr>
            <w:tcW w:w="3573" w:type="dxa"/>
            <w:vAlign w:val="center"/>
          </w:tcPr>
          <w:p w14:paraId="432B2D36">
            <w:pPr>
              <w:pStyle w:val="54"/>
              <w:bidi w:val="0"/>
              <w:rPr>
                <w:rFonts w:hint="default"/>
                <w:color w:val="auto"/>
                <w:lang w:val="en-US" w:eastAsia="zh-CN"/>
              </w:rPr>
            </w:pPr>
            <w:r>
              <w:rPr>
                <w:rFonts w:hint="eastAsia"/>
                <w:color w:val="auto"/>
                <w:lang w:val="en-US" w:eastAsia="zh-CN"/>
              </w:rPr>
              <w:t>边坡监测设施设备</w:t>
            </w:r>
          </w:p>
        </w:tc>
        <w:tc>
          <w:tcPr>
            <w:tcW w:w="1052" w:type="dxa"/>
            <w:vAlign w:val="center"/>
          </w:tcPr>
          <w:p w14:paraId="78657DFD">
            <w:pPr>
              <w:widowControl w:val="0"/>
              <w:bidi w:val="0"/>
              <w:adjustRightInd w:val="0"/>
              <w:snapToGrid w:val="0"/>
              <w:spacing w:line="240" w:lineRule="auto"/>
              <w:ind w:firstLine="0" w:firstLineChars="0"/>
              <w:jc w:val="center"/>
              <w:rPr>
                <w:rFonts w:hint="default"/>
                <w:color w:val="auto"/>
                <w:lang w:val="en-US" w:eastAsia="zh-CN"/>
              </w:rPr>
            </w:pPr>
            <w:r>
              <w:rPr>
                <w:rFonts w:hint="eastAsia" w:ascii="Calibri" w:hAnsi="Calibri" w:cs="Times New Roman"/>
                <w:color w:val="auto"/>
                <w:spacing w:val="-2"/>
                <w:sz w:val="21"/>
                <w:lang w:val="en-US" w:eastAsia="zh-CN" w:bidi="ar-SA"/>
              </w:rPr>
              <w:t>2</w:t>
            </w:r>
          </w:p>
        </w:tc>
        <w:tc>
          <w:tcPr>
            <w:tcW w:w="2156" w:type="dxa"/>
            <w:vAlign w:val="center"/>
          </w:tcPr>
          <w:p w14:paraId="2BB70B9D">
            <w:pPr>
              <w:widowControl w:val="0"/>
              <w:bidi w:val="0"/>
              <w:adjustRightInd w:val="0"/>
              <w:snapToGrid w:val="0"/>
              <w:spacing w:line="240" w:lineRule="auto"/>
              <w:ind w:firstLine="0" w:firstLineChars="0"/>
              <w:jc w:val="center"/>
              <w:rPr>
                <w:color w:val="auto"/>
                <w:lang w:val="en-US" w:eastAsia="zh-CN"/>
              </w:rPr>
            </w:pPr>
          </w:p>
        </w:tc>
      </w:tr>
      <w:tr w14:paraId="0ADCE0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6CE6970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17D40663">
            <w:pPr>
              <w:pStyle w:val="54"/>
              <w:bidi w:val="0"/>
              <w:rPr>
                <w:color w:val="auto"/>
                <w:lang w:val="en-US" w:eastAsia="zh-CN"/>
              </w:rPr>
            </w:pPr>
          </w:p>
        </w:tc>
        <w:tc>
          <w:tcPr>
            <w:tcW w:w="3573" w:type="dxa"/>
            <w:vAlign w:val="center"/>
          </w:tcPr>
          <w:p w14:paraId="3E0AF9B6">
            <w:pPr>
              <w:pStyle w:val="54"/>
              <w:bidi w:val="0"/>
              <w:rPr>
                <w:color w:val="auto"/>
                <w:lang w:val="en-US" w:eastAsia="zh-CN"/>
              </w:rPr>
            </w:pPr>
            <w:r>
              <w:rPr>
                <w:rFonts w:hint="eastAsia"/>
                <w:color w:val="auto"/>
                <w:lang w:val="en-US" w:eastAsia="zh-CN"/>
              </w:rPr>
              <w:t>液压起重器</w:t>
            </w:r>
          </w:p>
        </w:tc>
        <w:tc>
          <w:tcPr>
            <w:tcW w:w="1052" w:type="dxa"/>
            <w:vAlign w:val="center"/>
          </w:tcPr>
          <w:p w14:paraId="58196898">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1.5</w:t>
            </w:r>
          </w:p>
        </w:tc>
        <w:tc>
          <w:tcPr>
            <w:tcW w:w="2156" w:type="dxa"/>
            <w:vAlign w:val="center"/>
          </w:tcPr>
          <w:p w14:paraId="26FCE112">
            <w:pPr>
              <w:widowControl w:val="0"/>
              <w:bidi w:val="0"/>
              <w:adjustRightInd w:val="0"/>
              <w:snapToGrid w:val="0"/>
              <w:spacing w:line="240" w:lineRule="auto"/>
              <w:ind w:firstLine="0" w:firstLineChars="0"/>
              <w:jc w:val="center"/>
              <w:rPr>
                <w:color w:val="auto"/>
                <w:lang w:val="en-US" w:eastAsia="zh-CN"/>
              </w:rPr>
            </w:pPr>
          </w:p>
        </w:tc>
      </w:tr>
      <w:tr w14:paraId="740560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04B2868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73C68FB3">
            <w:pPr>
              <w:pStyle w:val="54"/>
              <w:bidi w:val="0"/>
              <w:rPr>
                <w:color w:val="auto"/>
                <w:lang w:val="en-US" w:eastAsia="zh-CN"/>
              </w:rPr>
            </w:pPr>
          </w:p>
        </w:tc>
        <w:tc>
          <w:tcPr>
            <w:tcW w:w="3573" w:type="dxa"/>
            <w:vAlign w:val="center"/>
          </w:tcPr>
          <w:p w14:paraId="0F81794C">
            <w:pPr>
              <w:pStyle w:val="54"/>
              <w:bidi w:val="0"/>
              <w:rPr>
                <w:color w:val="auto"/>
                <w:lang w:val="en-US" w:eastAsia="zh-CN"/>
              </w:rPr>
            </w:pPr>
            <w:r>
              <w:rPr>
                <w:rFonts w:hint="eastAsia"/>
                <w:color w:val="auto"/>
                <w:lang w:val="en-US" w:eastAsia="zh-CN"/>
              </w:rPr>
              <w:t>千斤顶</w:t>
            </w:r>
          </w:p>
        </w:tc>
        <w:tc>
          <w:tcPr>
            <w:tcW w:w="1052" w:type="dxa"/>
            <w:vAlign w:val="center"/>
          </w:tcPr>
          <w:p w14:paraId="66CC2EE3">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0.15</w:t>
            </w:r>
          </w:p>
        </w:tc>
        <w:tc>
          <w:tcPr>
            <w:tcW w:w="2156" w:type="dxa"/>
            <w:vAlign w:val="center"/>
          </w:tcPr>
          <w:p w14:paraId="73249962">
            <w:pPr>
              <w:widowControl w:val="0"/>
              <w:bidi w:val="0"/>
              <w:adjustRightInd w:val="0"/>
              <w:snapToGrid w:val="0"/>
              <w:spacing w:line="240" w:lineRule="auto"/>
              <w:ind w:firstLine="0" w:firstLineChars="0"/>
              <w:jc w:val="center"/>
              <w:rPr>
                <w:color w:val="auto"/>
                <w:lang w:val="en-US" w:eastAsia="zh-CN"/>
              </w:rPr>
            </w:pPr>
          </w:p>
        </w:tc>
      </w:tr>
      <w:tr w14:paraId="348850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15F1BDDA">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43FE7644">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156D9FD2">
            <w:pPr>
              <w:pStyle w:val="54"/>
              <w:bidi w:val="0"/>
              <w:rPr>
                <w:color w:val="auto"/>
                <w:lang w:val="en-US" w:eastAsia="zh-CN"/>
              </w:rPr>
            </w:pPr>
            <w:r>
              <w:rPr>
                <w:rFonts w:hint="eastAsia"/>
                <w:color w:val="auto"/>
                <w:lang w:val="en-US" w:eastAsia="zh-CN"/>
              </w:rPr>
              <w:t>工具组</w:t>
            </w:r>
          </w:p>
        </w:tc>
        <w:tc>
          <w:tcPr>
            <w:tcW w:w="1052" w:type="dxa"/>
            <w:vAlign w:val="center"/>
          </w:tcPr>
          <w:p w14:paraId="4738D2BA">
            <w:pPr>
              <w:widowControl w:val="0"/>
              <w:bidi w:val="0"/>
              <w:adjustRightInd w:val="0"/>
              <w:snapToGrid w:val="0"/>
              <w:spacing w:line="240" w:lineRule="auto"/>
              <w:ind w:firstLine="0" w:firstLineChars="0"/>
              <w:jc w:val="center"/>
              <w:rPr>
                <w:rFonts w:hint="default"/>
                <w:color w:val="auto"/>
                <w:lang w:val="en-US" w:eastAsia="zh-CN"/>
              </w:rPr>
            </w:pPr>
            <w:r>
              <w:rPr>
                <w:rFonts w:hint="eastAsia" w:ascii="Calibri" w:hAnsi="Calibri" w:cs="Times New Roman"/>
                <w:color w:val="auto"/>
                <w:spacing w:val="-2"/>
                <w:sz w:val="21"/>
                <w:lang w:val="en-US" w:eastAsia="zh-CN" w:bidi="ar-SA"/>
              </w:rPr>
              <w:t>0.2</w:t>
            </w:r>
          </w:p>
        </w:tc>
        <w:tc>
          <w:tcPr>
            <w:tcW w:w="2156" w:type="dxa"/>
            <w:vAlign w:val="center"/>
          </w:tcPr>
          <w:p w14:paraId="3697BD5B">
            <w:pPr>
              <w:widowControl w:val="0"/>
              <w:bidi w:val="0"/>
              <w:adjustRightInd w:val="0"/>
              <w:snapToGrid w:val="0"/>
              <w:spacing w:line="240" w:lineRule="auto"/>
              <w:ind w:firstLine="0" w:firstLineChars="0"/>
              <w:jc w:val="center"/>
              <w:rPr>
                <w:color w:val="auto"/>
                <w:lang w:val="en-US" w:eastAsia="zh-CN"/>
              </w:rPr>
            </w:pPr>
          </w:p>
        </w:tc>
      </w:tr>
      <w:tr w14:paraId="140EDD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1DADCBCF">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340CC16D">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716D3639">
            <w:pPr>
              <w:pStyle w:val="54"/>
              <w:bidi w:val="0"/>
              <w:rPr>
                <w:color w:val="auto"/>
                <w:lang w:val="en-US" w:eastAsia="zh-CN"/>
              </w:rPr>
            </w:pPr>
            <w:r>
              <w:rPr>
                <w:rFonts w:hint="eastAsia"/>
                <w:color w:val="auto"/>
                <w:lang w:val="en-US" w:eastAsia="zh-CN"/>
              </w:rPr>
              <w:t>安全帽</w:t>
            </w:r>
          </w:p>
        </w:tc>
        <w:tc>
          <w:tcPr>
            <w:tcW w:w="1052" w:type="dxa"/>
            <w:vAlign w:val="center"/>
          </w:tcPr>
          <w:p w14:paraId="5F81AB2B">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w:t>
            </w:r>
          </w:p>
        </w:tc>
        <w:tc>
          <w:tcPr>
            <w:tcW w:w="2156" w:type="dxa"/>
            <w:vAlign w:val="center"/>
          </w:tcPr>
          <w:p w14:paraId="2BDA013A">
            <w:pPr>
              <w:widowControl w:val="0"/>
              <w:bidi w:val="0"/>
              <w:adjustRightInd w:val="0"/>
              <w:snapToGrid w:val="0"/>
              <w:spacing w:line="240" w:lineRule="auto"/>
              <w:ind w:firstLine="0" w:firstLineChars="0"/>
              <w:jc w:val="center"/>
              <w:rPr>
                <w:color w:val="auto"/>
                <w:lang w:val="en-US" w:eastAsia="zh-CN"/>
              </w:rPr>
            </w:pPr>
          </w:p>
        </w:tc>
      </w:tr>
      <w:tr w14:paraId="1BACEC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01D5E1E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63480E0C">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3F95BCD8">
            <w:pPr>
              <w:pStyle w:val="54"/>
              <w:bidi w:val="0"/>
              <w:rPr>
                <w:color w:val="auto"/>
                <w:lang w:val="en-US" w:eastAsia="zh-CN"/>
              </w:rPr>
            </w:pPr>
            <w:r>
              <w:rPr>
                <w:rFonts w:hint="eastAsia"/>
                <w:color w:val="auto"/>
                <w:lang w:val="en-US" w:eastAsia="zh-CN"/>
              </w:rPr>
              <w:t>水鞋</w:t>
            </w:r>
          </w:p>
        </w:tc>
        <w:tc>
          <w:tcPr>
            <w:tcW w:w="1052" w:type="dxa"/>
            <w:vAlign w:val="center"/>
          </w:tcPr>
          <w:p w14:paraId="14876C1E">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0.05</w:t>
            </w:r>
          </w:p>
        </w:tc>
        <w:tc>
          <w:tcPr>
            <w:tcW w:w="2156" w:type="dxa"/>
            <w:vAlign w:val="center"/>
          </w:tcPr>
          <w:p w14:paraId="1C4087B4">
            <w:pPr>
              <w:widowControl w:val="0"/>
              <w:bidi w:val="0"/>
              <w:adjustRightInd w:val="0"/>
              <w:snapToGrid w:val="0"/>
              <w:spacing w:line="240" w:lineRule="auto"/>
              <w:ind w:firstLine="0" w:firstLineChars="0"/>
              <w:jc w:val="center"/>
              <w:rPr>
                <w:color w:val="auto"/>
                <w:lang w:val="en-US" w:eastAsia="zh-CN"/>
              </w:rPr>
            </w:pPr>
          </w:p>
        </w:tc>
      </w:tr>
      <w:tr w14:paraId="2342EF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05AD0CA7">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7F99E591">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399823EC">
            <w:pPr>
              <w:pStyle w:val="54"/>
              <w:bidi w:val="0"/>
              <w:rPr>
                <w:color w:val="auto"/>
                <w:lang w:val="en-US" w:eastAsia="zh-CN"/>
              </w:rPr>
            </w:pPr>
            <w:r>
              <w:rPr>
                <w:rFonts w:hint="eastAsia"/>
                <w:color w:val="auto"/>
                <w:lang w:val="en-US" w:eastAsia="zh-CN"/>
              </w:rPr>
              <w:t>担架</w:t>
            </w:r>
          </w:p>
        </w:tc>
        <w:tc>
          <w:tcPr>
            <w:tcW w:w="1052" w:type="dxa"/>
            <w:vAlign w:val="center"/>
          </w:tcPr>
          <w:p w14:paraId="45B613A3">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0.05</w:t>
            </w:r>
          </w:p>
        </w:tc>
        <w:tc>
          <w:tcPr>
            <w:tcW w:w="2156" w:type="dxa"/>
            <w:vAlign w:val="center"/>
          </w:tcPr>
          <w:p w14:paraId="6FB52871">
            <w:pPr>
              <w:widowControl w:val="0"/>
              <w:bidi w:val="0"/>
              <w:adjustRightInd w:val="0"/>
              <w:snapToGrid w:val="0"/>
              <w:spacing w:line="240" w:lineRule="auto"/>
              <w:ind w:firstLine="0" w:firstLineChars="0"/>
              <w:jc w:val="center"/>
              <w:rPr>
                <w:color w:val="auto"/>
                <w:lang w:val="en-US" w:eastAsia="zh-CN"/>
              </w:rPr>
            </w:pPr>
          </w:p>
        </w:tc>
      </w:tr>
      <w:tr w14:paraId="4A6582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1261CEF5">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0321019E">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38088E3C">
            <w:pPr>
              <w:pStyle w:val="54"/>
              <w:bidi w:val="0"/>
              <w:rPr>
                <w:color w:val="auto"/>
                <w:lang w:val="en-US" w:eastAsia="zh-CN"/>
              </w:rPr>
            </w:pPr>
            <w:r>
              <w:rPr>
                <w:rFonts w:hint="eastAsia"/>
                <w:color w:val="auto"/>
                <w:lang w:val="en-US" w:eastAsia="zh-CN"/>
              </w:rPr>
              <w:t>急救箱</w:t>
            </w:r>
          </w:p>
        </w:tc>
        <w:tc>
          <w:tcPr>
            <w:tcW w:w="1052" w:type="dxa"/>
            <w:vAlign w:val="center"/>
          </w:tcPr>
          <w:p w14:paraId="02290365">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w:t>
            </w:r>
          </w:p>
        </w:tc>
        <w:tc>
          <w:tcPr>
            <w:tcW w:w="2156" w:type="dxa"/>
            <w:vAlign w:val="center"/>
          </w:tcPr>
          <w:p w14:paraId="096081EE">
            <w:pPr>
              <w:widowControl w:val="0"/>
              <w:bidi w:val="0"/>
              <w:adjustRightInd w:val="0"/>
              <w:snapToGrid w:val="0"/>
              <w:spacing w:line="240" w:lineRule="auto"/>
              <w:ind w:firstLine="0" w:firstLineChars="0"/>
              <w:jc w:val="center"/>
              <w:rPr>
                <w:color w:val="auto"/>
                <w:lang w:val="en-US" w:eastAsia="zh-CN"/>
              </w:rPr>
            </w:pPr>
          </w:p>
        </w:tc>
      </w:tr>
      <w:tr w14:paraId="7B8ADD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64C7EEBA">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29B47549">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27404900">
            <w:pPr>
              <w:pStyle w:val="54"/>
              <w:bidi w:val="0"/>
              <w:rPr>
                <w:color w:val="auto"/>
                <w:lang w:val="en-US" w:eastAsia="zh-CN"/>
              </w:rPr>
            </w:pPr>
            <w:r>
              <w:rPr>
                <w:rFonts w:hint="eastAsia"/>
                <w:color w:val="auto"/>
                <w:lang w:val="en-US" w:eastAsia="zh-CN"/>
              </w:rPr>
              <w:t>安全带</w:t>
            </w:r>
          </w:p>
        </w:tc>
        <w:tc>
          <w:tcPr>
            <w:tcW w:w="1052" w:type="dxa"/>
            <w:vAlign w:val="center"/>
          </w:tcPr>
          <w:p w14:paraId="2CACFE69">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0.15</w:t>
            </w:r>
          </w:p>
        </w:tc>
        <w:tc>
          <w:tcPr>
            <w:tcW w:w="2156" w:type="dxa"/>
            <w:vAlign w:val="center"/>
          </w:tcPr>
          <w:p w14:paraId="7FD8D1B2">
            <w:pPr>
              <w:widowControl w:val="0"/>
              <w:bidi w:val="0"/>
              <w:adjustRightInd w:val="0"/>
              <w:snapToGrid w:val="0"/>
              <w:spacing w:line="240" w:lineRule="auto"/>
              <w:ind w:firstLine="0" w:firstLineChars="0"/>
              <w:jc w:val="center"/>
              <w:rPr>
                <w:color w:val="auto"/>
                <w:lang w:val="en-US" w:eastAsia="zh-CN"/>
              </w:rPr>
            </w:pPr>
          </w:p>
        </w:tc>
      </w:tr>
      <w:tr w14:paraId="0D460F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5C95F5B0">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07AEAA4F">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50C55652">
            <w:pPr>
              <w:pStyle w:val="54"/>
              <w:bidi w:val="0"/>
              <w:rPr>
                <w:color w:val="auto"/>
                <w:lang w:val="en-US" w:eastAsia="zh-CN"/>
              </w:rPr>
            </w:pPr>
            <w:r>
              <w:rPr>
                <w:rFonts w:hint="eastAsia"/>
                <w:color w:val="auto"/>
                <w:lang w:val="en-US" w:eastAsia="zh-CN"/>
              </w:rPr>
              <w:t>安全绳</w:t>
            </w:r>
          </w:p>
        </w:tc>
        <w:tc>
          <w:tcPr>
            <w:tcW w:w="1052" w:type="dxa"/>
            <w:vAlign w:val="center"/>
          </w:tcPr>
          <w:p w14:paraId="6C1FCF23">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0.15</w:t>
            </w:r>
          </w:p>
        </w:tc>
        <w:tc>
          <w:tcPr>
            <w:tcW w:w="2156" w:type="dxa"/>
            <w:vAlign w:val="center"/>
          </w:tcPr>
          <w:p w14:paraId="6E4EA6B5">
            <w:pPr>
              <w:widowControl w:val="0"/>
              <w:bidi w:val="0"/>
              <w:adjustRightInd w:val="0"/>
              <w:snapToGrid w:val="0"/>
              <w:spacing w:line="240" w:lineRule="auto"/>
              <w:ind w:firstLine="0" w:firstLineChars="0"/>
              <w:jc w:val="center"/>
              <w:rPr>
                <w:color w:val="auto"/>
                <w:lang w:val="en-US" w:eastAsia="zh-CN"/>
              </w:rPr>
            </w:pPr>
          </w:p>
        </w:tc>
      </w:tr>
      <w:tr w14:paraId="4252F8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1F78CA7D">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521550BB">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178C86EA">
            <w:pPr>
              <w:pStyle w:val="54"/>
              <w:bidi w:val="0"/>
              <w:rPr>
                <w:color w:val="auto"/>
                <w:lang w:val="en-US" w:eastAsia="zh-CN"/>
              </w:rPr>
            </w:pPr>
            <w:r>
              <w:rPr>
                <w:rFonts w:hint="eastAsia"/>
                <w:color w:val="auto"/>
                <w:lang w:val="en-US" w:eastAsia="zh-CN"/>
              </w:rPr>
              <w:t>应急灯</w:t>
            </w:r>
          </w:p>
        </w:tc>
        <w:tc>
          <w:tcPr>
            <w:tcW w:w="1052" w:type="dxa"/>
            <w:vAlign w:val="center"/>
          </w:tcPr>
          <w:p w14:paraId="094A68C5">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w:t>
            </w:r>
          </w:p>
        </w:tc>
        <w:tc>
          <w:tcPr>
            <w:tcW w:w="2156" w:type="dxa"/>
            <w:vAlign w:val="center"/>
          </w:tcPr>
          <w:p w14:paraId="264AEC37">
            <w:pPr>
              <w:widowControl w:val="0"/>
              <w:bidi w:val="0"/>
              <w:adjustRightInd w:val="0"/>
              <w:snapToGrid w:val="0"/>
              <w:spacing w:line="240" w:lineRule="auto"/>
              <w:ind w:firstLine="0" w:firstLineChars="0"/>
              <w:jc w:val="center"/>
              <w:rPr>
                <w:color w:val="auto"/>
                <w:lang w:val="en-US" w:eastAsia="zh-CN"/>
              </w:rPr>
            </w:pPr>
          </w:p>
        </w:tc>
      </w:tr>
      <w:tr w14:paraId="41BEB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28FAEE65">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691CA915">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1F035E82">
            <w:pPr>
              <w:pStyle w:val="54"/>
              <w:bidi w:val="0"/>
              <w:rPr>
                <w:color w:val="auto"/>
                <w:lang w:val="en-US" w:eastAsia="zh-CN"/>
              </w:rPr>
            </w:pPr>
            <w:r>
              <w:rPr>
                <w:rFonts w:hint="eastAsia"/>
                <w:color w:val="auto"/>
                <w:lang w:val="en-US" w:eastAsia="zh-CN"/>
              </w:rPr>
              <w:t>帐篷</w:t>
            </w:r>
          </w:p>
        </w:tc>
        <w:tc>
          <w:tcPr>
            <w:tcW w:w="1052" w:type="dxa"/>
            <w:vAlign w:val="center"/>
          </w:tcPr>
          <w:p w14:paraId="5822E499">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0.2</w:t>
            </w:r>
          </w:p>
        </w:tc>
        <w:tc>
          <w:tcPr>
            <w:tcW w:w="2156" w:type="dxa"/>
            <w:vAlign w:val="center"/>
          </w:tcPr>
          <w:p w14:paraId="5D875113">
            <w:pPr>
              <w:widowControl w:val="0"/>
              <w:bidi w:val="0"/>
              <w:adjustRightInd w:val="0"/>
              <w:snapToGrid w:val="0"/>
              <w:spacing w:line="240" w:lineRule="auto"/>
              <w:ind w:firstLine="0" w:firstLineChars="0"/>
              <w:jc w:val="center"/>
              <w:rPr>
                <w:color w:val="auto"/>
                <w:lang w:val="en-US" w:eastAsia="zh-CN"/>
              </w:rPr>
            </w:pPr>
          </w:p>
        </w:tc>
      </w:tr>
      <w:tr w14:paraId="174E56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1689693D">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30DE5905">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5F551C17">
            <w:pPr>
              <w:pStyle w:val="54"/>
              <w:bidi w:val="0"/>
              <w:rPr>
                <w:color w:val="auto"/>
                <w:lang w:val="en-US" w:eastAsia="zh-CN"/>
              </w:rPr>
            </w:pPr>
            <w:r>
              <w:rPr>
                <w:rFonts w:hint="eastAsia"/>
                <w:color w:val="auto"/>
                <w:lang w:val="en-US" w:eastAsia="zh-CN"/>
              </w:rPr>
              <w:t>切割锯</w:t>
            </w:r>
          </w:p>
        </w:tc>
        <w:tc>
          <w:tcPr>
            <w:tcW w:w="1052" w:type="dxa"/>
            <w:vAlign w:val="center"/>
          </w:tcPr>
          <w:p w14:paraId="12948C6D">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0A5B36FB">
            <w:pPr>
              <w:widowControl w:val="0"/>
              <w:bidi w:val="0"/>
              <w:adjustRightInd w:val="0"/>
              <w:snapToGrid w:val="0"/>
              <w:spacing w:line="240" w:lineRule="auto"/>
              <w:ind w:firstLine="0" w:firstLineChars="0"/>
              <w:jc w:val="center"/>
              <w:rPr>
                <w:color w:val="auto"/>
                <w:lang w:val="en-US" w:eastAsia="zh-CN"/>
              </w:rPr>
            </w:pPr>
          </w:p>
        </w:tc>
      </w:tr>
      <w:tr w14:paraId="0EA6EC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130757A3">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2ACA2D1B">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5A750657">
            <w:pPr>
              <w:pStyle w:val="54"/>
              <w:bidi w:val="0"/>
              <w:rPr>
                <w:color w:val="auto"/>
                <w:lang w:val="en-US" w:eastAsia="zh-CN"/>
              </w:rPr>
            </w:pPr>
            <w:r>
              <w:rPr>
                <w:rFonts w:hint="eastAsia"/>
                <w:color w:val="auto"/>
                <w:lang w:val="en-US" w:eastAsia="zh-CN"/>
              </w:rPr>
              <w:t>灭火器</w:t>
            </w:r>
          </w:p>
        </w:tc>
        <w:tc>
          <w:tcPr>
            <w:tcW w:w="1052" w:type="dxa"/>
            <w:vAlign w:val="center"/>
          </w:tcPr>
          <w:p w14:paraId="607C35BD">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w:t>
            </w:r>
          </w:p>
        </w:tc>
        <w:tc>
          <w:tcPr>
            <w:tcW w:w="2156" w:type="dxa"/>
            <w:vAlign w:val="center"/>
          </w:tcPr>
          <w:p w14:paraId="22CB94B2">
            <w:pPr>
              <w:widowControl w:val="0"/>
              <w:bidi w:val="0"/>
              <w:adjustRightInd w:val="0"/>
              <w:snapToGrid w:val="0"/>
              <w:spacing w:line="240" w:lineRule="auto"/>
              <w:ind w:firstLine="0" w:firstLineChars="0"/>
              <w:jc w:val="center"/>
              <w:rPr>
                <w:color w:val="auto"/>
                <w:lang w:val="en-US" w:eastAsia="zh-CN"/>
              </w:rPr>
            </w:pPr>
          </w:p>
        </w:tc>
      </w:tr>
      <w:tr w14:paraId="28BC27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28585757">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46B4B627">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3573" w:type="dxa"/>
            <w:vAlign w:val="center"/>
          </w:tcPr>
          <w:p w14:paraId="590FFD27">
            <w:pPr>
              <w:pStyle w:val="54"/>
              <w:bidi w:val="0"/>
              <w:rPr>
                <w:color w:val="auto"/>
                <w:lang w:val="en-US" w:eastAsia="zh-CN"/>
              </w:rPr>
            </w:pPr>
            <w:r>
              <w:rPr>
                <w:rFonts w:hint="eastAsia"/>
                <w:color w:val="auto"/>
                <w:lang w:val="en-US" w:eastAsia="zh-CN"/>
              </w:rPr>
              <w:t>运输车辆</w:t>
            </w:r>
          </w:p>
        </w:tc>
        <w:tc>
          <w:tcPr>
            <w:tcW w:w="1052" w:type="dxa"/>
            <w:vAlign w:val="center"/>
          </w:tcPr>
          <w:p w14:paraId="2D94309D">
            <w:pPr>
              <w:widowControl w:val="0"/>
              <w:bidi w:val="0"/>
              <w:adjustRightInd w:val="0"/>
              <w:snapToGrid w:val="0"/>
              <w:spacing w:line="240" w:lineRule="auto"/>
              <w:ind w:firstLine="0" w:firstLineChars="0"/>
              <w:jc w:val="center"/>
              <w:rPr>
                <w:rFonts w:hint="default"/>
                <w:color w:val="auto"/>
                <w:lang w:val="en-US" w:eastAsia="zh-CN"/>
              </w:rPr>
            </w:pPr>
          </w:p>
        </w:tc>
        <w:tc>
          <w:tcPr>
            <w:tcW w:w="2156" w:type="dxa"/>
            <w:vAlign w:val="center"/>
          </w:tcPr>
          <w:p w14:paraId="57D1976A">
            <w:pPr>
              <w:widowControl w:val="0"/>
              <w:bidi w:val="0"/>
              <w:adjustRightInd w:val="0"/>
              <w:snapToGrid w:val="0"/>
              <w:spacing w:line="240" w:lineRule="auto"/>
              <w:ind w:firstLine="0" w:firstLineChars="0"/>
              <w:jc w:val="center"/>
              <w:rPr>
                <w:color w:val="auto"/>
                <w:lang w:val="en-US" w:eastAsia="zh-CN"/>
              </w:rPr>
            </w:pPr>
            <w:r>
              <w:rPr>
                <w:rFonts w:hint="eastAsia" w:ascii="Calibri" w:hAnsi="Calibri" w:eastAsia="宋体" w:cs="Times New Roman"/>
                <w:color w:val="auto"/>
                <w:spacing w:val="-2"/>
                <w:sz w:val="21"/>
                <w:lang w:val="en-US" w:eastAsia="zh-CN" w:bidi="ar-SA"/>
              </w:rPr>
              <w:t>利旧</w:t>
            </w:r>
          </w:p>
        </w:tc>
      </w:tr>
      <w:tr w14:paraId="04ACB8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Align w:val="center"/>
          </w:tcPr>
          <w:p w14:paraId="67309C14">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5</w:t>
            </w:r>
          </w:p>
        </w:tc>
        <w:tc>
          <w:tcPr>
            <w:tcW w:w="1896" w:type="dxa"/>
            <w:vAlign w:val="center"/>
          </w:tcPr>
          <w:p w14:paraId="5F6F6863">
            <w:pPr>
              <w:pStyle w:val="54"/>
              <w:bidi w:val="0"/>
              <w:rPr>
                <w:color w:val="auto"/>
                <w:lang w:val="en-US" w:eastAsia="zh-CN"/>
              </w:rPr>
            </w:pPr>
            <w:r>
              <w:rPr>
                <w:rFonts w:hint="eastAsia"/>
                <w:color w:val="auto"/>
                <w:lang w:val="en-US" w:eastAsia="zh-CN"/>
              </w:rPr>
              <w:t>通信联络系统</w:t>
            </w:r>
          </w:p>
        </w:tc>
        <w:tc>
          <w:tcPr>
            <w:tcW w:w="3573" w:type="dxa"/>
            <w:vAlign w:val="center"/>
          </w:tcPr>
          <w:p w14:paraId="7752B5AC">
            <w:pPr>
              <w:pStyle w:val="54"/>
              <w:bidi w:val="0"/>
              <w:ind w:firstLine="0" w:firstLineChars="0"/>
              <w:rPr>
                <w:color w:val="auto"/>
                <w:lang w:val="en-US" w:eastAsia="zh-CN"/>
              </w:rPr>
            </w:pPr>
            <w:r>
              <w:rPr>
                <w:rFonts w:hint="eastAsia"/>
                <w:color w:val="auto"/>
                <w:lang w:val="en-US" w:eastAsia="zh-CN"/>
              </w:rPr>
              <w:t>固定电话、手机、无线对讲机</w:t>
            </w:r>
          </w:p>
        </w:tc>
        <w:tc>
          <w:tcPr>
            <w:tcW w:w="1052" w:type="dxa"/>
            <w:vAlign w:val="center"/>
          </w:tcPr>
          <w:p w14:paraId="3B917131">
            <w:pPr>
              <w:widowControl w:val="0"/>
              <w:bidi w:val="0"/>
              <w:adjustRightInd w:val="0"/>
              <w:snapToGrid w:val="0"/>
              <w:spacing w:line="240" w:lineRule="auto"/>
              <w:ind w:firstLine="0" w:firstLineChars="0"/>
              <w:jc w:val="center"/>
              <w:rPr>
                <w:color w:val="auto"/>
                <w:lang w:val="en-US" w:eastAsia="zh-CN"/>
              </w:rPr>
            </w:pPr>
          </w:p>
        </w:tc>
        <w:tc>
          <w:tcPr>
            <w:tcW w:w="2156" w:type="dxa"/>
            <w:vAlign w:val="center"/>
          </w:tcPr>
          <w:p w14:paraId="648A97BE">
            <w:pPr>
              <w:widowControl w:val="0"/>
              <w:bidi w:val="0"/>
              <w:adjustRightInd w:val="0"/>
              <w:snapToGrid w:val="0"/>
              <w:spacing w:line="240" w:lineRule="auto"/>
              <w:ind w:firstLine="0" w:firstLineChars="0"/>
              <w:jc w:val="center"/>
              <w:rPr>
                <w:color w:val="auto"/>
                <w:lang w:val="en-US" w:eastAsia="zh-CN"/>
              </w:rPr>
            </w:pPr>
            <w:r>
              <w:rPr>
                <w:rFonts w:hint="eastAsia" w:ascii="Calibri" w:hAnsi="Calibri" w:eastAsia="宋体" w:cs="Times New Roman"/>
                <w:color w:val="auto"/>
                <w:spacing w:val="-2"/>
                <w:sz w:val="21"/>
                <w:lang w:val="en-US" w:eastAsia="zh-CN" w:bidi="ar-SA"/>
              </w:rPr>
              <w:t>利用生产设备</w:t>
            </w:r>
          </w:p>
        </w:tc>
      </w:tr>
      <w:tr w14:paraId="63D45E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restart"/>
            <w:vAlign w:val="center"/>
          </w:tcPr>
          <w:p w14:paraId="3404EB6E">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6</w:t>
            </w:r>
          </w:p>
        </w:tc>
        <w:tc>
          <w:tcPr>
            <w:tcW w:w="1896" w:type="dxa"/>
            <w:vMerge w:val="restart"/>
            <w:vAlign w:val="center"/>
          </w:tcPr>
          <w:p w14:paraId="020793C2">
            <w:pPr>
              <w:pStyle w:val="54"/>
              <w:bidi w:val="0"/>
              <w:rPr>
                <w:color w:val="auto"/>
                <w:lang w:val="en-US" w:eastAsia="zh-CN"/>
              </w:rPr>
            </w:pPr>
            <w:r>
              <w:rPr>
                <w:rFonts w:hint="eastAsia"/>
                <w:color w:val="auto"/>
                <w:lang w:val="en-US" w:eastAsia="zh-CN"/>
              </w:rPr>
              <w:t>个人安全防护</w:t>
            </w:r>
          </w:p>
        </w:tc>
        <w:tc>
          <w:tcPr>
            <w:tcW w:w="3573" w:type="dxa"/>
            <w:vAlign w:val="center"/>
          </w:tcPr>
          <w:p w14:paraId="36358BE8">
            <w:pPr>
              <w:pStyle w:val="54"/>
              <w:bidi w:val="0"/>
              <w:ind w:firstLine="0" w:firstLineChars="0"/>
              <w:rPr>
                <w:color w:val="auto"/>
                <w:lang w:val="en-US" w:eastAsia="zh-CN"/>
              </w:rPr>
            </w:pPr>
            <w:r>
              <w:rPr>
                <w:rFonts w:hint="eastAsia"/>
                <w:color w:val="auto"/>
                <w:lang w:val="en-US" w:eastAsia="zh-CN"/>
              </w:rPr>
              <w:t>安全帽</w:t>
            </w:r>
          </w:p>
        </w:tc>
        <w:tc>
          <w:tcPr>
            <w:tcW w:w="1052" w:type="dxa"/>
            <w:vAlign w:val="center"/>
          </w:tcPr>
          <w:p w14:paraId="7F0C5622">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0.2</w:t>
            </w:r>
          </w:p>
        </w:tc>
        <w:tc>
          <w:tcPr>
            <w:tcW w:w="2156" w:type="dxa"/>
            <w:vAlign w:val="center"/>
          </w:tcPr>
          <w:p w14:paraId="0C496A22">
            <w:pPr>
              <w:widowControl w:val="0"/>
              <w:bidi w:val="0"/>
              <w:adjustRightInd w:val="0"/>
              <w:snapToGrid w:val="0"/>
              <w:spacing w:line="240" w:lineRule="auto"/>
              <w:ind w:firstLine="0" w:firstLineChars="0"/>
              <w:jc w:val="center"/>
              <w:rPr>
                <w:color w:val="auto"/>
                <w:lang w:val="en-US" w:eastAsia="zh-CN"/>
              </w:rPr>
            </w:pPr>
          </w:p>
        </w:tc>
      </w:tr>
      <w:tr w14:paraId="2CE91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331716B5">
            <w:pPr>
              <w:widowControl w:val="0"/>
              <w:spacing w:line="360" w:lineRule="auto"/>
              <w:ind w:firstLine="0" w:firstLineChars="0"/>
              <w:jc w:val="center"/>
              <w:rPr>
                <w:rFonts w:hint="eastAsia" w:ascii="Times New Roman" w:hAnsi="Times New Roman" w:eastAsia="宋体" w:cs="Times New Roman"/>
                <w:color w:val="auto"/>
                <w:kern w:val="2"/>
                <w:sz w:val="21"/>
                <w:szCs w:val="24"/>
                <w:lang w:val="en-US" w:eastAsia="zh-CN" w:bidi="ar-SA"/>
              </w:rPr>
            </w:pPr>
          </w:p>
        </w:tc>
        <w:tc>
          <w:tcPr>
            <w:tcW w:w="1896" w:type="dxa"/>
            <w:vMerge w:val="continue"/>
            <w:vAlign w:val="center"/>
          </w:tcPr>
          <w:p w14:paraId="6A134269">
            <w:pPr>
              <w:pStyle w:val="54"/>
              <w:bidi w:val="0"/>
              <w:rPr>
                <w:rFonts w:hint="eastAsia"/>
                <w:color w:val="auto"/>
                <w:lang w:val="en-US" w:eastAsia="zh-CN"/>
              </w:rPr>
            </w:pPr>
          </w:p>
        </w:tc>
        <w:tc>
          <w:tcPr>
            <w:tcW w:w="3573" w:type="dxa"/>
            <w:vAlign w:val="center"/>
          </w:tcPr>
          <w:p w14:paraId="65009297">
            <w:pPr>
              <w:pStyle w:val="54"/>
              <w:bidi w:val="0"/>
              <w:ind w:firstLine="0" w:firstLineChars="0"/>
              <w:rPr>
                <w:rFonts w:hint="eastAsia"/>
                <w:color w:val="auto"/>
                <w:lang w:val="en-US" w:eastAsia="zh-CN"/>
              </w:rPr>
            </w:pPr>
            <w:r>
              <w:rPr>
                <w:rFonts w:hint="eastAsia"/>
                <w:color w:val="auto"/>
                <w:lang w:val="en-US" w:eastAsia="zh-CN"/>
              </w:rPr>
              <w:t>安全带</w:t>
            </w:r>
          </w:p>
        </w:tc>
        <w:tc>
          <w:tcPr>
            <w:tcW w:w="1052" w:type="dxa"/>
            <w:vAlign w:val="center"/>
          </w:tcPr>
          <w:p w14:paraId="35705002">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0.15</w:t>
            </w:r>
          </w:p>
        </w:tc>
        <w:tc>
          <w:tcPr>
            <w:tcW w:w="2156" w:type="dxa"/>
            <w:vAlign w:val="center"/>
          </w:tcPr>
          <w:p w14:paraId="46AA47C2">
            <w:pPr>
              <w:widowControl w:val="0"/>
              <w:bidi w:val="0"/>
              <w:adjustRightInd w:val="0"/>
              <w:snapToGrid w:val="0"/>
              <w:spacing w:line="240" w:lineRule="auto"/>
              <w:ind w:firstLine="0" w:firstLineChars="0"/>
              <w:jc w:val="center"/>
              <w:rPr>
                <w:color w:val="auto"/>
                <w:lang w:val="en-US" w:eastAsia="zh-CN"/>
              </w:rPr>
            </w:pPr>
          </w:p>
        </w:tc>
      </w:tr>
      <w:tr w14:paraId="270BF7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108FD720">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1BA08B80">
            <w:pPr>
              <w:pStyle w:val="54"/>
              <w:bidi w:val="0"/>
              <w:rPr>
                <w:color w:val="auto"/>
                <w:lang w:val="en-US" w:eastAsia="zh-CN"/>
              </w:rPr>
            </w:pPr>
          </w:p>
        </w:tc>
        <w:tc>
          <w:tcPr>
            <w:tcW w:w="3573" w:type="dxa"/>
            <w:shd w:val="clear" w:color="auto" w:fill="auto"/>
            <w:vAlign w:val="center"/>
          </w:tcPr>
          <w:p w14:paraId="7D234681">
            <w:pPr>
              <w:pStyle w:val="54"/>
              <w:bidi w:val="0"/>
              <w:ind w:firstLine="0" w:firstLineChars="0"/>
              <w:rPr>
                <w:rFonts w:hint="eastAsia" w:ascii="Calibri" w:hAnsi="Calibri" w:eastAsia="宋体" w:cs="Times New Roman"/>
                <w:color w:val="auto"/>
                <w:spacing w:val="-2"/>
                <w:sz w:val="21"/>
                <w:lang w:val="en-US" w:eastAsia="zh-CN" w:bidi="ar-SA"/>
              </w:rPr>
            </w:pPr>
            <w:r>
              <w:rPr>
                <w:rFonts w:hint="eastAsia"/>
                <w:color w:val="auto"/>
                <w:lang w:val="en-US" w:eastAsia="zh-CN"/>
              </w:rPr>
              <w:t>安全鞋</w:t>
            </w:r>
          </w:p>
        </w:tc>
        <w:tc>
          <w:tcPr>
            <w:tcW w:w="1052" w:type="dxa"/>
            <w:shd w:val="clear" w:color="auto" w:fill="auto"/>
            <w:vAlign w:val="center"/>
          </w:tcPr>
          <w:p w14:paraId="2559C7AC">
            <w:pPr>
              <w:widowControl w:val="0"/>
              <w:bidi w:val="0"/>
              <w:adjustRightInd w:val="0"/>
              <w:snapToGrid w:val="0"/>
              <w:spacing w:line="240" w:lineRule="auto"/>
              <w:ind w:firstLine="0" w:firstLineChars="0"/>
              <w:jc w:val="center"/>
              <w:rPr>
                <w:rFonts w:ascii="Calibri" w:hAnsi="Calibri" w:eastAsia="宋体" w:cs="Times New Roman"/>
                <w:color w:val="auto"/>
                <w:spacing w:val="-2"/>
                <w:sz w:val="21"/>
                <w:lang w:val="en-US" w:eastAsia="zh-CN" w:bidi="ar-SA"/>
              </w:rPr>
            </w:pPr>
            <w:r>
              <w:rPr>
                <w:rFonts w:hint="eastAsia" w:ascii="Calibri" w:hAnsi="Calibri" w:cs="Times New Roman"/>
                <w:color w:val="auto"/>
                <w:spacing w:val="-2"/>
                <w:sz w:val="21"/>
                <w:lang w:val="en-US" w:eastAsia="zh-CN" w:bidi="ar-SA"/>
              </w:rPr>
              <w:t>0.15</w:t>
            </w:r>
          </w:p>
        </w:tc>
        <w:tc>
          <w:tcPr>
            <w:tcW w:w="2156" w:type="dxa"/>
            <w:shd w:val="clear" w:color="auto" w:fill="auto"/>
            <w:vAlign w:val="center"/>
          </w:tcPr>
          <w:p w14:paraId="289586DD">
            <w:pPr>
              <w:widowControl w:val="0"/>
              <w:bidi w:val="0"/>
              <w:adjustRightInd w:val="0"/>
              <w:snapToGrid w:val="0"/>
              <w:spacing w:line="240" w:lineRule="auto"/>
              <w:ind w:firstLine="0" w:firstLineChars="0"/>
              <w:jc w:val="center"/>
              <w:rPr>
                <w:rFonts w:ascii="Calibri" w:hAnsi="Calibri" w:eastAsia="宋体" w:cs="Times New Roman"/>
                <w:color w:val="auto"/>
                <w:spacing w:val="-2"/>
                <w:sz w:val="21"/>
                <w:lang w:val="en-US" w:eastAsia="zh-CN" w:bidi="ar-SA"/>
              </w:rPr>
            </w:pPr>
          </w:p>
        </w:tc>
      </w:tr>
      <w:tr w14:paraId="1EECAD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Merge w:val="continue"/>
            <w:vAlign w:val="center"/>
          </w:tcPr>
          <w:p w14:paraId="7BA42FEF">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Merge w:val="continue"/>
            <w:vAlign w:val="center"/>
          </w:tcPr>
          <w:p w14:paraId="2E2EF4BB">
            <w:pPr>
              <w:pStyle w:val="54"/>
              <w:bidi w:val="0"/>
              <w:rPr>
                <w:color w:val="auto"/>
                <w:lang w:val="en-US" w:eastAsia="zh-CN"/>
              </w:rPr>
            </w:pPr>
          </w:p>
        </w:tc>
        <w:tc>
          <w:tcPr>
            <w:tcW w:w="3573" w:type="dxa"/>
            <w:vAlign w:val="center"/>
          </w:tcPr>
          <w:p w14:paraId="7E771C32">
            <w:pPr>
              <w:pStyle w:val="54"/>
              <w:bidi w:val="0"/>
              <w:rPr>
                <w:rFonts w:hint="default"/>
                <w:color w:val="auto"/>
                <w:lang w:val="en-US" w:eastAsia="zh-CN"/>
              </w:rPr>
            </w:pPr>
            <w:r>
              <w:rPr>
                <w:rFonts w:hint="eastAsia"/>
                <w:color w:val="auto"/>
                <w:lang w:val="en-US" w:eastAsia="zh-CN"/>
              </w:rPr>
              <w:t>防尘口罩</w:t>
            </w:r>
          </w:p>
        </w:tc>
        <w:tc>
          <w:tcPr>
            <w:tcW w:w="1052" w:type="dxa"/>
            <w:vAlign w:val="center"/>
          </w:tcPr>
          <w:p w14:paraId="24208E7E">
            <w:pPr>
              <w:widowControl w:val="0"/>
              <w:bidi w:val="0"/>
              <w:adjustRightInd w:val="0"/>
              <w:snapToGrid w:val="0"/>
              <w:spacing w:line="240" w:lineRule="auto"/>
              <w:ind w:firstLine="0" w:firstLineChars="0"/>
              <w:jc w:val="center"/>
              <w:rPr>
                <w:rFonts w:hint="default"/>
                <w:color w:val="auto"/>
                <w:lang w:val="en-US" w:eastAsia="zh-CN"/>
              </w:rPr>
            </w:pPr>
            <w:r>
              <w:rPr>
                <w:rFonts w:hint="eastAsia" w:ascii="Calibri" w:hAnsi="Calibri" w:cs="Times New Roman"/>
                <w:color w:val="auto"/>
                <w:spacing w:val="-2"/>
                <w:sz w:val="21"/>
                <w:lang w:val="en-US" w:eastAsia="zh-CN" w:bidi="ar-SA"/>
              </w:rPr>
              <w:t>0.2</w:t>
            </w:r>
          </w:p>
        </w:tc>
        <w:tc>
          <w:tcPr>
            <w:tcW w:w="2156" w:type="dxa"/>
            <w:vAlign w:val="center"/>
          </w:tcPr>
          <w:p w14:paraId="33223AA1">
            <w:pPr>
              <w:widowControl w:val="0"/>
              <w:bidi w:val="0"/>
              <w:adjustRightInd w:val="0"/>
              <w:snapToGrid w:val="0"/>
              <w:spacing w:line="240" w:lineRule="auto"/>
              <w:ind w:firstLine="0" w:firstLineChars="0"/>
              <w:jc w:val="center"/>
              <w:rPr>
                <w:color w:val="auto"/>
                <w:lang w:val="en-US" w:eastAsia="zh-CN"/>
              </w:rPr>
            </w:pPr>
          </w:p>
        </w:tc>
      </w:tr>
      <w:tr w14:paraId="385CC7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Align w:val="center"/>
          </w:tcPr>
          <w:p w14:paraId="69ABCC85">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r>
              <w:rPr>
                <w:rFonts w:hint="eastAsia" w:ascii="Times New Roman" w:hAnsi="Times New Roman" w:eastAsia="宋体" w:cs="Times New Roman"/>
                <w:color w:val="auto"/>
                <w:kern w:val="2"/>
                <w:sz w:val="21"/>
                <w:szCs w:val="24"/>
                <w:lang w:val="en-US" w:eastAsia="zh-CN" w:bidi="ar-SA"/>
              </w:rPr>
              <w:t>7</w:t>
            </w:r>
          </w:p>
        </w:tc>
        <w:tc>
          <w:tcPr>
            <w:tcW w:w="1896" w:type="dxa"/>
            <w:vAlign w:val="center"/>
          </w:tcPr>
          <w:p w14:paraId="1BC109DA">
            <w:pPr>
              <w:pStyle w:val="54"/>
              <w:bidi w:val="0"/>
              <w:rPr>
                <w:color w:val="auto"/>
                <w:lang w:val="en-US" w:eastAsia="zh-CN"/>
              </w:rPr>
            </w:pPr>
            <w:r>
              <w:rPr>
                <w:rFonts w:hint="eastAsia"/>
                <w:color w:val="auto"/>
                <w:lang w:val="en-US" w:eastAsia="zh-CN"/>
              </w:rPr>
              <w:t>安全警示标志</w:t>
            </w:r>
          </w:p>
        </w:tc>
        <w:tc>
          <w:tcPr>
            <w:tcW w:w="3573" w:type="dxa"/>
            <w:vAlign w:val="center"/>
          </w:tcPr>
          <w:p w14:paraId="19A00669">
            <w:pPr>
              <w:pStyle w:val="54"/>
              <w:bidi w:val="0"/>
              <w:rPr>
                <w:color w:val="auto"/>
                <w:lang w:val="en-US" w:eastAsia="zh-CN"/>
              </w:rPr>
            </w:pPr>
          </w:p>
        </w:tc>
        <w:tc>
          <w:tcPr>
            <w:tcW w:w="1052" w:type="dxa"/>
            <w:vAlign w:val="center"/>
          </w:tcPr>
          <w:p w14:paraId="29B9FDA1">
            <w:pPr>
              <w:widowControl w:val="0"/>
              <w:bidi w:val="0"/>
              <w:adjustRightInd w:val="0"/>
              <w:snapToGrid w:val="0"/>
              <w:spacing w:line="240" w:lineRule="auto"/>
              <w:ind w:firstLine="0" w:firstLineChars="0"/>
              <w:jc w:val="center"/>
              <w:rPr>
                <w:color w:val="auto"/>
                <w:lang w:val="en-US" w:eastAsia="zh-CN"/>
              </w:rPr>
            </w:pPr>
            <w:r>
              <w:rPr>
                <w:rFonts w:hint="eastAsia" w:ascii="Calibri" w:hAnsi="Calibri" w:cs="Times New Roman"/>
                <w:color w:val="auto"/>
                <w:spacing w:val="-2"/>
                <w:sz w:val="21"/>
                <w:lang w:val="en-US" w:eastAsia="zh-CN" w:bidi="ar-SA"/>
              </w:rPr>
              <w:t>0.5</w:t>
            </w:r>
          </w:p>
        </w:tc>
        <w:tc>
          <w:tcPr>
            <w:tcW w:w="2156" w:type="dxa"/>
            <w:vAlign w:val="center"/>
          </w:tcPr>
          <w:p w14:paraId="7F000D98">
            <w:pPr>
              <w:widowControl w:val="0"/>
              <w:bidi w:val="0"/>
              <w:adjustRightInd w:val="0"/>
              <w:snapToGrid w:val="0"/>
              <w:spacing w:line="240" w:lineRule="auto"/>
              <w:ind w:firstLine="0" w:firstLineChars="0"/>
              <w:jc w:val="center"/>
              <w:rPr>
                <w:color w:val="auto"/>
                <w:lang w:val="en-US" w:eastAsia="zh-CN"/>
              </w:rPr>
            </w:pPr>
          </w:p>
        </w:tc>
      </w:tr>
      <w:tr w14:paraId="0E125E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jc w:val="center"/>
        </w:trPr>
        <w:tc>
          <w:tcPr>
            <w:tcW w:w="572" w:type="dxa"/>
            <w:vAlign w:val="center"/>
          </w:tcPr>
          <w:p w14:paraId="260716EF">
            <w:pPr>
              <w:widowControl w:val="0"/>
              <w:spacing w:line="360" w:lineRule="auto"/>
              <w:ind w:firstLine="0" w:firstLineChars="0"/>
              <w:jc w:val="center"/>
              <w:rPr>
                <w:rFonts w:ascii="Times New Roman" w:hAnsi="Times New Roman" w:eastAsia="宋体" w:cs="Times New Roman"/>
                <w:color w:val="auto"/>
                <w:kern w:val="2"/>
                <w:sz w:val="21"/>
                <w:szCs w:val="24"/>
                <w:lang w:val="en-US" w:eastAsia="zh-CN" w:bidi="ar-SA"/>
              </w:rPr>
            </w:pPr>
          </w:p>
        </w:tc>
        <w:tc>
          <w:tcPr>
            <w:tcW w:w="1896" w:type="dxa"/>
            <w:vAlign w:val="center"/>
          </w:tcPr>
          <w:p w14:paraId="66088343">
            <w:pPr>
              <w:pStyle w:val="54"/>
              <w:bidi w:val="0"/>
              <w:rPr>
                <w:color w:val="auto"/>
                <w:lang w:val="en-US" w:eastAsia="zh-CN"/>
              </w:rPr>
            </w:pPr>
            <w:r>
              <w:rPr>
                <w:rFonts w:hint="eastAsia"/>
                <w:color w:val="auto"/>
                <w:lang w:val="en-US" w:eastAsia="zh-CN"/>
              </w:rPr>
              <w:t>合计</w:t>
            </w:r>
          </w:p>
        </w:tc>
        <w:tc>
          <w:tcPr>
            <w:tcW w:w="3573" w:type="dxa"/>
            <w:vAlign w:val="center"/>
          </w:tcPr>
          <w:p w14:paraId="0654B94C">
            <w:pPr>
              <w:pStyle w:val="54"/>
              <w:bidi w:val="0"/>
              <w:rPr>
                <w:color w:val="auto"/>
                <w:lang w:val="en-US" w:eastAsia="zh-CN"/>
              </w:rPr>
            </w:pPr>
          </w:p>
        </w:tc>
        <w:tc>
          <w:tcPr>
            <w:tcW w:w="1052" w:type="dxa"/>
            <w:vAlign w:val="center"/>
          </w:tcPr>
          <w:p w14:paraId="06EA533C">
            <w:pPr>
              <w:widowControl w:val="0"/>
              <w:bidi w:val="0"/>
              <w:adjustRightInd w:val="0"/>
              <w:snapToGrid w:val="0"/>
              <w:spacing w:line="240" w:lineRule="auto"/>
              <w:ind w:firstLine="0" w:firstLineChars="0"/>
              <w:jc w:val="center"/>
              <w:rPr>
                <w:rFonts w:hint="default"/>
                <w:color w:val="auto"/>
                <w:lang w:val="en-US" w:eastAsia="zh-CN"/>
              </w:rPr>
            </w:pPr>
            <w:r>
              <w:rPr>
                <w:rFonts w:hint="eastAsia" w:ascii="Calibri" w:hAnsi="Calibri" w:cs="Times New Roman"/>
                <w:color w:val="auto"/>
                <w:spacing w:val="-2"/>
                <w:sz w:val="21"/>
                <w:lang w:val="en-US" w:eastAsia="zh-CN" w:bidi="ar-SA"/>
              </w:rPr>
              <w:t>32.6</w:t>
            </w:r>
          </w:p>
        </w:tc>
        <w:tc>
          <w:tcPr>
            <w:tcW w:w="2156" w:type="dxa"/>
            <w:vAlign w:val="center"/>
          </w:tcPr>
          <w:p w14:paraId="2BBBCA8C">
            <w:pPr>
              <w:widowControl w:val="0"/>
              <w:bidi w:val="0"/>
              <w:adjustRightInd w:val="0"/>
              <w:snapToGrid w:val="0"/>
              <w:spacing w:line="240" w:lineRule="auto"/>
              <w:ind w:firstLine="0" w:firstLineChars="0"/>
              <w:jc w:val="center"/>
              <w:rPr>
                <w:color w:val="auto"/>
                <w:lang w:val="en-US" w:eastAsia="zh-CN"/>
              </w:rPr>
            </w:pPr>
          </w:p>
        </w:tc>
      </w:tr>
    </w:tbl>
    <w:p w14:paraId="18769E34">
      <w:pPr>
        <w:pStyle w:val="4"/>
        <w:rPr>
          <w:rFonts w:hint="eastAsia" w:eastAsia="宋体"/>
          <w:lang w:val="en-US" w:eastAsia="zh-CN"/>
        </w:rPr>
      </w:pPr>
      <w:bookmarkStart w:id="242" w:name="_Toc1945"/>
      <w:bookmarkStart w:id="243" w:name="_Toc214284019"/>
      <w:bookmarkStart w:id="244" w:name="_Toc5031"/>
      <w:r>
        <w:t>2.4.1</w:t>
      </w:r>
      <w:r>
        <w:rPr>
          <w:rFonts w:hint="eastAsia"/>
          <w:lang w:val="en-US" w:eastAsia="zh-CN"/>
        </w:rPr>
        <w:t>4</w:t>
      </w:r>
      <w:bookmarkEnd w:id="242"/>
      <w:bookmarkEnd w:id="243"/>
      <w:r>
        <w:rPr>
          <w:color w:val="auto"/>
        </w:rPr>
        <w:t>存在的问题</w:t>
      </w:r>
      <w:r>
        <w:rPr>
          <w:rFonts w:hint="eastAsia"/>
          <w:color w:val="auto"/>
          <w:lang w:val="en-US" w:eastAsia="zh-CN"/>
        </w:rPr>
        <w:t>整改</w:t>
      </w:r>
      <w:bookmarkEnd w:id="244"/>
    </w:p>
    <w:p w14:paraId="0D3945D4">
      <w:pPr>
        <w:numPr>
          <w:ilvl w:val="0"/>
          <w:numId w:val="0"/>
        </w:numPr>
        <w:bidi w:val="0"/>
        <w:ind w:firstLine="552" w:firstLineChars="200"/>
        <w:rPr>
          <w:rFonts w:hint="default"/>
          <w:lang w:val="zh-TW" w:eastAsia="zh-TW"/>
        </w:rPr>
      </w:pPr>
      <w:bookmarkStart w:id="245" w:name="_Toc19016"/>
      <w:r>
        <w:rPr>
          <w:rFonts w:hint="eastAsia"/>
          <w:lang w:val="en-US" w:eastAsia="zh-CN"/>
        </w:rPr>
        <w:t>问题1：</w:t>
      </w:r>
      <w:r>
        <w:rPr>
          <w:rFonts w:hint="default"/>
          <w:lang w:val="en-US" w:eastAsia="zh-CN"/>
        </w:rPr>
        <w:t>矿区</w:t>
      </w:r>
      <w:r>
        <w:rPr>
          <w:rFonts w:hint="eastAsia"/>
          <w:lang w:val="en-US" w:eastAsia="zh-CN"/>
        </w:rPr>
        <w:t>西</w:t>
      </w:r>
      <w:r>
        <w:rPr>
          <w:rFonts w:hint="default"/>
          <w:lang w:val="en-US" w:eastAsia="zh-CN"/>
        </w:rPr>
        <w:t>北部</w:t>
      </w:r>
      <w:r>
        <w:rPr>
          <w:rFonts w:hint="default"/>
        </w:rPr>
        <w:t>形成</w:t>
      </w:r>
      <w:r>
        <w:rPr>
          <w:rFonts w:hint="default"/>
          <w:lang w:eastAsia="zh-CN"/>
        </w:rPr>
        <w:t>三</w:t>
      </w:r>
      <w:r>
        <w:rPr>
          <w:rFonts w:hint="default"/>
        </w:rPr>
        <w:t>个</w:t>
      </w:r>
      <w:r>
        <w:rPr>
          <w:rFonts w:hint="default"/>
          <w:lang w:eastAsia="zh-CN"/>
        </w:rPr>
        <w:t>不规则</w:t>
      </w:r>
      <w:r>
        <w:rPr>
          <w:rFonts w:hint="default"/>
          <w:lang w:val="en-US" w:eastAsia="zh-CN"/>
        </w:rPr>
        <w:t>平台</w:t>
      </w:r>
      <w:r>
        <w:rPr>
          <w:rFonts w:hint="default"/>
        </w:rPr>
        <w:t>，标高自上而下分别为</w:t>
      </w:r>
      <w:r>
        <w:rPr>
          <w:rFonts w:hint="default"/>
          <w:lang w:val="en-US" w:eastAsia="zh-CN"/>
        </w:rPr>
        <w:t>：172</w:t>
      </w:r>
      <w:r>
        <w:rPr>
          <w:rFonts w:hint="eastAsia"/>
          <w:lang w:val="en-US" w:eastAsia="zh-CN"/>
        </w:rPr>
        <w:t>0m</w:t>
      </w:r>
      <w:r>
        <w:rPr>
          <w:rFonts w:hint="default"/>
        </w:rPr>
        <w:t>～</w:t>
      </w:r>
      <w:r>
        <w:rPr>
          <w:rFonts w:hint="default"/>
          <w:lang w:val="en-US" w:eastAsia="zh-CN"/>
        </w:rPr>
        <w:t>170</w:t>
      </w:r>
      <w:r>
        <w:rPr>
          <w:rFonts w:hint="eastAsia"/>
          <w:lang w:val="en-US" w:eastAsia="zh-CN"/>
        </w:rPr>
        <w:t>5</w:t>
      </w:r>
      <w:r>
        <w:rPr>
          <w:rFonts w:hint="default"/>
        </w:rPr>
        <w:t>m</w:t>
      </w:r>
      <w:r>
        <w:rPr>
          <w:rFonts w:hint="default"/>
          <w:lang w:val="en-US" w:eastAsia="zh-CN"/>
        </w:rPr>
        <w:t>台阶，台阶高</w:t>
      </w:r>
      <w:r>
        <w:rPr>
          <w:rFonts w:hint="eastAsia"/>
          <w:lang w:val="en-US" w:eastAsia="zh-CN"/>
        </w:rPr>
        <w:t>15</w:t>
      </w:r>
      <w:r>
        <w:rPr>
          <w:rFonts w:hint="default"/>
          <w:lang w:val="en-US" w:eastAsia="zh-CN"/>
        </w:rPr>
        <w:t>m</w:t>
      </w:r>
      <w:r>
        <w:rPr>
          <w:rFonts w:hint="eastAsia"/>
          <w:lang w:val="en-US" w:eastAsia="zh-CN"/>
        </w:rPr>
        <w:t>，</w:t>
      </w:r>
      <w:r>
        <w:rPr>
          <w:rFonts w:hint="default"/>
          <w:lang w:val="en-US" w:eastAsia="zh-CN"/>
        </w:rPr>
        <w:t>安全平台宽5</w:t>
      </w:r>
      <w:r>
        <w:rPr>
          <w:rFonts w:hint="eastAsia"/>
          <w:lang w:val="en-US" w:eastAsia="zh-CN"/>
        </w:rPr>
        <w:t>m</w:t>
      </w:r>
      <w:r>
        <w:rPr>
          <w:rFonts w:hint="default"/>
        </w:rPr>
        <w:t>～</w:t>
      </w:r>
      <w:r>
        <w:rPr>
          <w:rFonts w:hint="default"/>
          <w:lang w:val="en-US" w:eastAsia="zh-CN"/>
        </w:rPr>
        <w:t>6m</w:t>
      </w:r>
      <w:r>
        <w:rPr>
          <w:rFonts w:hint="eastAsia"/>
          <w:lang w:val="en-US" w:eastAsia="zh-CN"/>
        </w:rPr>
        <w:t>；</w:t>
      </w:r>
      <w:r>
        <w:rPr>
          <w:rFonts w:hint="default"/>
          <w:lang w:val="en-US" w:eastAsia="zh-CN"/>
        </w:rPr>
        <w:t>170</w:t>
      </w:r>
      <w:r>
        <w:rPr>
          <w:rFonts w:hint="eastAsia"/>
          <w:lang w:val="en-US" w:eastAsia="zh-CN"/>
        </w:rPr>
        <w:t>5m</w:t>
      </w:r>
      <w:r>
        <w:rPr>
          <w:rFonts w:hint="default"/>
        </w:rPr>
        <w:t>～</w:t>
      </w:r>
      <w:r>
        <w:rPr>
          <w:rFonts w:hint="default"/>
          <w:lang w:val="en-US" w:eastAsia="zh-CN"/>
        </w:rPr>
        <w:t>16</w:t>
      </w:r>
      <w:r>
        <w:rPr>
          <w:rFonts w:hint="eastAsia"/>
          <w:lang w:val="en-US" w:eastAsia="zh-CN"/>
        </w:rPr>
        <w:t>89</w:t>
      </w:r>
      <w:r>
        <w:rPr>
          <w:rFonts w:hint="default"/>
        </w:rPr>
        <w:t>m</w:t>
      </w:r>
      <w:r>
        <w:rPr>
          <w:rFonts w:hint="default"/>
          <w:lang w:val="en-US" w:eastAsia="zh-CN"/>
        </w:rPr>
        <w:t>台阶</w:t>
      </w:r>
      <w:r>
        <w:rPr>
          <w:rFonts w:hint="default"/>
          <w:lang w:eastAsia="zh-CN"/>
        </w:rPr>
        <w:t>，</w:t>
      </w:r>
      <w:r>
        <w:rPr>
          <w:rFonts w:hint="default"/>
          <w:lang w:val="en-US" w:eastAsia="zh-CN"/>
        </w:rPr>
        <w:t>台阶高</w:t>
      </w:r>
      <w:r>
        <w:rPr>
          <w:rFonts w:hint="eastAsia"/>
          <w:lang w:val="en-US" w:eastAsia="zh-CN"/>
        </w:rPr>
        <w:t>16</w:t>
      </w:r>
      <w:r>
        <w:rPr>
          <w:rFonts w:hint="default"/>
          <w:lang w:val="en-US" w:eastAsia="zh-CN"/>
        </w:rPr>
        <w:t>m</w:t>
      </w:r>
      <w:r>
        <w:rPr>
          <w:rFonts w:hint="eastAsia"/>
          <w:lang w:val="en-US" w:eastAsia="zh-CN"/>
        </w:rPr>
        <w:t>，</w:t>
      </w:r>
      <w:r>
        <w:rPr>
          <w:rFonts w:hint="default"/>
          <w:lang w:val="en-US" w:eastAsia="zh-CN"/>
        </w:rPr>
        <w:t>安全平台宽2.5</w:t>
      </w:r>
      <w:r>
        <w:rPr>
          <w:rFonts w:hint="eastAsia"/>
          <w:lang w:val="en-US" w:eastAsia="zh-CN"/>
        </w:rPr>
        <w:t>m</w:t>
      </w:r>
      <w:r>
        <w:rPr>
          <w:rFonts w:hint="default"/>
        </w:rPr>
        <w:t>～</w:t>
      </w:r>
      <w:r>
        <w:rPr>
          <w:rFonts w:hint="default"/>
          <w:lang w:val="en-US" w:eastAsia="zh-CN"/>
        </w:rPr>
        <w:t>4m</w:t>
      </w:r>
      <w:r>
        <w:rPr>
          <w:rFonts w:hint="eastAsia"/>
          <w:lang w:val="en-US" w:eastAsia="zh-CN"/>
        </w:rPr>
        <w:t>；</w:t>
      </w:r>
      <w:r>
        <w:rPr>
          <w:rFonts w:hint="default"/>
          <w:lang w:val="en-US" w:eastAsia="zh-CN"/>
        </w:rPr>
        <w:t>底部平台</w:t>
      </w:r>
      <w:r>
        <w:rPr>
          <w:rFonts w:hint="default"/>
        </w:rPr>
        <w:t>1</w:t>
      </w:r>
      <w:r>
        <w:rPr>
          <w:rFonts w:hint="default"/>
          <w:lang w:val="en-US" w:eastAsia="zh-CN"/>
        </w:rPr>
        <w:t>6</w:t>
      </w:r>
      <w:r>
        <w:rPr>
          <w:rFonts w:hint="eastAsia"/>
          <w:lang w:val="en-US" w:eastAsia="zh-CN"/>
        </w:rPr>
        <w:t>89m</w:t>
      </w:r>
      <w:r>
        <w:rPr>
          <w:rFonts w:hint="default"/>
        </w:rPr>
        <w:t>～</w:t>
      </w:r>
      <w:r>
        <w:rPr>
          <w:rFonts w:hint="default"/>
          <w:lang w:val="en-US" w:eastAsia="zh-CN"/>
        </w:rPr>
        <w:t>16</w:t>
      </w:r>
      <w:r>
        <w:rPr>
          <w:rFonts w:hint="eastAsia"/>
          <w:lang w:val="en-US" w:eastAsia="zh-CN"/>
        </w:rPr>
        <w:t>45</w:t>
      </w:r>
      <w:r>
        <w:rPr>
          <w:rFonts w:hint="default"/>
        </w:rPr>
        <w:t>m</w:t>
      </w:r>
      <w:r>
        <w:rPr>
          <w:rFonts w:hint="default"/>
          <w:lang w:eastAsia="zh-CN"/>
        </w:rPr>
        <w:t>，</w:t>
      </w:r>
      <w:r>
        <w:rPr>
          <w:rFonts w:hint="default"/>
          <w:lang w:val="en-US" w:eastAsia="zh-CN"/>
        </w:rPr>
        <w:t>台阶高4</w:t>
      </w:r>
      <w:r>
        <w:rPr>
          <w:rFonts w:hint="eastAsia"/>
          <w:lang w:val="en-US" w:eastAsia="zh-CN"/>
        </w:rPr>
        <w:t>4</w:t>
      </w:r>
      <w:r>
        <w:rPr>
          <w:rFonts w:hint="default"/>
          <w:lang w:val="en-US" w:eastAsia="zh-CN"/>
        </w:rPr>
        <w:t>m；形成高陡边坡，容易发生落石、滑坡等伤害，在16</w:t>
      </w:r>
      <w:r>
        <w:rPr>
          <w:rFonts w:hint="eastAsia"/>
          <w:lang w:val="en-US" w:eastAsia="zh-CN"/>
        </w:rPr>
        <w:t>45</w:t>
      </w:r>
      <w:r>
        <w:rPr>
          <w:rFonts w:hint="default"/>
          <w:lang w:val="en-US" w:eastAsia="zh-CN"/>
        </w:rPr>
        <w:t>m标高形成了面积：0.0480km</w:t>
      </w:r>
      <w:r>
        <w:rPr>
          <w:rFonts w:hint="default"/>
          <w:vertAlign w:val="superscript"/>
          <w:lang w:val="en-US" w:eastAsia="zh-CN"/>
        </w:rPr>
        <w:t>2</w:t>
      </w:r>
      <w:r>
        <w:rPr>
          <w:rFonts w:hint="default"/>
          <w:lang w:val="en-US" w:eastAsia="zh-CN"/>
        </w:rPr>
        <w:t>的采坑</w:t>
      </w:r>
      <w:r>
        <w:rPr>
          <w:rFonts w:hint="default"/>
          <w:lang w:val="zh-TW" w:eastAsia="zh-TW"/>
        </w:rPr>
        <w:t>。</w:t>
      </w:r>
    </w:p>
    <w:p w14:paraId="3887BB2B">
      <w:pPr>
        <w:numPr>
          <w:ilvl w:val="0"/>
          <w:numId w:val="0"/>
        </w:numPr>
        <w:bidi w:val="0"/>
        <w:ind w:firstLine="552" w:firstLineChars="200"/>
        <w:rPr>
          <w:rFonts w:hint="default"/>
          <w:lang w:val="en-US" w:eastAsia="zh-CN"/>
        </w:rPr>
      </w:pPr>
      <w:r>
        <w:rPr>
          <w:rFonts w:hint="eastAsia"/>
          <w:lang w:val="en-US" w:eastAsia="zh-CN"/>
        </w:rPr>
        <w:t>处理情况：</w:t>
      </w:r>
      <w:r>
        <w:rPr>
          <w:rFonts w:hint="default"/>
          <w:lang w:val="en-US" w:eastAsia="zh-CN"/>
        </w:rPr>
        <w:t>形成了高</w:t>
      </w:r>
      <w:r>
        <w:rPr>
          <w:rFonts w:hint="eastAsia"/>
          <w:lang w:val="en-US" w:eastAsia="zh-CN"/>
        </w:rPr>
        <w:t>陡</w:t>
      </w:r>
      <w:r>
        <w:rPr>
          <w:rFonts w:hint="default"/>
          <w:lang w:val="en-US" w:eastAsia="zh-CN"/>
        </w:rPr>
        <w:t>边坡及采坑，企业</w:t>
      </w:r>
      <w:r>
        <w:rPr>
          <w:rFonts w:hint="eastAsia"/>
          <w:lang w:val="en-US" w:eastAsia="zh-CN"/>
        </w:rPr>
        <w:t>制定了</w:t>
      </w:r>
      <w:r>
        <w:rPr>
          <w:rFonts w:hint="default"/>
          <w:lang w:val="en-US" w:eastAsia="zh-CN"/>
        </w:rPr>
        <w:t>边坡及采坑</w:t>
      </w:r>
      <w:r>
        <w:rPr>
          <w:rFonts w:hint="eastAsia"/>
          <w:lang w:val="en-US" w:eastAsia="zh-CN"/>
        </w:rPr>
        <w:t>管理规定，前期用铁丝网和警示旗制成围栏，禁止人员和设备进入采空区。当采矿至矿区西部1645m平台时，再</w:t>
      </w:r>
      <w:r>
        <w:rPr>
          <w:rFonts w:hint="default"/>
          <w:lang w:val="en-US" w:eastAsia="zh-CN"/>
        </w:rPr>
        <w:t>对高陡边坡</w:t>
      </w:r>
      <w:r>
        <w:rPr>
          <w:rFonts w:hint="eastAsia"/>
          <w:lang w:val="en-US" w:eastAsia="zh-CN"/>
        </w:rPr>
        <w:t>进行处理和安全设施建设，待安全设施建设完成后再进行采矿作业。在</w:t>
      </w:r>
      <w:r>
        <w:rPr>
          <w:rFonts w:hint="default"/>
          <w:lang w:val="en-US" w:eastAsia="zh-CN"/>
        </w:rPr>
        <w:t>高</w:t>
      </w:r>
      <w:r>
        <w:rPr>
          <w:rFonts w:hint="eastAsia"/>
          <w:lang w:val="en-US" w:eastAsia="zh-CN"/>
        </w:rPr>
        <w:t>陡</w:t>
      </w:r>
      <w:r>
        <w:rPr>
          <w:rFonts w:hint="default"/>
          <w:lang w:val="en-US" w:eastAsia="zh-CN"/>
        </w:rPr>
        <w:t>边坡及采坑</w:t>
      </w:r>
      <w:r>
        <w:rPr>
          <w:rFonts w:hint="eastAsia"/>
          <w:lang w:val="en-US" w:eastAsia="zh-CN"/>
        </w:rPr>
        <w:t>下部预留10m安全平台并设置设防滚石土挡（土挡墙：上顶宽：1m，下底宽：2m，高：2m；在挡墙上部设置警示线及警示标志）</w:t>
      </w:r>
      <w:r>
        <w:rPr>
          <w:rFonts w:hint="default"/>
          <w:lang w:val="en-US" w:eastAsia="zh-CN"/>
        </w:rPr>
        <w:t>，加强高陡边坡巡查清理，设置排水沟，设置禁止区域、标识标牌等；在采坑最低</w:t>
      </w:r>
      <w:r>
        <w:rPr>
          <w:rFonts w:hint="eastAsia"/>
          <w:lang w:val="en-US" w:eastAsia="zh-CN"/>
        </w:rPr>
        <w:t>处</w:t>
      </w:r>
      <w:r>
        <w:rPr>
          <w:rFonts w:hint="default"/>
          <w:lang w:val="en-US" w:eastAsia="zh-CN"/>
        </w:rPr>
        <w:t>设置汇水池，采用机械排水将采坑汇水排除场外。</w:t>
      </w:r>
    </w:p>
    <w:p w14:paraId="0581AB07">
      <w:pPr>
        <w:numPr>
          <w:ilvl w:val="0"/>
          <w:numId w:val="0"/>
        </w:numPr>
        <w:bidi w:val="0"/>
        <w:ind w:firstLine="552" w:firstLineChars="200"/>
        <w:rPr>
          <w:rFonts w:hint="default"/>
          <w:lang w:val="en-US" w:eastAsia="zh-CN"/>
        </w:rPr>
      </w:pPr>
      <w:r>
        <w:rPr>
          <w:rFonts w:hint="eastAsia"/>
          <w:lang w:val="en-US" w:eastAsia="zh-CN"/>
        </w:rPr>
        <w:t>根据矿山开采实际，基建期采用铁丝网和警示旗制成围栏，禁止人员和设备进入采空区处理。</w:t>
      </w:r>
    </w:p>
    <w:p w14:paraId="56A340C4">
      <w:pPr>
        <w:bidi w:val="0"/>
        <w:rPr>
          <w:rFonts w:hint="eastAsia"/>
          <w:lang w:val="en-US" w:eastAsia="zh-CN"/>
        </w:rPr>
      </w:pPr>
      <w:r>
        <w:rPr>
          <w:rFonts w:hint="eastAsia"/>
          <w:lang w:val="en-US" w:eastAsia="zh-CN"/>
        </w:rPr>
        <w:t>问题2：</w:t>
      </w:r>
      <w:r>
        <w:rPr>
          <w:rFonts w:hint="default"/>
          <w:lang w:eastAsia="zh-CN"/>
        </w:rPr>
        <w:t>西南边</w:t>
      </w:r>
      <w:r>
        <w:rPr>
          <w:rFonts w:hint="default"/>
          <w:lang w:val="en-US" w:eastAsia="zh-CN"/>
        </w:rPr>
        <w:t>2</w:t>
      </w:r>
      <w:r>
        <w:rPr>
          <w:rFonts w:hint="eastAsia"/>
          <w:lang w:val="en-US" w:eastAsia="zh-CN"/>
        </w:rPr>
        <w:t>30</w:t>
      </w:r>
      <w:r>
        <w:rPr>
          <w:rFonts w:hint="default"/>
          <w:lang w:val="en-US" w:eastAsia="zh-CN"/>
        </w:rPr>
        <w:t>8m有G246（遂麻线）国道穿过，30m有条通往新发寨村的村路通过，在爆破警戒范围内</w:t>
      </w:r>
      <w:r>
        <w:rPr>
          <w:rFonts w:hint="eastAsia"/>
          <w:lang w:val="en-US" w:eastAsia="zh-CN"/>
        </w:rPr>
        <w:t>.</w:t>
      </w:r>
    </w:p>
    <w:p w14:paraId="67AB64DA">
      <w:pPr>
        <w:bidi w:val="0"/>
      </w:pPr>
      <w:r>
        <w:rPr>
          <w:rFonts w:hint="default"/>
          <w:lang w:val="en-US" w:eastAsia="zh-CN"/>
        </w:rPr>
        <w:t>企业采取</w:t>
      </w:r>
      <w:r>
        <w:rPr>
          <w:rFonts w:hint="eastAsia"/>
          <w:lang w:val="en-US" w:eastAsia="zh-CN"/>
        </w:rPr>
        <w:t>处置</w:t>
      </w:r>
      <w:r>
        <w:rPr>
          <w:rFonts w:hint="default"/>
          <w:lang w:val="en-US" w:eastAsia="zh-CN"/>
        </w:rPr>
        <w:t>措施：</w:t>
      </w:r>
      <w:r>
        <w:rPr>
          <w:rFonts w:hint="eastAsia"/>
          <w:lang w:val="en-US" w:eastAsia="zh-CN"/>
        </w:rPr>
        <w:t>（1）</w:t>
      </w:r>
      <w:r>
        <w:rPr>
          <w:rFonts w:hint="default"/>
          <w:lang w:val="en-US" w:eastAsia="zh-CN"/>
        </w:rPr>
        <w:t>道路两端（爆破警戒范围</w:t>
      </w:r>
      <w:r>
        <w:rPr>
          <w:rFonts w:hint="eastAsia"/>
          <w:lang w:val="en-US" w:eastAsia="zh-CN"/>
        </w:rPr>
        <w:t>300</w:t>
      </w:r>
      <w:r>
        <w:rPr>
          <w:rFonts w:hint="default"/>
          <w:lang w:val="en-US" w:eastAsia="zh-CN"/>
        </w:rPr>
        <w:t>m以外）设置爆破警戒点，矿山爆破时禁止车辆和人员通过；</w:t>
      </w:r>
      <w:r>
        <w:rPr>
          <w:rFonts w:hint="eastAsia"/>
          <w:lang w:val="en-US" w:eastAsia="zh-CN"/>
        </w:rPr>
        <w:t>（2）</w:t>
      </w:r>
      <w:r>
        <w:rPr>
          <w:rFonts w:hint="default"/>
          <w:lang w:val="en-US" w:eastAsia="zh-CN"/>
        </w:rPr>
        <w:t>明确爆破指向为东北向</w:t>
      </w:r>
      <w:r>
        <w:t>。</w:t>
      </w:r>
    </w:p>
    <w:p w14:paraId="3ABA8B16">
      <w:pPr>
        <w:pStyle w:val="3"/>
        <w:bidi w:val="0"/>
      </w:pPr>
      <w:bookmarkStart w:id="246" w:name="_Toc21640"/>
      <w:r>
        <w:t>2.5施工及监理概况</w:t>
      </w:r>
      <w:bookmarkEnd w:id="245"/>
      <w:bookmarkEnd w:id="246"/>
    </w:p>
    <w:p w14:paraId="4D7362A2">
      <w:pPr>
        <w:pStyle w:val="4"/>
        <w:bidi w:val="0"/>
        <w:rPr>
          <w:lang w:eastAsia="en-US"/>
        </w:rPr>
      </w:pPr>
      <w:bookmarkStart w:id="247" w:name="_Toc3865"/>
      <w:r>
        <w:rPr>
          <w:lang w:eastAsia="en-US"/>
        </w:rPr>
        <w:t>2.5.1项目施工、监理基本情况</w:t>
      </w:r>
      <w:bookmarkEnd w:id="231"/>
      <w:bookmarkEnd w:id="247"/>
    </w:p>
    <w:p w14:paraId="6649520E">
      <w:pPr>
        <w:bidi w:val="0"/>
        <w:rPr>
          <w:color w:val="auto"/>
          <w:lang w:val="en-US" w:eastAsia="en-US"/>
        </w:rPr>
      </w:pPr>
      <w:bookmarkStart w:id="248" w:name="bookmark41"/>
      <w:bookmarkEnd w:id="248"/>
      <w:bookmarkStart w:id="249" w:name="_Toc22480"/>
      <w:r>
        <w:rPr>
          <w:color w:val="auto"/>
          <w:lang w:val="en-US" w:eastAsia="en-US"/>
        </w:rPr>
        <w:t>由企业自行成立施工小组，对矿山的基建工程进行施工。</w:t>
      </w:r>
    </w:p>
    <w:p w14:paraId="2C5848A1">
      <w:pPr>
        <w:bidi w:val="0"/>
        <w:rPr>
          <w:rFonts w:hint="default" w:eastAsia="宋体"/>
          <w:color w:val="auto"/>
          <w:lang w:val="en-US" w:eastAsia="zh-CN"/>
        </w:rPr>
      </w:pPr>
      <w:r>
        <w:rPr>
          <w:color w:val="auto"/>
          <w:lang w:val="en-US" w:eastAsia="en-US"/>
        </w:rPr>
        <w:t>矿山</w:t>
      </w:r>
      <w:r>
        <w:rPr>
          <w:rFonts w:hint="eastAsia"/>
          <w:color w:val="auto"/>
          <w:lang w:val="en-US" w:eastAsia="zh-CN"/>
        </w:rPr>
        <w:t>委托有矿山监理资质的监理单位</w:t>
      </w:r>
      <w:r>
        <w:rPr>
          <w:rFonts w:hint="default"/>
          <w:color w:val="auto"/>
          <w:lang w:val="sq-AL"/>
        </w:rPr>
        <w:t>云南增股工程勘察设计有限公司</w:t>
      </w:r>
      <w:r>
        <w:rPr>
          <w:color w:val="auto"/>
          <w:lang w:val="en-US" w:eastAsia="en-US"/>
        </w:rPr>
        <w:t>对矿山的基建工程进行监理。</w:t>
      </w:r>
      <w:r>
        <w:rPr>
          <w:rFonts w:hint="eastAsia"/>
          <w:color w:val="auto"/>
          <w:lang w:val="en-US" w:eastAsia="zh-CN"/>
        </w:rPr>
        <w:t>监理单位资质证书编号E253104713。业务范围包括矿山工程专业资质乙级(合格，有效期至:2028年02月06日)。</w:t>
      </w:r>
    </w:p>
    <w:p w14:paraId="1F1D05F2">
      <w:pPr>
        <w:pStyle w:val="4"/>
        <w:bidi w:val="0"/>
        <w:rPr>
          <w:lang w:val="en-US" w:eastAsia="en-US"/>
        </w:rPr>
      </w:pPr>
      <w:bookmarkStart w:id="250" w:name="_Toc24957"/>
      <w:r>
        <w:rPr>
          <w:lang w:val="en-US" w:eastAsia="en-US"/>
        </w:rPr>
        <w:t>2.5.2建设项目开工、竣工日期及其工程进度控制情况</w:t>
      </w:r>
      <w:bookmarkEnd w:id="249"/>
      <w:bookmarkEnd w:id="250"/>
    </w:p>
    <w:p w14:paraId="1DACD2F9">
      <w:pPr>
        <w:kinsoku w:val="0"/>
        <w:autoSpaceDE w:val="0"/>
        <w:autoSpaceDN w:val="0"/>
        <w:adjustRightInd w:val="0"/>
        <w:snapToGrid w:val="0"/>
        <w:spacing w:before="212" w:line="359" w:lineRule="auto"/>
        <w:ind w:left="38" w:right="28" w:firstLine="567"/>
        <w:jc w:val="both"/>
        <w:textAlignment w:val="baseline"/>
        <w:rPr>
          <w:rFonts w:ascii="宋体" w:hAnsi="宋体" w:eastAsia="宋体" w:cs="宋体"/>
          <w:snapToGrid w:val="0"/>
          <w:color w:val="000000"/>
          <w:kern w:val="0"/>
          <w:sz w:val="28"/>
          <w:szCs w:val="28"/>
          <w:lang w:val="en-US" w:eastAsia="en-US" w:bidi="ar-SA"/>
        </w:rPr>
      </w:pPr>
      <w:r>
        <w:rPr>
          <w:rFonts w:hint="eastAsia"/>
          <w:color w:val="auto"/>
          <w:highlight w:val="none"/>
          <w:lang w:eastAsia="zh-CN"/>
        </w:rPr>
        <w:t>广南县麦地大山建筑石料用石灰岩矿</w:t>
      </w:r>
      <w:r>
        <w:rPr>
          <w:rFonts w:hint="eastAsia" w:ascii="宋体" w:hAnsi="宋体" w:cs="宋体"/>
          <w:snapToGrid w:val="0"/>
          <w:color w:val="000000"/>
          <w:spacing w:val="-2"/>
          <w:kern w:val="0"/>
          <w:sz w:val="28"/>
          <w:szCs w:val="28"/>
          <w:lang w:val="en-US" w:eastAsia="zh-CN" w:bidi="ar-SA"/>
        </w:rPr>
        <w:t>5</w:t>
      </w:r>
      <w:r>
        <w:rPr>
          <w:rFonts w:ascii="宋体" w:hAnsi="宋体" w:eastAsia="宋体" w:cs="宋体"/>
          <w:snapToGrid w:val="0"/>
          <w:color w:val="000000"/>
          <w:spacing w:val="-2"/>
          <w:kern w:val="0"/>
          <w:sz w:val="28"/>
          <w:szCs w:val="28"/>
          <w:lang w:val="en-US" w:eastAsia="en-US" w:bidi="ar-SA"/>
        </w:rPr>
        <w:t>0万t／a</w:t>
      </w:r>
      <w:r>
        <w:rPr>
          <w:rFonts w:ascii="宋体" w:hAnsi="宋体" w:eastAsia="宋体" w:cs="宋体"/>
          <w:snapToGrid w:val="0"/>
          <w:color w:val="000000"/>
          <w:spacing w:val="-3"/>
          <w:kern w:val="0"/>
          <w:sz w:val="28"/>
          <w:szCs w:val="28"/>
          <w:lang w:val="en-US" w:eastAsia="en-US" w:bidi="ar-SA"/>
        </w:rPr>
        <w:t>露天采</w:t>
      </w:r>
      <w:r>
        <w:rPr>
          <w:rFonts w:ascii="宋体" w:hAnsi="宋体" w:eastAsia="宋体" w:cs="宋体"/>
          <w:snapToGrid w:val="0"/>
          <w:color w:val="000000"/>
          <w:spacing w:val="-5"/>
          <w:kern w:val="0"/>
          <w:sz w:val="28"/>
          <w:szCs w:val="28"/>
          <w:lang w:val="en-US" w:eastAsia="en-US" w:bidi="ar-SA"/>
        </w:rPr>
        <w:t>矿工程基建工程于202</w:t>
      </w:r>
      <w:r>
        <w:rPr>
          <w:rFonts w:hint="eastAsia" w:ascii="宋体" w:hAnsi="宋体" w:cs="宋体"/>
          <w:snapToGrid w:val="0"/>
          <w:color w:val="000000"/>
          <w:spacing w:val="-5"/>
          <w:kern w:val="0"/>
          <w:sz w:val="28"/>
          <w:szCs w:val="28"/>
          <w:lang w:val="en-US" w:eastAsia="zh-CN" w:bidi="ar-SA"/>
        </w:rPr>
        <w:t>5</w:t>
      </w:r>
      <w:r>
        <w:rPr>
          <w:rFonts w:ascii="宋体" w:hAnsi="宋体" w:eastAsia="宋体" w:cs="宋体"/>
          <w:snapToGrid w:val="0"/>
          <w:color w:val="000000"/>
          <w:spacing w:val="-5"/>
          <w:kern w:val="0"/>
          <w:sz w:val="28"/>
          <w:szCs w:val="28"/>
          <w:lang w:val="en-US" w:eastAsia="en-US" w:bidi="ar-SA"/>
        </w:rPr>
        <w:t>年</w:t>
      </w:r>
      <w:r>
        <w:rPr>
          <w:rFonts w:hint="eastAsia" w:ascii="宋体" w:hAnsi="宋体" w:cs="宋体"/>
          <w:snapToGrid w:val="0"/>
          <w:color w:val="000000"/>
          <w:spacing w:val="-5"/>
          <w:kern w:val="0"/>
          <w:sz w:val="28"/>
          <w:szCs w:val="28"/>
          <w:lang w:val="en-US" w:eastAsia="zh-CN" w:bidi="ar-SA"/>
        </w:rPr>
        <w:t>6</w:t>
      </w:r>
      <w:r>
        <w:rPr>
          <w:rFonts w:ascii="宋体" w:hAnsi="宋体" w:eastAsia="宋体" w:cs="宋体"/>
          <w:snapToGrid w:val="0"/>
          <w:color w:val="000000"/>
          <w:spacing w:val="-5"/>
          <w:kern w:val="0"/>
          <w:sz w:val="28"/>
          <w:szCs w:val="28"/>
          <w:lang w:val="en-US" w:eastAsia="en-US" w:bidi="ar-SA"/>
        </w:rPr>
        <w:t>月</w:t>
      </w:r>
      <w:r>
        <w:rPr>
          <w:rFonts w:hint="eastAsia" w:ascii="宋体" w:hAnsi="宋体" w:cs="宋体"/>
          <w:snapToGrid w:val="0"/>
          <w:color w:val="000000"/>
          <w:spacing w:val="-5"/>
          <w:kern w:val="0"/>
          <w:sz w:val="28"/>
          <w:szCs w:val="28"/>
          <w:lang w:val="en-US" w:eastAsia="zh-CN" w:bidi="ar-SA"/>
        </w:rPr>
        <w:t>19</w:t>
      </w:r>
      <w:r>
        <w:rPr>
          <w:rFonts w:ascii="宋体" w:hAnsi="宋体" w:eastAsia="宋体" w:cs="宋体"/>
          <w:snapToGrid w:val="0"/>
          <w:color w:val="000000"/>
          <w:spacing w:val="-5"/>
          <w:kern w:val="0"/>
          <w:sz w:val="28"/>
          <w:szCs w:val="28"/>
          <w:lang w:val="en-US" w:eastAsia="en-US" w:bidi="ar-SA"/>
        </w:rPr>
        <w:t>日开工，202</w:t>
      </w:r>
      <w:r>
        <w:rPr>
          <w:rFonts w:hint="eastAsia" w:ascii="宋体" w:hAnsi="宋体" w:cs="宋体"/>
          <w:snapToGrid w:val="0"/>
          <w:color w:val="000000"/>
          <w:spacing w:val="-5"/>
          <w:kern w:val="0"/>
          <w:sz w:val="28"/>
          <w:szCs w:val="28"/>
          <w:lang w:val="en-US" w:eastAsia="zh-CN" w:bidi="ar-SA"/>
        </w:rPr>
        <w:t>6</w:t>
      </w:r>
      <w:r>
        <w:rPr>
          <w:rFonts w:ascii="宋体" w:hAnsi="宋体" w:eastAsia="宋体" w:cs="宋体"/>
          <w:snapToGrid w:val="0"/>
          <w:color w:val="000000"/>
          <w:spacing w:val="-5"/>
          <w:kern w:val="0"/>
          <w:sz w:val="28"/>
          <w:szCs w:val="28"/>
          <w:lang w:val="en-US" w:eastAsia="en-US" w:bidi="ar-SA"/>
        </w:rPr>
        <w:t>年</w:t>
      </w:r>
      <w:r>
        <w:rPr>
          <w:rFonts w:hint="eastAsia" w:ascii="宋体" w:hAnsi="宋体" w:cs="宋体"/>
          <w:snapToGrid w:val="0"/>
          <w:color w:val="000000"/>
          <w:spacing w:val="-6"/>
          <w:kern w:val="0"/>
          <w:sz w:val="28"/>
          <w:szCs w:val="28"/>
          <w:lang w:val="en-US" w:eastAsia="zh-CN" w:bidi="ar-SA"/>
        </w:rPr>
        <w:t>2</w:t>
      </w:r>
      <w:r>
        <w:rPr>
          <w:rFonts w:ascii="宋体" w:hAnsi="宋体" w:eastAsia="宋体" w:cs="宋体"/>
          <w:snapToGrid w:val="0"/>
          <w:color w:val="000000"/>
          <w:spacing w:val="-9"/>
          <w:kern w:val="0"/>
          <w:sz w:val="28"/>
          <w:szCs w:val="28"/>
          <w:lang w:val="en-US" w:eastAsia="en-US" w:bidi="ar-SA"/>
        </w:rPr>
        <w:t>月</w:t>
      </w:r>
      <w:r>
        <w:rPr>
          <w:rFonts w:hint="eastAsia" w:ascii="宋体" w:hAnsi="宋体" w:cs="宋体"/>
          <w:snapToGrid w:val="0"/>
          <w:color w:val="000000"/>
          <w:spacing w:val="-9"/>
          <w:kern w:val="0"/>
          <w:sz w:val="28"/>
          <w:szCs w:val="28"/>
          <w:lang w:val="en-US" w:eastAsia="zh-CN" w:bidi="ar-SA"/>
        </w:rPr>
        <w:t>14</w:t>
      </w:r>
      <w:r>
        <w:rPr>
          <w:rFonts w:ascii="宋体" w:hAnsi="宋体" w:eastAsia="宋体" w:cs="宋体"/>
          <w:snapToGrid w:val="0"/>
          <w:color w:val="000000"/>
          <w:spacing w:val="-9"/>
          <w:kern w:val="0"/>
          <w:sz w:val="28"/>
          <w:szCs w:val="28"/>
          <w:lang w:val="en-US" w:eastAsia="en-US" w:bidi="ar-SA"/>
        </w:rPr>
        <w:t>日竣工，施工周期为</w:t>
      </w:r>
      <w:r>
        <w:rPr>
          <w:rFonts w:hint="eastAsia" w:ascii="宋体" w:hAnsi="宋体" w:cs="宋体"/>
          <w:snapToGrid w:val="0"/>
          <w:color w:val="000000"/>
          <w:spacing w:val="-9"/>
          <w:kern w:val="0"/>
          <w:sz w:val="28"/>
          <w:szCs w:val="28"/>
          <w:lang w:val="en-US" w:eastAsia="zh-CN" w:bidi="ar-SA"/>
        </w:rPr>
        <w:t>244</w:t>
      </w:r>
      <w:r>
        <w:rPr>
          <w:rFonts w:ascii="宋体" w:hAnsi="宋体" w:eastAsia="宋体" w:cs="宋体"/>
          <w:snapToGrid w:val="0"/>
          <w:color w:val="000000"/>
          <w:spacing w:val="-9"/>
          <w:kern w:val="0"/>
          <w:sz w:val="28"/>
          <w:szCs w:val="28"/>
          <w:lang w:val="en-US" w:eastAsia="en-US" w:bidi="ar-SA"/>
        </w:rPr>
        <w:t>天。</w:t>
      </w:r>
    </w:p>
    <w:p w14:paraId="0D9047B7">
      <w:pPr>
        <w:bidi w:val="0"/>
        <w:rPr>
          <w:color w:val="auto"/>
          <w:lang w:val="en-US" w:eastAsia="en-US"/>
        </w:rPr>
      </w:pPr>
      <w:r>
        <w:rPr>
          <w:rFonts w:hint="eastAsia"/>
          <w:color w:val="auto"/>
          <w:lang w:val="en-US" w:eastAsia="zh-CN"/>
        </w:rPr>
        <w:t>1、施工前准备。</w:t>
      </w:r>
      <w:r>
        <w:rPr>
          <w:color w:val="auto"/>
          <w:lang w:val="en-US" w:eastAsia="en-US"/>
        </w:rPr>
        <w:t>202</w:t>
      </w:r>
      <w:r>
        <w:rPr>
          <w:rFonts w:hint="eastAsia"/>
          <w:color w:val="auto"/>
          <w:lang w:val="en-US" w:eastAsia="zh-CN"/>
        </w:rPr>
        <w:t>5</w:t>
      </w:r>
      <w:r>
        <w:rPr>
          <w:color w:val="auto"/>
          <w:lang w:val="en-US" w:eastAsia="en-US"/>
        </w:rPr>
        <w:t>年</w:t>
      </w:r>
      <w:r>
        <w:rPr>
          <w:rFonts w:hint="eastAsia"/>
          <w:color w:val="auto"/>
          <w:lang w:val="en-US" w:eastAsia="zh-CN"/>
        </w:rPr>
        <w:t>6</w:t>
      </w:r>
      <w:r>
        <w:rPr>
          <w:color w:val="auto"/>
          <w:lang w:val="en-US" w:eastAsia="en-US"/>
        </w:rPr>
        <w:t>月</w:t>
      </w:r>
      <w:r>
        <w:rPr>
          <w:rFonts w:hint="eastAsia"/>
          <w:color w:val="auto"/>
          <w:lang w:val="en-US" w:eastAsia="zh-CN"/>
        </w:rPr>
        <w:t>19</w:t>
      </w:r>
      <w:r>
        <w:rPr>
          <w:color w:val="auto"/>
          <w:lang w:val="en-US" w:eastAsia="en-US"/>
        </w:rPr>
        <w:t>日至202</w:t>
      </w:r>
      <w:r>
        <w:rPr>
          <w:rFonts w:hint="eastAsia"/>
          <w:color w:val="auto"/>
          <w:lang w:val="en-US" w:eastAsia="zh-CN"/>
        </w:rPr>
        <w:t>5</w:t>
      </w:r>
      <w:r>
        <w:rPr>
          <w:color w:val="auto"/>
          <w:lang w:val="en-US" w:eastAsia="en-US"/>
        </w:rPr>
        <w:t>年</w:t>
      </w:r>
      <w:r>
        <w:rPr>
          <w:rFonts w:hint="eastAsia"/>
          <w:color w:val="auto"/>
          <w:lang w:val="en-US" w:eastAsia="zh-CN"/>
        </w:rPr>
        <w:t>7</w:t>
      </w:r>
      <w:r>
        <w:rPr>
          <w:color w:val="auto"/>
          <w:lang w:val="en-US" w:eastAsia="en-US"/>
        </w:rPr>
        <w:t>月</w:t>
      </w:r>
      <w:r>
        <w:rPr>
          <w:rFonts w:hint="eastAsia"/>
          <w:color w:val="auto"/>
          <w:lang w:val="en-US" w:eastAsia="zh-CN"/>
        </w:rPr>
        <w:t>20</w:t>
      </w:r>
      <w:r>
        <w:rPr>
          <w:color w:val="auto"/>
          <w:lang w:val="en-US" w:eastAsia="en-US"/>
        </w:rPr>
        <w:t>日（</w:t>
      </w:r>
      <w:r>
        <w:rPr>
          <w:rFonts w:hint="eastAsia"/>
          <w:color w:val="auto"/>
          <w:lang w:val="en-US" w:eastAsia="zh-CN"/>
        </w:rPr>
        <w:t>32</w:t>
      </w:r>
      <w:r>
        <w:rPr>
          <w:color w:val="auto"/>
          <w:lang w:val="en-US" w:eastAsia="en-US"/>
        </w:rPr>
        <w:t>天）</w:t>
      </w:r>
      <w:r>
        <w:rPr>
          <w:rFonts w:hint="eastAsia"/>
          <w:color w:val="auto"/>
          <w:lang w:val="en-US" w:eastAsia="zh-CN"/>
        </w:rPr>
        <w:t>，</w:t>
      </w:r>
      <w:r>
        <w:rPr>
          <w:rFonts w:hint="eastAsia" w:ascii="微软雅黑" w:hAnsi="微软雅黑" w:eastAsia="微软雅黑" w:cs="微软雅黑"/>
          <w:color w:val="auto"/>
          <w:lang w:val="en-US" w:eastAsia="zh-CN"/>
        </w:rPr>
        <w:t>①</w:t>
      </w:r>
      <w:r>
        <w:rPr>
          <w:rFonts w:hint="eastAsia"/>
          <w:color w:val="auto"/>
          <w:lang w:val="en-US" w:eastAsia="zh-CN"/>
        </w:rPr>
        <w:t>施工前准备需要的人员、车辆、和工具、材料；</w:t>
      </w:r>
      <w:r>
        <w:rPr>
          <w:rFonts w:hint="eastAsia" w:ascii="微软雅黑" w:hAnsi="微软雅黑" w:eastAsia="微软雅黑" w:cs="微软雅黑"/>
          <w:color w:val="auto"/>
          <w:lang w:val="en-US" w:eastAsia="zh-CN"/>
        </w:rPr>
        <w:t>②</w:t>
      </w:r>
      <w:r>
        <w:rPr>
          <w:rFonts w:hint="eastAsia"/>
          <w:color w:val="auto"/>
          <w:lang w:val="en-US" w:eastAsia="zh-CN"/>
        </w:rPr>
        <w:t>修建</w:t>
      </w:r>
      <w:r>
        <w:rPr>
          <w:color w:val="auto"/>
          <w:lang w:val="en-US" w:eastAsia="en-US"/>
        </w:rPr>
        <w:t>矿区</w:t>
      </w:r>
      <w:r>
        <w:rPr>
          <w:rFonts w:hint="eastAsia"/>
          <w:color w:val="auto"/>
          <w:lang w:val="en-US" w:eastAsia="zh-CN"/>
        </w:rPr>
        <w:t>标高1649m破碎站至标高1660m平台</w:t>
      </w:r>
      <w:r>
        <w:rPr>
          <w:color w:val="auto"/>
          <w:lang w:val="en-US" w:eastAsia="en-US"/>
        </w:rPr>
        <w:t>开采运输道路、道路</w:t>
      </w:r>
      <w:r>
        <w:rPr>
          <w:rFonts w:hint="eastAsia"/>
          <w:color w:val="auto"/>
          <w:lang w:val="en-US" w:eastAsia="zh-CN"/>
        </w:rPr>
        <w:t>靠采坑</w:t>
      </w:r>
      <w:r>
        <w:rPr>
          <w:color w:val="auto"/>
          <w:lang w:val="en-US" w:eastAsia="en-US"/>
        </w:rPr>
        <w:t>侧</w:t>
      </w:r>
      <w:r>
        <w:rPr>
          <w:rFonts w:hint="eastAsia"/>
          <w:color w:val="auto"/>
          <w:lang w:val="en-US" w:eastAsia="zh-CN"/>
        </w:rPr>
        <w:t>设</w:t>
      </w:r>
      <w:r>
        <w:rPr>
          <w:color w:val="auto"/>
          <w:lang w:val="en-US" w:eastAsia="en-US"/>
        </w:rPr>
        <w:t>安全土挡、</w:t>
      </w:r>
      <w:r>
        <w:rPr>
          <w:rFonts w:hint="eastAsia"/>
          <w:color w:val="auto"/>
          <w:lang w:val="en-US" w:eastAsia="zh-CN"/>
        </w:rPr>
        <w:t>外侧设</w:t>
      </w:r>
      <w:r>
        <w:rPr>
          <w:color w:val="auto"/>
          <w:lang w:val="en-US" w:eastAsia="en-US"/>
        </w:rPr>
        <w:t>安全土挡</w:t>
      </w:r>
      <w:r>
        <w:rPr>
          <w:rFonts w:hint="eastAsia"/>
          <w:color w:val="auto"/>
          <w:lang w:val="en-US" w:eastAsia="zh-CN"/>
        </w:rPr>
        <w:t>和</w:t>
      </w:r>
      <w:r>
        <w:rPr>
          <w:color w:val="auto"/>
          <w:lang w:val="en-US" w:eastAsia="en-US"/>
        </w:rPr>
        <w:t>排水沟</w:t>
      </w:r>
      <w:r>
        <w:rPr>
          <w:rFonts w:hint="eastAsia"/>
          <w:color w:val="auto"/>
          <w:lang w:val="en-US" w:eastAsia="zh-CN"/>
        </w:rPr>
        <w:t>。废土运至矿区中部原1645m采坑，作为原高边坡防滚石的挡石墙的材料。</w:t>
      </w:r>
    </w:p>
    <w:p w14:paraId="2FB760C6">
      <w:pPr>
        <w:bidi w:val="0"/>
        <w:rPr>
          <w:lang w:val="en-US" w:eastAsia="en-US"/>
        </w:rPr>
      </w:pPr>
      <w:r>
        <w:rPr>
          <w:rFonts w:hint="eastAsia"/>
          <w:lang w:val="en-US" w:eastAsia="zh-CN"/>
        </w:rPr>
        <w:t>2、修建1660m至1705m挖掘机道路。</w:t>
      </w:r>
      <w:r>
        <w:rPr>
          <w:lang w:val="en-US" w:eastAsia="en-US"/>
        </w:rPr>
        <w:t>202</w:t>
      </w:r>
      <w:r>
        <w:rPr>
          <w:rFonts w:hint="eastAsia"/>
          <w:lang w:val="en-US" w:eastAsia="zh-CN"/>
        </w:rPr>
        <w:t>5</w:t>
      </w:r>
      <w:r>
        <w:rPr>
          <w:lang w:val="en-US" w:eastAsia="en-US"/>
        </w:rPr>
        <w:t>年</w:t>
      </w:r>
      <w:r>
        <w:rPr>
          <w:rFonts w:hint="eastAsia"/>
          <w:lang w:val="en-US" w:eastAsia="zh-CN"/>
        </w:rPr>
        <w:t>7</w:t>
      </w:r>
      <w:r>
        <w:rPr>
          <w:lang w:val="en-US" w:eastAsia="en-US"/>
        </w:rPr>
        <w:t>月</w:t>
      </w:r>
      <w:r>
        <w:rPr>
          <w:rFonts w:hint="eastAsia"/>
          <w:lang w:val="en-US" w:eastAsia="zh-CN"/>
        </w:rPr>
        <w:t>21</w:t>
      </w:r>
      <w:r>
        <w:rPr>
          <w:lang w:val="en-US" w:eastAsia="en-US"/>
        </w:rPr>
        <w:t>日至202</w:t>
      </w:r>
      <w:r>
        <w:rPr>
          <w:rFonts w:hint="eastAsia"/>
          <w:lang w:val="en-US" w:eastAsia="zh-CN"/>
        </w:rPr>
        <w:t>5</w:t>
      </w:r>
      <w:r>
        <w:rPr>
          <w:lang w:val="en-US" w:eastAsia="en-US"/>
        </w:rPr>
        <w:t>年</w:t>
      </w:r>
      <w:r>
        <w:rPr>
          <w:rFonts w:hint="eastAsia"/>
          <w:lang w:val="en-US" w:eastAsia="zh-CN"/>
        </w:rPr>
        <w:t>8</w:t>
      </w:r>
      <w:r>
        <w:rPr>
          <w:lang w:val="en-US" w:eastAsia="en-US"/>
        </w:rPr>
        <w:t>月</w:t>
      </w:r>
      <w:r>
        <w:rPr>
          <w:rFonts w:hint="eastAsia"/>
          <w:lang w:val="en-US" w:eastAsia="zh-CN"/>
        </w:rPr>
        <w:t>30</w:t>
      </w:r>
      <w:r>
        <w:rPr>
          <w:lang w:val="en-US" w:eastAsia="en-US"/>
        </w:rPr>
        <w:t>日（</w:t>
      </w:r>
      <w:r>
        <w:rPr>
          <w:rFonts w:hint="eastAsia"/>
          <w:lang w:val="en-US" w:eastAsia="zh-CN"/>
        </w:rPr>
        <w:t>31</w:t>
      </w:r>
      <w:r>
        <w:rPr>
          <w:lang w:val="en-US" w:eastAsia="en-US"/>
        </w:rPr>
        <w:t>天）</w:t>
      </w:r>
      <w:r>
        <w:rPr>
          <w:rFonts w:hint="eastAsia"/>
          <w:lang w:val="en-US" w:eastAsia="zh-CN"/>
        </w:rPr>
        <w:t>，基建</w:t>
      </w:r>
      <w:r>
        <w:rPr>
          <w:lang w:val="en-US" w:eastAsia="en-US"/>
        </w:rPr>
        <w:t>平台</w:t>
      </w:r>
      <w:r>
        <w:rPr>
          <w:rFonts w:hint="eastAsia"/>
          <w:lang w:val="en-US" w:eastAsia="zh-CN"/>
        </w:rPr>
        <w:t>和挖掘机道路</w:t>
      </w:r>
      <w:r>
        <w:rPr>
          <w:lang w:val="en-US" w:eastAsia="en-US"/>
        </w:rPr>
        <w:t>完成；</w:t>
      </w:r>
    </w:p>
    <w:p w14:paraId="44B2B9B3">
      <w:pPr>
        <w:bidi w:val="0"/>
        <w:rPr>
          <w:lang w:val="en-US" w:eastAsia="en-US"/>
        </w:rPr>
      </w:pPr>
      <w:r>
        <w:rPr>
          <w:rFonts w:hint="eastAsia"/>
          <w:lang w:val="en-US" w:eastAsia="zh-CN"/>
        </w:rPr>
        <w:t>3、修建1705m、1690m、1675m、1660m安全平台和采矿平台。时间</w:t>
      </w:r>
      <w:r>
        <w:rPr>
          <w:lang w:val="en-US" w:eastAsia="en-US"/>
        </w:rPr>
        <w:t>202</w:t>
      </w:r>
      <w:r>
        <w:rPr>
          <w:rFonts w:hint="eastAsia"/>
          <w:lang w:val="en-US" w:eastAsia="zh-CN"/>
        </w:rPr>
        <w:t>5</w:t>
      </w:r>
      <w:r>
        <w:rPr>
          <w:lang w:val="en-US" w:eastAsia="en-US"/>
        </w:rPr>
        <w:t>年</w:t>
      </w:r>
      <w:r>
        <w:rPr>
          <w:rFonts w:hint="eastAsia"/>
          <w:lang w:val="en-US" w:eastAsia="zh-CN"/>
        </w:rPr>
        <w:t>8</w:t>
      </w:r>
      <w:r>
        <w:rPr>
          <w:lang w:val="en-US" w:eastAsia="en-US"/>
        </w:rPr>
        <w:t>月</w:t>
      </w:r>
      <w:r>
        <w:rPr>
          <w:rFonts w:hint="eastAsia"/>
          <w:lang w:val="en-US" w:eastAsia="zh-CN"/>
        </w:rPr>
        <w:t>31</w:t>
      </w:r>
      <w:r>
        <w:rPr>
          <w:lang w:val="en-US" w:eastAsia="en-US"/>
        </w:rPr>
        <w:t>日至202</w:t>
      </w:r>
      <w:r>
        <w:rPr>
          <w:rFonts w:hint="eastAsia"/>
          <w:lang w:val="en-US" w:eastAsia="zh-CN"/>
        </w:rPr>
        <w:t>5</w:t>
      </w:r>
      <w:r>
        <w:rPr>
          <w:lang w:val="en-US" w:eastAsia="en-US"/>
        </w:rPr>
        <w:t>年</w:t>
      </w:r>
      <w:r>
        <w:rPr>
          <w:rFonts w:hint="eastAsia"/>
          <w:lang w:val="en-US" w:eastAsia="zh-CN"/>
        </w:rPr>
        <w:t>11</w:t>
      </w:r>
      <w:r>
        <w:rPr>
          <w:lang w:val="en-US" w:eastAsia="en-US"/>
        </w:rPr>
        <w:t>月</w:t>
      </w:r>
      <w:r>
        <w:rPr>
          <w:rFonts w:hint="eastAsia"/>
          <w:lang w:val="en-US" w:eastAsia="zh-CN"/>
        </w:rPr>
        <w:t>30</w:t>
      </w:r>
      <w:r>
        <w:rPr>
          <w:lang w:val="en-US" w:eastAsia="en-US"/>
        </w:rPr>
        <w:t>日（</w:t>
      </w:r>
      <w:r>
        <w:rPr>
          <w:rFonts w:hint="eastAsia"/>
          <w:lang w:val="en-US" w:eastAsia="zh-CN"/>
        </w:rPr>
        <w:t>92</w:t>
      </w:r>
      <w:r>
        <w:rPr>
          <w:lang w:val="en-US" w:eastAsia="en-US"/>
        </w:rPr>
        <w:t>天）</w:t>
      </w:r>
      <w:r>
        <w:rPr>
          <w:rFonts w:hint="eastAsia"/>
          <w:lang w:val="en-US" w:eastAsia="zh-CN"/>
        </w:rPr>
        <w:t>，安全平台和基建</w:t>
      </w:r>
      <w:r>
        <w:rPr>
          <w:lang w:val="en-US" w:eastAsia="en-US"/>
        </w:rPr>
        <w:t>平台完成</w:t>
      </w:r>
      <w:r>
        <w:rPr>
          <w:rFonts w:hint="eastAsia"/>
          <w:lang w:val="en-US" w:eastAsia="zh-CN"/>
        </w:rPr>
        <w:t>，同时完成对1705m、1690m、1675m平台复垦</w:t>
      </w:r>
      <w:r>
        <w:rPr>
          <w:lang w:val="en-US" w:eastAsia="en-US"/>
        </w:rPr>
        <w:t>；</w:t>
      </w:r>
    </w:p>
    <w:p w14:paraId="6B20CEB3">
      <w:pPr>
        <w:bidi w:val="0"/>
        <w:rPr>
          <w:lang w:val="en-US" w:eastAsia="en-US"/>
        </w:rPr>
      </w:pPr>
      <w:r>
        <w:rPr>
          <w:rFonts w:hint="eastAsia"/>
          <w:lang w:val="en-US" w:eastAsia="zh-CN"/>
        </w:rPr>
        <w:t>4、修建1645m基建平台。时间</w:t>
      </w:r>
      <w:r>
        <w:rPr>
          <w:lang w:val="en-US" w:eastAsia="en-US"/>
        </w:rPr>
        <w:t>202</w:t>
      </w:r>
      <w:r>
        <w:rPr>
          <w:rFonts w:hint="eastAsia"/>
          <w:lang w:val="en-US" w:eastAsia="zh-CN"/>
        </w:rPr>
        <w:t>5</w:t>
      </w:r>
      <w:r>
        <w:rPr>
          <w:lang w:val="en-US" w:eastAsia="en-US"/>
        </w:rPr>
        <w:t>年</w:t>
      </w:r>
      <w:r>
        <w:rPr>
          <w:rFonts w:hint="eastAsia"/>
          <w:lang w:val="en-US" w:eastAsia="zh-CN"/>
        </w:rPr>
        <w:t>12</w:t>
      </w:r>
      <w:r>
        <w:rPr>
          <w:lang w:val="en-US" w:eastAsia="en-US"/>
        </w:rPr>
        <w:t>月</w:t>
      </w:r>
      <w:r>
        <w:rPr>
          <w:rFonts w:hint="eastAsia"/>
          <w:lang w:val="en-US" w:eastAsia="zh-CN"/>
        </w:rPr>
        <w:t>1</w:t>
      </w:r>
      <w:r>
        <w:rPr>
          <w:lang w:val="en-US" w:eastAsia="en-US"/>
        </w:rPr>
        <w:t>日至202</w:t>
      </w:r>
      <w:r>
        <w:rPr>
          <w:rFonts w:hint="eastAsia"/>
          <w:lang w:val="en-US" w:eastAsia="zh-CN"/>
        </w:rPr>
        <w:t>6</w:t>
      </w:r>
      <w:r>
        <w:rPr>
          <w:lang w:val="en-US" w:eastAsia="en-US"/>
        </w:rPr>
        <w:t>年</w:t>
      </w:r>
      <w:r>
        <w:rPr>
          <w:rFonts w:hint="eastAsia"/>
          <w:lang w:val="en-US" w:eastAsia="zh-CN"/>
        </w:rPr>
        <w:t>1</w:t>
      </w:r>
      <w:r>
        <w:rPr>
          <w:lang w:val="en-US" w:eastAsia="en-US"/>
        </w:rPr>
        <w:t>月</w:t>
      </w:r>
      <w:r>
        <w:rPr>
          <w:rFonts w:hint="eastAsia"/>
          <w:lang w:val="en-US" w:eastAsia="zh-CN"/>
        </w:rPr>
        <w:t>31</w:t>
      </w:r>
      <w:r>
        <w:rPr>
          <w:lang w:val="en-US" w:eastAsia="en-US"/>
        </w:rPr>
        <w:t>日（</w:t>
      </w:r>
      <w:r>
        <w:rPr>
          <w:rFonts w:hint="eastAsia"/>
          <w:lang w:val="en-US" w:eastAsia="zh-CN"/>
        </w:rPr>
        <w:t>31</w:t>
      </w:r>
      <w:r>
        <w:rPr>
          <w:lang w:val="en-US" w:eastAsia="en-US"/>
        </w:rPr>
        <w:t>天）</w:t>
      </w:r>
      <w:r>
        <w:rPr>
          <w:rFonts w:hint="eastAsia"/>
          <w:lang w:val="en-US" w:eastAsia="zh-CN"/>
        </w:rPr>
        <w:t>。1645m基建平台，长约110m，与运输道路相连，挡墙梯形断面规格（上顶宽0.6m+下底宽1.2m）×高1.0m，</w:t>
      </w:r>
      <w:r>
        <w:rPr>
          <w:lang w:val="en-US" w:eastAsia="en-US"/>
        </w:rPr>
        <w:t>施工完成；</w:t>
      </w:r>
    </w:p>
    <w:p w14:paraId="013941B6">
      <w:pPr>
        <w:bidi w:val="0"/>
        <w:rPr>
          <w:lang w:val="en-US" w:eastAsia="en-US"/>
        </w:rPr>
      </w:pPr>
      <w:r>
        <w:rPr>
          <w:rFonts w:hint="eastAsia"/>
          <w:lang w:val="en-US" w:eastAsia="zh-CN"/>
        </w:rPr>
        <w:t>5、修建破碎站至1645m基建平台运输道路。时间</w:t>
      </w:r>
      <w:r>
        <w:rPr>
          <w:lang w:val="en-US" w:eastAsia="en-US"/>
        </w:rPr>
        <w:t>202</w:t>
      </w:r>
      <w:r>
        <w:rPr>
          <w:rFonts w:hint="eastAsia"/>
          <w:lang w:val="en-US" w:eastAsia="zh-CN"/>
        </w:rPr>
        <w:t>6</w:t>
      </w:r>
      <w:r>
        <w:rPr>
          <w:lang w:val="en-US" w:eastAsia="en-US"/>
        </w:rPr>
        <w:t>年</w:t>
      </w:r>
      <w:r>
        <w:rPr>
          <w:rFonts w:hint="eastAsia"/>
          <w:lang w:val="en-US" w:eastAsia="zh-CN"/>
        </w:rPr>
        <w:t>2</w:t>
      </w:r>
      <w:r>
        <w:rPr>
          <w:lang w:val="en-US" w:eastAsia="en-US"/>
        </w:rPr>
        <w:t>月</w:t>
      </w:r>
      <w:r>
        <w:rPr>
          <w:rFonts w:hint="eastAsia"/>
          <w:lang w:val="en-US" w:eastAsia="zh-CN"/>
        </w:rPr>
        <w:t>1</w:t>
      </w:r>
      <w:r>
        <w:rPr>
          <w:lang w:val="en-US" w:eastAsia="en-US"/>
        </w:rPr>
        <w:t>日至202</w:t>
      </w:r>
      <w:r>
        <w:rPr>
          <w:rFonts w:hint="eastAsia"/>
          <w:lang w:val="en-US" w:eastAsia="zh-CN"/>
        </w:rPr>
        <w:t>6</w:t>
      </w:r>
      <w:r>
        <w:rPr>
          <w:lang w:val="en-US" w:eastAsia="en-US"/>
        </w:rPr>
        <w:t>年</w:t>
      </w:r>
      <w:r>
        <w:rPr>
          <w:rFonts w:hint="eastAsia"/>
          <w:lang w:val="en-US" w:eastAsia="zh-CN"/>
        </w:rPr>
        <w:t>3</w:t>
      </w:r>
      <w:r>
        <w:rPr>
          <w:lang w:val="en-US" w:eastAsia="en-US"/>
        </w:rPr>
        <w:t>月</w:t>
      </w:r>
      <w:r>
        <w:rPr>
          <w:rFonts w:hint="eastAsia"/>
          <w:lang w:val="en-US" w:eastAsia="zh-CN"/>
        </w:rPr>
        <w:t>2</w:t>
      </w:r>
      <w:r>
        <w:rPr>
          <w:lang w:val="en-US" w:eastAsia="en-US"/>
        </w:rPr>
        <w:t>日（</w:t>
      </w:r>
      <w:r>
        <w:rPr>
          <w:rFonts w:hint="eastAsia"/>
          <w:lang w:val="en-US" w:eastAsia="zh-CN"/>
        </w:rPr>
        <w:t>20</w:t>
      </w:r>
      <w:r>
        <w:rPr>
          <w:lang w:val="en-US" w:eastAsia="en-US"/>
        </w:rPr>
        <w:t>天</w:t>
      </w:r>
      <w:r>
        <w:rPr>
          <w:rFonts w:hint="eastAsia"/>
          <w:lang w:val="en-US" w:eastAsia="zh-CN"/>
        </w:rPr>
        <w:t>，春节放假10天</w:t>
      </w:r>
      <w:r>
        <w:rPr>
          <w:lang w:val="en-US" w:eastAsia="en-US"/>
        </w:rPr>
        <w:t>）</w:t>
      </w:r>
      <w:r>
        <w:rPr>
          <w:rFonts w:hint="eastAsia"/>
          <w:lang w:val="en-US" w:eastAsia="zh-CN"/>
        </w:rPr>
        <w:t>。长约146m，外侧设挡墙，梯形断面规格（上顶宽0.6m+下底宽1.2m）×高1.0m，</w:t>
      </w:r>
      <w:r>
        <w:rPr>
          <w:lang w:val="en-US" w:eastAsia="en-US"/>
        </w:rPr>
        <w:t>施工完成；</w:t>
      </w:r>
    </w:p>
    <w:p w14:paraId="42572609">
      <w:pPr>
        <w:bidi w:val="0"/>
        <w:rPr>
          <w:lang w:val="en-US" w:eastAsia="en-US"/>
        </w:rPr>
      </w:pPr>
      <w:r>
        <w:rPr>
          <w:rFonts w:hint="eastAsia"/>
          <w:lang w:val="en-US" w:eastAsia="zh-CN"/>
        </w:rPr>
        <w:t>6、</w:t>
      </w:r>
      <w:r>
        <w:rPr>
          <w:lang w:val="en-US" w:eastAsia="en-US"/>
        </w:rPr>
        <w:t>安全警示标牌安装及修复、试运行工作准备</w:t>
      </w:r>
      <w:r>
        <w:rPr>
          <w:rFonts w:hint="eastAsia"/>
          <w:lang w:val="en-US" w:eastAsia="zh-CN"/>
        </w:rPr>
        <w:t>，</w:t>
      </w:r>
      <w:r>
        <w:rPr>
          <w:lang w:val="en-US" w:eastAsia="en-US"/>
        </w:rPr>
        <w:t>202</w:t>
      </w:r>
      <w:r>
        <w:rPr>
          <w:rFonts w:hint="eastAsia"/>
          <w:lang w:val="en-US" w:eastAsia="zh-CN"/>
        </w:rPr>
        <w:t>6</w:t>
      </w:r>
      <w:r>
        <w:rPr>
          <w:lang w:val="en-US" w:eastAsia="en-US"/>
        </w:rPr>
        <w:t>年</w:t>
      </w:r>
      <w:r>
        <w:rPr>
          <w:rFonts w:hint="eastAsia"/>
          <w:lang w:val="en-US" w:eastAsia="zh-CN"/>
        </w:rPr>
        <w:t>2</w:t>
      </w:r>
      <w:r>
        <w:rPr>
          <w:lang w:val="en-US" w:eastAsia="en-US"/>
        </w:rPr>
        <w:t>月</w:t>
      </w:r>
      <w:r>
        <w:rPr>
          <w:rFonts w:hint="eastAsia"/>
          <w:lang w:val="en-US" w:eastAsia="zh-CN"/>
        </w:rPr>
        <w:t>17</w:t>
      </w:r>
      <w:r>
        <w:rPr>
          <w:lang w:val="en-US" w:eastAsia="en-US"/>
        </w:rPr>
        <w:t>日</w:t>
      </w:r>
      <w:r>
        <w:rPr>
          <w:rFonts w:hint="eastAsia"/>
          <w:lang w:val="en-US" w:eastAsia="zh-CN"/>
        </w:rPr>
        <w:t>至2026年3月2日</w:t>
      </w:r>
      <w:r>
        <w:rPr>
          <w:lang w:val="en-US" w:eastAsia="en-US"/>
        </w:rPr>
        <w:t>（</w:t>
      </w:r>
      <w:r>
        <w:rPr>
          <w:rFonts w:hint="eastAsia"/>
          <w:lang w:val="en-US" w:eastAsia="zh-CN"/>
        </w:rPr>
        <w:t>14</w:t>
      </w:r>
      <w:r>
        <w:rPr>
          <w:lang w:val="en-US" w:eastAsia="en-US"/>
        </w:rPr>
        <w:t>天）。</w:t>
      </w:r>
    </w:p>
    <w:p w14:paraId="404E808B">
      <w:pPr>
        <w:pStyle w:val="4"/>
        <w:bidi w:val="0"/>
        <w:rPr>
          <w:rFonts w:ascii="宋体" w:hAnsi="宋体" w:eastAsia="宋体" w:cs="宋体"/>
          <w:snapToGrid w:val="0"/>
          <w:color w:val="000000"/>
          <w:kern w:val="0"/>
          <w:szCs w:val="28"/>
          <w:lang w:val="en-US" w:eastAsia="en-US" w:bidi="ar-SA"/>
        </w:rPr>
      </w:pPr>
      <w:bookmarkStart w:id="251" w:name="bookmark42"/>
      <w:bookmarkEnd w:id="251"/>
      <w:bookmarkStart w:id="252" w:name="_Toc14091"/>
      <w:bookmarkStart w:id="253" w:name="_Toc14073"/>
      <w:r>
        <w:rPr>
          <w:lang w:val="en-US" w:eastAsia="en-US"/>
        </w:rPr>
        <w:t>2.5.3工程质量控制、交工验收情况</w:t>
      </w:r>
      <w:bookmarkEnd w:id="252"/>
      <w:bookmarkEnd w:id="253"/>
    </w:p>
    <w:p w14:paraId="47B41BC4">
      <w:pPr>
        <w:pStyle w:val="5"/>
        <w:bidi w:val="0"/>
        <w:rPr>
          <w:rFonts w:hint="eastAsia"/>
          <w:lang w:val="en-US" w:eastAsia="zh-CN"/>
        </w:rPr>
      </w:pPr>
      <w:r>
        <w:rPr>
          <w:rFonts w:hint="eastAsia"/>
          <w:lang w:val="en-US" w:eastAsia="zh-CN"/>
        </w:rPr>
        <w:t>2.5.3.1施工情况</w:t>
      </w:r>
    </w:p>
    <w:p w14:paraId="7F8625D0">
      <w:pPr>
        <w:bidi w:val="0"/>
        <w:rPr>
          <w:rFonts w:hint="eastAsia"/>
          <w:lang w:val="en-US" w:eastAsia="zh-CN"/>
        </w:rPr>
      </w:pPr>
      <w:r>
        <w:rPr>
          <w:rFonts w:hint="eastAsia"/>
          <w:lang w:val="en-US" w:eastAsia="zh-CN"/>
        </w:rPr>
        <w:t>公司</w:t>
      </w:r>
      <w:r>
        <w:rPr>
          <w:lang w:val="en-US" w:eastAsia="en-US"/>
        </w:rPr>
        <w:t>成立了安全生产领导小组，明确了各</w:t>
      </w:r>
      <w:r>
        <w:rPr>
          <w:rFonts w:hint="eastAsia"/>
          <w:lang w:val="en-US" w:eastAsia="zh-CN"/>
        </w:rPr>
        <w:t>岗位</w:t>
      </w:r>
      <w:r>
        <w:rPr>
          <w:lang w:val="en-US" w:eastAsia="en-US"/>
        </w:rPr>
        <w:t>人员的安全责任</w:t>
      </w:r>
      <w:r>
        <w:rPr>
          <w:rFonts w:hint="eastAsia"/>
          <w:lang w:val="en-US" w:eastAsia="zh-CN"/>
        </w:rPr>
        <w:t>，</w:t>
      </w:r>
      <w:r>
        <w:rPr>
          <w:lang w:val="en-US" w:eastAsia="en-US"/>
        </w:rPr>
        <w:t>狠抓制度落实、责任落实，定期检查安全落实情况，严格执行考评制度和奖惩制度。</w:t>
      </w:r>
    </w:p>
    <w:p w14:paraId="56FA78BA">
      <w:pPr>
        <w:bidi w:val="0"/>
        <w:rPr>
          <w:rFonts w:hint="default" w:eastAsia="宋体"/>
          <w:lang w:val="en-US" w:eastAsia="zh-CN"/>
        </w:rPr>
      </w:pPr>
      <w:r>
        <w:rPr>
          <w:lang w:val="en-US" w:eastAsia="en-US"/>
        </w:rPr>
        <w:t>根据各单项项目和工种特点制定相应的安全规程，分发给全体职工及有关人员，并对广大职工进行培训教育，增强自我保护意识和相互保护意识。</w:t>
      </w:r>
      <w:r>
        <w:rPr>
          <w:rFonts w:hint="eastAsia"/>
          <w:lang w:val="en-US" w:eastAsia="zh-CN"/>
        </w:rPr>
        <w:t>施工中主要预防的安全事故有塌方、高处坠落、车辆伤害、车辆火灾以及其他伤害。</w:t>
      </w:r>
    </w:p>
    <w:p w14:paraId="3A6C3D49">
      <w:pPr>
        <w:bidi w:val="0"/>
        <w:rPr>
          <w:lang w:val="en-US" w:eastAsia="en-US"/>
        </w:rPr>
      </w:pPr>
      <w:r>
        <w:rPr>
          <w:rFonts w:hint="eastAsia"/>
          <w:lang w:val="en-US" w:eastAsia="zh-CN"/>
        </w:rPr>
        <w:t>特种设备操作人员及</w:t>
      </w:r>
      <w:r>
        <w:rPr>
          <w:lang w:val="en-US" w:eastAsia="en-US"/>
        </w:rPr>
        <w:t>特种作业人员，除经企业安全审查，还须按规定参加安全操作考核，取得监察部门核发的《安全操作合格证》，坚持</w:t>
      </w:r>
      <w:r>
        <w:rPr>
          <w:rFonts w:hint="eastAsia"/>
          <w:lang w:val="en-US" w:eastAsia="zh-CN"/>
        </w:rPr>
        <w:t>“</w:t>
      </w:r>
      <w:r>
        <w:rPr>
          <w:lang w:val="en-US" w:eastAsia="en-US"/>
        </w:rPr>
        <w:t>持证上岗”。安全生产领导小组定期进行安全施工大检查，对存在的施工安全隐患及时提出整改方案，对发生的安全事故坚持</w:t>
      </w:r>
      <w:r>
        <w:rPr>
          <w:rFonts w:hint="eastAsia"/>
          <w:lang w:val="en-US" w:eastAsia="zh-CN"/>
        </w:rPr>
        <w:t>”</w:t>
      </w:r>
      <w:r>
        <w:rPr>
          <w:lang w:val="en-US" w:eastAsia="en-US"/>
        </w:rPr>
        <w:t>四不放过</w:t>
      </w:r>
      <w:r>
        <w:rPr>
          <w:rFonts w:hint="eastAsia"/>
          <w:lang w:val="en-US" w:eastAsia="zh-CN"/>
        </w:rPr>
        <w:t>“</w:t>
      </w:r>
      <w:r>
        <w:rPr>
          <w:lang w:val="en-US" w:eastAsia="en-US"/>
        </w:rPr>
        <w:t>的原则进行处理。</w:t>
      </w:r>
    </w:p>
    <w:p w14:paraId="0AABCDD1">
      <w:pPr>
        <w:bidi w:val="0"/>
        <w:rPr>
          <w:lang w:val="en-US" w:eastAsia="en-US"/>
        </w:rPr>
      </w:pPr>
      <w:r>
        <w:rPr>
          <w:lang w:val="en-US" w:eastAsia="en-US"/>
        </w:rPr>
        <w:t>从开工到目前，通过矿山各级人员的努力，在工程的施工建设过程中，无任何安全事故发生。</w:t>
      </w:r>
    </w:p>
    <w:p w14:paraId="043347DC">
      <w:pPr>
        <w:bidi w:val="0"/>
        <w:rPr>
          <w:rFonts w:hint="eastAsia"/>
          <w:lang w:val="en-US" w:eastAsia="zh-CN"/>
        </w:rPr>
      </w:pPr>
      <w:r>
        <w:rPr>
          <w:rFonts w:hint="eastAsia"/>
          <w:color w:val="auto"/>
          <w:highlight w:val="none"/>
          <w:lang w:eastAsia="zh-CN"/>
        </w:rPr>
        <w:t>广南县麦地大山建筑石料用石灰岩矿</w:t>
      </w:r>
      <w:r>
        <w:rPr>
          <w:rFonts w:hint="eastAsia"/>
          <w:lang w:val="en-US" w:eastAsia="zh-CN"/>
        </w:rPr>
        <w:t>5</w:t>
      </w:r>
      <w:r>
        <w:rPr>
          <w:lang w:val="en-US" w:eastAsia="en-US"/>
        </w:rPr>
        <w:t>0万t／a露天采矿工程基建工程施工基本按照设计和相关规范、标准执行，严格遵守建设程序，按照设计文件及施工组织设计进行施工，竣工工程符合《</w:t>
      </w:r>
      <w:r>
        <w:rPr>
          <w:rFonts w:hint="eastAsia"/>
          <w:color w:val="auto"/>
          <w:highlight w:val="none"/>
          <w:lang w:eastAsia="zh-CN"/>
        </w:rPr>
        <w:t>广南县麦地大山建筑石料用石灰岩矿</w:t>
      </w:r>
      <w:r>
        <w:rPr>
          <w:rFonts w:hint="eastAsia"/>
          <w:lang w:val="en-US" w:eastAsia="zh-CN"/>
        </w:rPr>
        <w:t>5</w:t>
      </w:r>
      <w:r>
        <w:rPr>
          <w:lang w:val="en-US" w:eastAsia="en-US"/>
        </w:rPr>
        <w:t>0万t／a露天采矿工程安全设施设计》的要求，没有发生安全事故，经自检评定工程质量为合格，相关资料齐全，符合安全设施竣工验收条件</w:t>
      </w:r>
      <w:r>
        <w:rPr>
          <w:rFonts w:hint="eastAsia"/>
          <w:lang w:val="en-US" w:eastAsia="zh-CN"/>
        </w:rPr>
        <w:t>。</w:t>
      </w:r>
    </w:p>
    <w:bookmarkEnd w:id="232"/>
    <w:p w14:paraId="56AC755B">
      <w:pPr>
        <w:bidi w:val="0"/>
      </w:pPr>
      <w:r>
        <w:rPr>
          <w:rFonts w:hint="eastAsia"/>
          <w:lang w:val="en-US" w:eastAsia="zh-CN"/>
        </w:rPr>
        <w:t>1、</w:t>
      </w:r>
      <w:r>
        <w:t>道路施工情况</w:t>
      </w:r>
    </w:p>
    <w:p w14:paraId="0DDF6824">
      <w:pPr>
        <w:bidi w:val="0"/>
        <w:rPr>
          <w:rFonts w:hint="default"/>
          <w:lang w:val="en-US" w:eastAsia="zh-CN"/>
        </w:rPr>
      </w:pPr>
      <w:r>
        <w:rPr>
          <w:lang w:val="sq-AL"/>
        </w:rPr>
        <w:t>本矿山相关基建工程施工</w:t>
      </w:r>
      <w:r>
        <w:t>单位</w:t>
      </w:r>
      <w:r>
        <w:rPr>
          <w:lang w:val="sq-AL"/>
        </w:rPr>
        <w:t>为</w:t>
      </w:r>
      <w:r>
        <w:rPr>
          <w:rFonts w:hint="eastAsia"/>
          <w:lang w:val="zh-TW" w:eastAsia="zh-CN"/>
        </w:rPr>
        <w:t>广南县城硕矿业有限公司</w:t>
      </w:r>
      <w:r>
        <w:t>自主</w:t>
      </w:r>
      <w:r>
        <w:rPr>
          <w:lang w:val="sq-AL"/>
        </w:rPr>
        <w:t>进行矿山基建工程的施工，施工期间未发生任何安全事故</w:t>
      </w:r>
      <w:r>
        <w:t>。施工内容</w:t>
      </w:r>
      <w:r>
        <w:rPr>
          <w:rFonts w:hint="eastAsia"/>
          <w:lang w:val="en-US" w:eastAsia="zh-CN"/>
        </w:rPr>
        <w:t>如下</w:t>
      </w:r>
    </w:p>
    <w:p w14:paraId="1D8C7C28">
      <w:pPr>
        <w:bidi w:val="0"/>
      </w:pPr>
      <w:bookmarkStart w:id="254" w:name="_Hlk126850809"/>
      <w:r>
        <w:rPr>
          <w:rFonts w:hint="eastAsia"/>
          <w:lang w:val="en-US" w:eastAsia="zh-CN"/>
        </w:rPr>
        <w:t>（1）</w:t>
      </w:r>
      <w:r>
        <w:t>开拓运输道路</w:t>
      </w:r>
    </w:p>
    <w:p w14:paraId="5BCB53D8">
      <w:pPr>
        <w:rPr>
          <w:rFonts w:hint="eastAsia" w:ascii="Times New Roman" w:hAnsi="Times New Roman" w:eastAsia="宋体" w:cs="Times New Roman"/>
          <w:color w:val="auto"/>
          <w:sz w:val="28"/>
          <w:szCs w:val="28"/>
          <w:highlight w:val="none"/>
          <w:shd w:val="clear" w:color="auto" w:fill="auto"/>
          <w:lang w:val="en-US" w:eastAsia="zh-CN"/>
        </w:rPr>
      </w:pPr>
      <w:r>
        <w:rPr>
          <w:rFonts w:hint="eastAsia" w:ascii="宋体" w:hAnsi="宋体" w:eastAsia="宋体" w:cs="宋体"/>
          <w:color w:val="auto"/>
          <w:highlight w:val="none"/>
          <w:lang w:eastAsia="zh-CN"/>
        </w:rPr>
        <w:t>①</w:t>
      </w:r>
      <w:r>
        <w:rPr>
          <w:rFonts w:hint="default" w:ascii="Times New Roman" w:hAnsi="Times New Roman" w:eastAsia="宋体" w:cs="Times New Roman"/>
          <w:color w:val="auto"/>
          <w:sz w:val="28"/>
          <w:szCs w:val="28"/>
          <w:highlight w:val="none"/>
          <w:lang w:val="en-US" w:eastAsia="zh-CN"/>
        </w:rPr>
        <w:t>从破碎站</w:t>
      </w:r>
      <w:r>
        <w:rPr>
          <w:rFonts w:hint="eastAsia" w:ascii="Times New Roman" w:hAnsi="Times New Roman" w:eastAsia="宋体" w:cs="Times New Roman"/>
          <w:color w:val="auto"/>
          <w:sz w:val="28"/>
          <w:szCs w:val="28"/>
          <w:highlight w:val="none"/>
          <w:lang w:val="en-US" w:eastAsia="zh-CN"/>
        </w:rPr>
        <w:t>（1649m）</w:t>
      </w:r>
      <w:r>
        <w:rPr>
          <w:rFonts w:hint="eastAsia" w:ascii="Times New Roman" w:hAnsi="Times New Roman" w:cs="Times New Roman"/>
          <w:color w:val="auto"/>
          <w:sz w:val="28"/>
          <w:szCs w:val="28"/>
          <w:highlight w:val="none"/>
          <w:lang w:val="en-US" w:eastAsia="zh-CN"/>
        </w:rPr>
        <w:t>进料口</w:t>
      </w:r>
      <w:r>
        <w:rPr>
          <w:rFonts w:hint="default" w:ascii="Times New Roman" w:hAnsi="Times New Roman" w:eastAsia="宋体" w:cs="Times New Roman"/>
          <w:color w:val="auto"/>
          <w:sz w:val="28"/>
          <w:szCs w:val="28"/>
          <w:highlight w:val="none"/>
          <w:lang w:val="en-US" w:eastAsia="zh-CN"/>
        </w:rPr>
        <w:t>沿破碎站</w:t>
      </w:r>
      <w:r>
        <w:rPr>
          <w:rFonts w:hint="eastAsia" w:ascii="Times New Roman" w:hAnsi="Times New Roman" w:eastAsia="宋体" w:cs="Times New Roman"/>
          <w:color w:val="auto"/>
          <w:sz w:val="28"/>
          <w:szCs w:val="28"/>
          <w:highlight w:val="none"/>
          <w:lang w:val="en-US" w:eastAsia="zh-CN"/>
        </w:rPr>
        <w:t>西侧</w:t>
      </w:r>
      <w:r>
        <w:rPr>
          <w:rFonts w:hint="default" w:ascii="Times New Roman" w:hAnsi="Times New Roman" w:eastAsia="宋体" w:cs="Times New Roman"/>
          <w:color w:val="auto"/>
          <w:sz w:val="28"/>
          <w:szCs w:val="28"/>
          <w:highlight w:val="none"/>
          <w:lang w:val="en-US" w:eastAsia="zh-CN"/>
        </w:rPr>
        <w:t>进场道路</w:t>
      </w:r>
      <w:r>
        <w:rPr>
          <w:rFonts w:hint="eastAsia" w:ascii="Times New Roman" w:hAnsi="Times New Roman" w:eastAsia="宋体" w:cs="Times New Roman"/>
          <w:color w:val="auto"/>
          <w:sz w:val="28"/>
          <w:szCs w:val="28"/>
          <w:highlight w:val="none"/>
          <w:lang w:val="en-US" w:eastAsia="zh-CN"/>
        </w:rPr>
        <w:t>进入矿区中部修建至1660m平台，道路长1</w:t>
      </w:r>
      <w:r>
        <w:rPr>
          <w:rFonts w:hint="eastAsia" w:ascii="Times New Roman" w:hAnsi="Times New Roman" w:cs="Times New Roman"/>
          <w:color w:val="auto"/>
          <w:sz w:val="28"/>
          <w:szCs w:val="28"/>
          <w:highlight w:val="none"/>
          <w:lang w:val="en-US" w:eastAsia="zh-CN"/>
        </w:rPr>
        <w:t>93</w:t>
      </w:r>
      <w:r>
        <w:rPr>
          <w:rFonts w:hint="eastAsia" w:ascii="Times New Roman" w:hAnsi="Times New Roman" w:eastAsia="宋体" w:cs="Times New Roman"/>
          <w:color w:val="auto"/>
          <w:sz w:val="28"/>
          <w:szCs w:val="28"/>
          <w:highlight w:val="none"/>
          <w:lang w:val="en-US" w:eastAsia="zh-CN"/>
        </w:rPr>
        <w:t>m，宽6m</w:t>
      </w:r>
      <w:r>
        <w:rPr>
          <w:rFonts w:hint="default"/>
        </w:rPr>
        <w:t>～</w:t>
      </w:r>
      <w:r>
        <w:rPr>
          <w:rFonts w:hint="eastAsia"/>
          <w:lang w:val="en-US" w:eastAsia="zh-CN"/>
        </w:rPr>
        <w:t>10</w:t>
      </w:r>
      <w:r>
        <w:rPr>
          <w:rFonts w:hint="default"/>
        </w:rPr>
        <w:t>m</w:t>
      </w:r>
      <w:r>
        <w:rPr>
          <w:rFonts w:hint="eastAsia" w:ascii="Times New Roman" w:hAnsi="Times New Roman" w:eastAsia="宋体" w:cs="Times New Roman"/>
          <w:color w:val="auto"/>
          <w:sz w:val="28"/>
          <w:szCs w:val="28"/>
          <w:highlight w:val="none"/>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平均坡度≦</w:t>
      </w:r>
      <w:r>
        <w:rPr>
          <w:rFonts w:hint="eastAsia" w:ascii="Times New Roman" w:hAnsi="Times New Roman" w:eastAsia="宋体" w:cs="Times New Roman"/>
          <w:color w:val="auto"/>
          <w:sz w:val="28"/>
          <w:szCs w:val="28"/>
          <w:highlight w:val="none"/>
          <w:shd w:val="clear" w:color="auto" w:fill="auto"/>
          <w:lang w:val="en-US" w:eastAsia="zh-CN"/>
        </w:rPr>
        <w:t>6.8</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最大坡度</w:t>
      </w:r>
      <w:r>
        <w:rPr>
          <w:rFonts w:hint="eastAsia" w:ascii="Times New Roman" w:hAnsi="Times New Roman" w:eastAsia="宋体" w:cs="Times New Roman"/>
          <w:color w:val="auto"/>
          <w:sz w:val="28"/>
          <w:szCs w:val="28"/>
          <w:highlight w:val="none"/>
          <w:shd w:val="clear" w:color="auto" w:fill="auto"/>
          <w:lang w:val="en-US" w:eastAsia="zh-CN"/>
        </w:rPr>
        <w:t>9</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p>
    <w:p w14:paraId="6995C7E6">
      <w:pPr>
        <w:rPr>
          <w:rFonts w:hint="eastAsia" w:ascii="Times New Roman" w:hAnsi="Times New Roman" w:eastAsia="宋体" w:cs="Times New Roman"/>
          <w:color w:val="auto"/>
          <w:sz w:val="28"/>
          <w:szCs w:val="28"/>
          <w:highlight w:val="none"/>
          <w:shd w:val="clear" w:color="auto" w:fill="auto"/>
          <w:lang w:val="en-US" w:eastAsia="zh-CN"/>
        </w:rPr>
      </w:pPr>
      <w:r>
        <w:rPr>
          <w:rFonts w:hint="eastAsia" w:ascii="宋体" w:hAnsi="宋体" w:eastAsia="宋体" w:cs="宋体"/>
          <w:color w:val="auto"/>
          <w:highlight w:val="none"/>
          <w:lang w:eastAsia="zh-CN"/>
        </w:rPr>
        <w:t>②</w:t>
      </w:r>
      <w:r>
        <w:rPr>
          <w:rFonts w:hint="eastAsia" w:ascii="Times New Roman" w:hAnsi="Times New Roman" w:eastAsia="宋体" w:cs="Times New Roman"/>
          <w:color w:val="auto"/>
          <w:sz w:val="28"/>
          <w:szCs w:val="28"/>
          <w:highlight w:val="none"/>
          <w:lang w:val="en-US" w:eastAsia="zh-CN"/>
        </w:rPr>
        <w:t>1660m标高以上采用挖机道路，挖机道路从1660m标高修建至1705m平台，道路长180m，宽4m，</w:t>
      </w:r>
      <w:r>
        <w:rPr>
          <w:rFonts w:hint="default" w:ascii="Times New Roman" w:hAnsi="Times New Roman" w:eastAsia="宋体" w:cs="Times New Roman"/>
          <w:color w:val="auto"/>
          <w:sz w:val="28"/>
          <w:szCs w:val="28"/>
          <w:highlight w:val="none"/>
          <w:shd w:val="clear" w:color="auto" w:fill="auto"/>
          <w:lang w:val="en-US" w:eastAsia="zh-CN"/>
        </w:rPr>
        <w:t>平均坡度≦</w:t>
      </w:r>
      <w:r>
        <w:rPr>
          <w:rFonts w:hint="eastAsia" w:ascii="Times New Roman" w:hAnsi="Times New Roman" w:eastAsia="宋体" w:cs="Times New Roman"/>
          <w:color w:val="auto"/>
          <w:sz w:val="28"/>
          <w:szCs w:val="28"/>
          <w:highlight w:val="none"/>
          <w:shd w:val="clear" w:color="auto" w:fill="auto"/>
          <w:lang w:val="en-US" w:eastAsia="zh-CN"/>
        </w:rPr>
        <w:t>25</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r>
        <w:rPr>
          <w:rFonts w:hint="default" w:ascii="Times New Roman" w:hAnsi="Times New Roman" w:eastAsia="宋体" w:cs="Times New Roman"/>
          <w:color w:val="auto"/>
          <w:sz w:val="28"/>
          <w:szCs w:val="28"/>
          <w:highlight w:val="none"/>
          <w:shd w:val="clear" w:color="auto" w:fill="auto"/>
          <w:lang w:val="en-US" w:eastAsia="zh-CN"/>
        </w:rPr>
        <w:t>最大坡度</w:t>
      </w:r>
      <w:r>
        <w:rPr>
          <w:rFonts w:hint="eastAsia" w:ascii="Times New Roman" w:hAnsi="Times New Roman" w:eastAsia="宋体" w:cs="Times New Roman"/>
          <w:color w:val="auto"/>
          <w:sz w:val="28"/>
          <w:szCs w:val="28"/>
          <w:highlight w:val="none"/>
          <w:shd w:val="clear" w:color="auto" w:fill="auto"/>
          <w:lang w:val="en-US" w:eastAsia="zh-CN"/>
        </w:rPr>
        <w:t>28</w:t>
      </w:r>
      <w:r>
        <w:rPr>
          <w:rFonts w:hint="default" w:ascii="Times New Roman" w:hAnsi="Times New Roman" w:eastAsia="宋体" w:cs="Times New Roman"/>
          <w:color w:val="auto"/>
          <w:sz w:val="28"/>
          <w:szCs w:val="28"/>
          <w:highlight w:val="none"/>
          <w:shd w:val="clear" w:color="auto" w:fill="auto"/>
          <w:lang w:val="en-US" w:eastAsia="zh-CN"/>
        </w:rPr>
        <w:t>%</w:t>
      </w:r>
      <w:r>
        <w:rPr>
          <w:rFonts w:hint="eastAsia" w:ascii="Times New Roman" w:hAnsi="Times New Roman" w:eastAsia="宋体" w:cs="Times New Roman"/>
          <w:color w:val="auto"/>
          <w:sz w:val="28"/>
          <w:szCs w:val="28"/>
          <w:highlight w:val="none"/>
          <w:shd w:val="clear" w:color="auto" w:fill="auto"/>
          <w:lang w:val="en-US" w:eastAsia="zh-CN"/>
        </w:rPr>
        <w:t>；</w:t>
      </w:r>
    </w:p>
    <w:p w14:paraId="52862521">
      <w:pPr>
        <w:rPr>
          <w:rFonts w:hint="default" w:ascii="Times New Roman" w:hAnsi="Times New Roman" w:eastAsia="宋体" w:cs="Times New Roman"/>
          <w:color w:val="auto"/>
          <w:sz w:val="28"/>
          <w:szCs w:val="28"/>
          <w:highlight w:val="none"/>
          <w:shd w:val="clear" w:color="auto" w:fill="auto"/>
          <w:lang w:val="en-US" w:eastAsia="zh-CN"/>
        </w:rPr>
      </w:pPr>
      <w:r>
        <w:rPr>
          <w:rFonts w:hint="eastAsia" w:ascii="微软雅黑" w:hAnsi="微软雅黑" w:eastAsia="微软雅黑" w:cs="微软雅黑"/>
          <w:color w:val="auto"/>
          <w:sz w:val="28"/>
          <w:szCs w:val="28"/>
          <w:highlight w:val="none"/>
          <w:shd w:val="clear" w:color="auto" w:fill="auto"/>
          <w:lang w:val="en-US" w:eastAsia="zh-CN"/>
        </w:rPr>
        <w:t>③</w:t>
      </w:r>
      <w:r>
        <w:rPr>
          <w:rFonts w:hint="default" w:ascii="Times New Roman" w:hAnsi="Times New Roman" w:eastAsia="宋体" w:cs="Times New Roman"/>
          <w:color w:val="auto"/>
          <w:sz w:val="28"/>
          <w:szCs w:val="28"/>
          <w:highlight w:val="none"/>
          <w:lang w:val="en-US" w:eastAsia="zh-CN"/>
        </w:rPr>
        <w:t>从破碎站</w:t>
      </w:r>
      <w:r>
        <w:rPr>
          <w:rFonts w:hint="eastAsia" w:ascii="Times New Roman" w:hAnsi="Times New Roman" w:eastAsia="宋体" w:cs="Times New Roman"/>
          <w:color w:val="auto"/>
          <w:sz w:val="28"/>
          <w:szCs w:val="28"/>
          <w:highlight w:val="none"/>
          <w:lang w:val="en-US" w:eastAsia="zh-CN"/>
        </w:rPr>
        <w:t>（1649m）</w:t>
      </w:r>
      <w:r>
        <w:rPr>
          <w:rFonts w:hint="eastAsia" w:ascii="Times New Roman" w:hAnsi="Times New Roman" w:cs="Times New Roman"/>
          <w:color w:val="auto"/>
          <w:sz w:val="28"/>
          <w:szCs w:val="28"/>
          <w:highlight w:val="none"/>
          <w:lang w:val="en-US" w:eastAsia="zh-CN"/>
        </w:rPr>
        <w:t>进料口</w:t>
      </w:r>
      <w:r>
        <w:rPr>
          <w:rFonts w:hint="default" w:ascii="Times New Roman" w:hAnsi="Times New Roman" w:eastAsia="宋体" w:cs="Times New Roman"/>
          <w:color w:val="auto"/>
          <w:sz w:val="28"/>
          <w:szCs w:val="28"/>
          <w:highlight w:val="none"/>
          <w:lang w:val="en-US" w:eastAsia="zh-CN"/>
        </w:rPr>
        <w:t>沿破碎站</w:t>
      </w:r>
      <w:r>
        <w:rPr>
          <w:rFonts w:hint="eastAsia" w:ascii="Times New Roman" w:hAnsi="Times New Roman" w:eastAsia="宋体" w:cs="Times New Roman"/>
          <w:color w:val="auto"/>
          <w:sz w:val="28"/>
          <w:szCs w:val="28"/>
          <w:highlight w:val="none"/>
          <w:lang w:val="en-US" w:eastAsia="zh-CN"/>
        </w:rPr>
        <w:t>西侧</w:t>
      </w:r>
      <w:r>
        <w:rPr>
          <w:rFonts w:hint="default" w:ascii="Times New Roman" w:hAnsi="Times New Roman" w:eastAsia="宋体" w:cs="Times New Roman"/>
          <w:color w:val="auto"/>
          <w:sz w:val="28"/>
          <w:szCs w:val="28"/>
          <w:highlight w:val="none"/>
          <w:lang w:val="en-US" w:eastAsia="zh-CN"/>
        </w:rPr>
        <w:t>进场道路</w:t>
      </w:r>
      <w:r>
        <w:rPr>
          <w:rFonts w:hint="eastAsia" w:ascii="Times New Roman" w:hAnsi="Times New Roman" w:eastAsia="宋体" w:cs="Times New Roman"/>
          <w:color w:val="auto"/>
          <w:sz w:val="28"/>
          <w:szCs w:val="28"/>
          <w:highlight w:val="none"/>
          <w:lang w:val="en-US" w:eastAsia="zh-CN"/>
        </w:rPr>
        <w:t>进入矿区中部修建至1645m平台，道路长</w:t>
      </w:r>
      <w:r>
        <w:rPr>
          <w:rFonts w:hint="eastAsia" w:ascii="Times New Roman" w:hAnsi="Times New Roman" w:cs="Times New Roman"/>
          <w:color w:val="auto"/>
          <w:sz w:val="28"/>
          <w:szCs w:val="28"/>
          <w:highlight w:val="none"/>
          <w:lang w:val="en-US" w:eastAsia="zh-CN"/>
        </w:rPr>
        <w:t>1</w:t>
      </w:r>
      <w:r>
        <w:rPr>
          <w:rFonts w:hint="eastAsia" w:ascii="Times New Roman" w:hAnsi="Times New Roman" w:eastAsia="宋体" w:cs="Times New Roman"/>
          <w:color w:val="auto"/>
          <w:sz w:val="28"/>
          <w:szCs w:val="28"/>
          <w:highlight w:val="none"/>
          <w:lang w:val="en-US" w:eastAsia="zh-CN"/>
        </w:rPr>
        <w:t>46m.</w:t>
      </w:r>
    </w:p>
    <w:p w14:paraId="4B52F105">
      <w:pPr>
        <w:bidi w:val="0"/>
      </w:pPr>
      <w:r>
        <w:rPr>
          <w:rFonts w:hint="eastAsia"/>
          <w:lang w:val="en-US" w:eastAsia="zh-CN"/>
        </w:rPr>
        <w:t>（2）</w:t>
      </w:r>
      <w:r>
        <w:t>道路边坡加固和防护措施</w:t>
      </w:r>
    </w:p>
    <w:p w14:paraId="6A7AFF0B">
      <w:pPr>
        <w:bidi w:val="0"/>
      </w:pPr>
      <w:r>
        <w:t>道路路堑、路堤边坡根据自然条件、土石类别及其结构、边坡高度、具体的施工方法</w:t>
      </w:r>
      <w:r>
        <w:rPr>
          <w:rFonts w:hint="eastAsia"/>
          <w:lang w:eastAsia="zh-CN"/>
        </w:rPr>
        <w:t>，</w:t>
      </w:r>
      <w:r>
        <w:t>运输道路以挖方路堑为主，</w:t>
      </w:r>
      <w:r>
        <w:rPr>
          <w:rFonts w:hint="eastAsia"/>
        </w:rPr>
        <w:t>采场</w:t>
      </w:r>
      <w:r>
        <w:t>固定坑线路堑边坡按设计终了台阶参数留设。</w:t>
      </w:r>
    </w:p>
    <w:p w14:paraId="6A1F57E4">
      <w:pPr>
        <w:bidi w:val="0"/>
      </w:pPr>
      <w:r>
        <w:rPr>
          <w:rFonts w:hint="eastAsia"/>
          <w:lang w:val="en-US" w:eastAsia="zh-CN"/>
        </w:rPr>
        <w:t>挖机道路</w:t>
      </w:r>
      <w:r>
        <w:t>边坡采取以下防护和加固措施：</w:t>
      </w:r>
    </w:p>
    <w:p w14:paraId="6BC56598">
      <w:pPr>
        <w:bidi w:val="0"/>
      </w:pPr>
      <w:r>
        <w:rPr>
          <w:rFonts w:hint="eastAsia" w:ascii="微软雅黑" w:hAnsi="微软雅黑" w:eastAsia="微软雅黑" w:cs="微软雅黑"/>
          <w:lang w:eastAsia="zh-CN"/>
        </w:rPr>
        <w:t>①</w:t>
      </w:r>
      <w:r>
        <w:t>在挖方路堑</w:t>
      </w:r>
      <w:r>
        <w:rPr>
          <w:rFonts w:hint="eastAsia"/>
        </w:rPr>
        <w:t>底部</w:t>
      </w:r>
      <w:r>
        <w:t>设置截水沟。</w:t>
      </w:r>
    </w:p>
    <w:p w14:paraId="0C11B08A">
      <w:pPr>
        <w:bidi w:val="0"/>
      </w:pPr>
      <w:r>
        <w:rPr>
          <w:rFonts w:hint="eastAsia" w:ascii="微软雅黑" w:hAnsi="微软雅黑" w:eastAsia="微软雅黑" w:cs="微软雅黑"/>
          <w:lang w:eastAsia="zh-CN"/>
        </w:rPr>
        <w:t>②</w:t>
      </w:r>
      <w:r>
        <w:t>在道路开挖地段，道路旁边坡不稳定地段，采取加固。</w:t>
      </w:r>
    </w:p>
    <w:p w14:paraId="62434791">
      <w:pPr>
        <w:bidi w:val="0"/>
      </w:pPr>
      <w:r>
        <w:rPr>
          <w:rFonts w:hint="eastAsia" w:ascii="微软雅黑" w:hAnsi="微软雅黑" w:eastAsia="微软雅黑" w:cs="微软雅黑"/>
          <w:lang w:eastAsia="zh-CN"/>
        </w:rPr>
        <w:t>③</w:t>
      </w:r>
      <w:r>
        <w:t>对于不稳定的路堑、路堤边坡，通过</w:t>
      </w:r>
      <w:r>
        <w:rPr>
          <w:rFonts w:hint="eastAsia"/>
          <w:lang w:val="en-US" w:eastAsia="zh-CN"/>
        </w:rPr>
        <w:t>制定管理规定，设置挡土墙和铁丝网围栏、警示旗</w:t>
      </w:r>
      <w:r>
        <w:t>。</w:t>
      </w:r>
    </w:p>
    <w:p w14:paraId="127C08B3">
      <w:pPr>
        <w:bidi w:val="0"/>
      </w:pPr>
      <w:bookmarkStart w:id="255" w:name="_Toc118385932"/>
      <w:bookmarkStart w:id="256" w:name="_Toc118385840"/>
      <w:bookmarkStart w:id="257" w:name="_Toc9728"/>
      <w:bookmarkStart w:id="258" w:name="_Toc140073204"/>
      <w:r>
        <w:rPr>
          <w:rFonts w:hint="eastAsia"/>
          <w:lang w:val="en-US" w:eastAsia="zh-CN"/>
        </w:rPr>
        <w:t>（3）</w:t>
      </w:r>
      <w:r>
        <w:t>运输道路安全设施</w:t>
      </w:r>
      <w:bookmarkEnd w:id="255"/>
      <w:bookmarkEnd w:id="256"/>
      <w:bookmarkEnd w:id="257"/>
      <w:bookmarkEnd w:id="258"/>
    </w:p>
    <w:p w14:paraId="65C8F665">
      <w:pPr>
        <w:bidi w:val="0"/>
        <w:rPr>
          <w:rFonts w:hint="eastAsia"/>
          <w:lang w:val="en-US" w:eastAsia="zh-CN"/>
        </w:rPr>
      </w:pPr>
      <w:r>
        <w:rPr>
          <w:rFonts w:hint="eastAsia" w:ascii="微软雅黑" w:hAnsi="微软雅黑" w:eastAsia="微软雅黑" w:cs="微软雅黑"/>
          <w:lang w:val="en-US" w:eastAsia="zh-CN"/>
        </w:rPr>
        <w:t>①</w:t>
      </w:r>
      <w:r>
        <w:rPr>
          <w:rFonts w:hint="eastAsia"/>
          <w:lang w:eastAsia="zh-CN"/>
        </w:rPr>
        <w:t>道路外侧挡车</w:t>
      </w:r>
      <w:r>
        <w:rPr>
          <w:rFonts w:hint="default"/>
        </w:rPr>
        <w:t>设施</w:t>
      </w:r>
    </w:p>
    <w:p w14:paraId="6677F525">
      <w:pPr>
        <w:bidi w:val="0"/>
        <w:rPr>
          <w:rFonts w:hint="default"/>
        </w:rPr>
      </w:pPr>
      <w:r>
        <w:rPr>
          <w:rFonts w:hint="default"/>
        </w:rPr>
        <w:t>公路外侧采用</w:t>
      </w:r>
      <w:r>
        <w:rPr>
          <w:rFonts w:hint="eastAsia"/>
          <w:lang w:eastAsia="zh-CN"/>
        </w:rPr>
        <w:t>顶宽</w:t>
      </w:r>
      <w:r>
        <w:rPr>
          <w:rFonts w:hint="eastAsia"/>
          <w:lang w:val="en-US" w:eastAsia="zh-CN"/>
        </w:rPr>
        <w:t>0.6m，底宽</w:t>
      </w:r>
      <w:r>
        <w:rPr>
          <w:rFonts w:hint="default"/>
        </w:rPr>
        <w:t>1</w:t>
      </w:r>
      <w:r>
        <w:rPr>
          <w:rFonts w:hint="eastAsia"/>
          <w:lang w:val="en-US" w:eastAsia="zh-CN"/>
        </w:rPr>
        <w:t>.2</w:t>
      </w:r>
      <w:r>
        <w:rPr>
          <w:rFonts w:hint="default"/>
        </w:rPr>
        <w:t>m</w:t>
      </w:r>
      <w:r>
        <w:rPr>
          <w:rFonts w:hint="eastAsia"/>
          <w:lang w:eastAsia="zh-CN"/>
        </w:rPr>
        <w:t>，高</w:t>
      </w:r>
      <w:r>
        <w:rPr>
          <w:rFonts w:hint="eastAsia"/>
          <w:lang w:val="en-US" w:eastAsia="zh-CN"/>
        </w:rPr>
        <w:t>1.0m</w:t>
      </w:r>
      <w:r>
        <w:rPr>
          <w:rFonts w:hint="default"/>
        </w:rPr>
        <w:t>的土质</w:t>
      </w:r>
      <w:r>
        <w:rPr>
          <w:rFonts w:hint="eastAsia"/>
          <w:lang w:eastAsia="zh-CN"/>
        </w:rPr>
        <w:t>挡墙</w:t>
      </w:r>
      <w:r>
        <w:rPr>
          <w:rFonts w:hint="default"/>
        </w:rPr>
        <w:t>。主要设置在</w:t>
      </w:r>
      <w:r>
        <w:rPr>
          <w:rFonts w:hint="eastAsia"/>
          <w:lang w:eastAsia="zh-CN"/>
        </w:rPr>
        <w:t>远离山体的</w:t>
      </w:r>
      <w:r>
        <w:rPr>
          <w:rFonts w:hint="default"/>
        </w:rPr>
        <w:t>公路</w:t>
      </w:r>
      <w:r>
        <w:rPr>
          <w:rFonts w:hint="eastAsia"/>
          <w:lang w:eastAsia="zh-CN"/>
        </w:rPr>
        <w:t>一</w:t>
      </w:r>
      <w:r>
        <w:rPr>
          <w:rFonts w:hint="default"/>
        </w:rPr>
        <w:t>侧。</w:t>
      </w:r>
    </w:p>
    <w:p w14:paraId="22BF02D4">
      <w:pPr>
        <w:bidi w:val="0"/>
        <w:rPr>
          <w:rFonts w:hint="default"/>
        </w:rPr>
      </w:pPr>
      <w:r>
        <w:rPr>
          <w:rFonts w:hint="eastAsia" w:ascii="微软雅黑" w:hAnsi="微软雅黑" w:eastAsia="微软雅黑" w:cs="微软雅黑"/>
          <w:lang w:val="en-US" w:eastAsia="zh-CN"/>
        </w:rPr>
        <w:t>②</w:t>
      </w:r>
      <w:r>
        <w:rPr>
          <w:rFonts w:hint="default"/>
        </w:rPr>
        <w:t>错车道</w:t>
      </w:r>
      <w:r>
        <w:rPr>
          <w:rFonts w:hint="eastAsia"/>
          <w:lang w:eastAsia="zh-CN"/>
        </w:rPr>
        <w:t>及缓坡段</w:t>
      </w:r>
    </w:p>
    <w:p w14:paraId="0E33D423">
      <w:pPr>
        <w:bidi w:val="0"/>
        <w:rPr>
          <w:rFonts w:hint="eastAsia"/>
          <w:lang w:val="en-US" w:eastAsia="zh-CN"/>
        </w:rPr>
      </w:pPr>
      <w:r>
        <w:rPr>
          <w:rFonts w:hint="eastAsia"/>
          <w:lang w:val="en-US" w:eastAsia="zh-CN"/>
        </w:rPr>
        <w:t>由于矿山运输距离较短，不设置</w:t>
      </w:r>
      <w:r>
        <w:rPr>
          <w:rFonts w:hint="eastAsia"/>
          <w:lang w:eastAsia="zh-CN"/>
        </w:rPr>
        <w:t>缓坡段</w:t>
      </w:r>
      <w:r>
        <w:rPr>
          <w:rFonts w:hint="eastAsia"/>
          <w:lang w:val="en-US" w:eastAsia="zh-CN"/>
        </w:rPr>
        <w:t>。在破碎站西南角至1645m平台道路较宽，此路段可作为错车道</w:t>
      </w:r>
      <w:r>
        <w:rPr>
          <w:rFonts w:hint="eastAsia"/>
          <w:lang w:eastAsia="zh-CN"/>
        </w:rPr>
        <w:t>。</w:t>
      </w:r>
    </w:p>
    <w:p w14:paraId="2AFD0409">
      <w:pPr>
        <w:bidi w:val="0"/>
        <w:rPr>
          <w:rFonts w:hint="default"/>
          <w:lang w:val="en-US" w:eastAsia="zh-CN"/>
        </w:rPr>
      </w:pPr>
      <w:r>
        <w:rPr>
          <w:rFonts w:hint="eastAsia" w:ascii="微软雅黑" w:hAnsi="微软雅黑" w:eastAsia="微软雅黑" w:cs="微软雅黑"/>
          <w:lang w:val="en-US" w:eastAsia="zh-CN"/>
        </w:rPr>
        <w:t>③</w:t>
      </w:r>
      <w:r>
        <w:rPr>
          <w:rFonts w:hint="default"/>
          <w:lang w:val="en-US" w:eastAsia="zh-CN"/>
        </w:rPr>
        <w:t>矿、岩卸载点挡车设施</w:t>
      </w:r>
    </w:p>
    <w:p w14:paraId="5F48E032">
      <w:pPr>
        <w:bidi w:val="0"/>
      </w:pPr>
      <w:r>
        <w:rPr>
          <w:rFonts w:hint="default"/>
        </w:rPr>
        <w:t>公路的挡车设施设置于</w:t>
      </w:r>
      <w:r>
        <w:rPr>
          <w:rFonts w:hint="eastAsia"/>
          <w:lang w:val="en-US" w:eastAsia="zh-CN"/>
        </w:rPr>
        <w:t>公路外侧</w:t>
      </w:r>
      <w:r>
        <w:rPr>
          <w:rFonts w:hint="default"/>
        </w:rPr>
        <w:t>，破碎站</w:t>
      </w:r>
      <w:r>
        <w:rPr>
          <w:rFonts w:hint="eastAsia"/>
          <w:lang w:val="en-US" w:eastAsia="zh-CN"/>
        </w:rPr>
        <w:t>车挡</w:t>
      </w:r>
      <w:r>
        <w:rPr>
          <w:rFonts w:hint="default"/>
        </w:rPr>
        <w:t>设置于破碎站装卸点平台，车辆卸载处高于堆料平台，在卸载处利用废旧钢材焊接设置车档，</w:t>
      </w:r>
      <w:r>
        <w:rPr>
          <w:rFonts w:hint="eastAsia"/>
          <w:lang w:val="en-US" w:eastAsia="zh-CN"/>
        </w:rPr>
        <w:t>公路</w:t>
      </w:r>
      <w:r>
        <w:rPr>
          <w:rFonts w:hint="default"/>
        </w:rPr>
        <w:t>采用土堆设置车档，矿岩运输设备为</w:t>
      </w:r>
      <w:r>
        <w:rPr>
          <w:rFonts w:hint="eastAsia"/>
          <w:lang w:val="en-US" w:eastAsia="zh-CN"/>
        </w:rPr>
        <w:t>矿用</w:t>
      </w:r>
      <w:r>
        <w:rPr>
          <w:rFonts w:hint="eastAsia"/>
          <w:lang w:eastAsia="zh-CN"/>
        </w:rPr>
        <w:t>自卸汽车</w:t>
      </w:r>
      <w:r>
        <w:rPr>
          <w:rFonts w:hint="default"/>
        </w:rPr>
        <w:t>，车轮直径为1100mm，按照规定车档的高度不小于轮胎直径的</w:t>
      </w:r>
      <w:r>
        <w:rPr>
          <w:rFonts w:hint="eastAsia"/>
          <w:lang w:val="en-US" w:eastAsia="zh-CN"/>
        </w:rPr>
        <w:t>1</w:t>
      </w:r>
      <w:r>
        <w:rPr>
          <w:rFonts w:hint="default"/>
        </w:rPr>
        <w:t>/</w:t>
      </w:r>
      <w:r>
        <w:rPr>
          <w:rFonts w:hint="eastAsia"/>
          <w:lang w:val="en-US" w:eastAsia="zh-CN"/>
        </w:rPr>
        <w:t>2</w:t>
      </w:r>
      <w:r>
        <w:rPr>
          <w:rFonts w:hint="default"/>
        </w:rPr>
        <w:t>，车挡顶宽和底宽分别不小于轮胎直径的1/4和3/4，所以车档高0.6</w:t>
      </w:r>
      <w:r>
        <w:rPr>
          <w:rFonts w:hint="eastAsia"/>
          <w:lang w:val="en-US" w:eastAsia="zh-CN"/>
        </w:rPr>
        <w:t>0</w:t>
      </w:r>
      <w:r>
        <w:rPr>
          <w:rFonts w:hint="default"/>
        </w:rPr>
        <w:t>m，车档顶宽为0.3</w:t>
      </w:r>
      <w:r>
        <w:rPr>
          <w:rFonts w:hint="eastAsia"/>
          <w:lang w:val="en-US" w:eastAsia="zh-CN"/>
        </w:rPr>
        <w:t>0</w:t>
      </w:r>
      <w:r>
        <w:rPr>
          <w:rFonts w:hint="default"/>
        </w:rPr>
        <w:t>m，底宽为0.85</w:t>
      </w:r>
      <w:r>
        <w:t>。</w:t>
      </w:r>
    </w:p>
    <w:p w14:paraId="2FC54470">
      <w:pPr>
        <w:bidi w:val="0"/>
        <w:rPr>
          <w:rFonts w:hint="eastAsia"/>
          <w:lang w:val="en-US" w:eastAsia="zh-CN"/>
        </w:rPr>
      </w:pPr>
      <w:r>
        <w:rPr>
          <w:rFonts w:hint="eastAsia"/>
          <w:lang w:eastAsia="zh-CN"/>
        </w:rPr>
        <w:t>④</w:t>
      </w:r>
      <w:r>
        <w:rPr>
          <w:rFonts w:hint="default"/>
          <w:lang w:val="en-US" w:eastAsia="zh-CN"/>
        </w:rPr>
        <w:t>路内侧设置水沟</w:t>
      </w:r>
      <w:r>
        <w:rPr>
          <w:rFonts w:hint="eastAsia"/>
          <w:lang w:val="en-US" w:eastAsia="zh-CN"/>
        </w:rPr>
        <w:t>截面</w:t>
      </w:r>
      <w:r>
        <w:rPr>
          <w:rFonts w:hint="default"/>
          <w:lang w:val="en-US" w:eastAsia="zh-CN"/>
        </w:rPr>
        <w:t>（0.</w:t>
      </w:r>
      <w:r>
        <w:rPr>
          <w:rFonts w:hint="eastAsia"/>
          <w:lang w:val="en-US" w:eastAsia="zh-CN"/>
        </w:rPr>
        <w:t>5</w:t>
      </w:r>
      <w:r>
        <w:rPr>
          <w:rFonts w:hint="default"/>
          <w:lang w:val="en-US" w:eastAsia="zh-CN"/>
        </w:rPr>
        <w:t>m</w:t>
      </w:r>
      <w:r>
        <w:rPr>
          <w:rFonts w:hint="eastAsia"/>
          <w:lang w:val="en-US" w:eastAsia="zh-CN"/>
        </w:rPr>
        <w:t>+</w:t>
      </w:r>
      <w:r>
        <w:rPr>
          <w:rFonts w:hint="default"/>
          <w:lang w:val="en-US" w:eastAsia="zh-CN"/>
        </w:rPr>
        <w:t>0.4m</w:t>
      </w:r>
      <w:r>
        <w:rPr>
          <w:rFonts w:hint="eastAsia"/>
          <w:lang w:val="en-US" w:eastAsia="zh-CN"/>
        </w:rPr>
        <w:t>）</w:t>
      </w:r>
      <w:r>
        <w:rPr>
          <w:rFonts w:hint="default"/>
          <w:lang w:val="en-US" w:eastAsia="zh-CN"/>
        </w:rPr>
        <w:t>×0.</w:t>
      </w:r>
      <w:r>
        <w:rPr>
          <w:rFonts w:hint="eastAsia"/>
          <w:lang w:val="en-US" w:eastAsia="zh-CN"/>
        </w:rPr>
        <w:t>3</w:t>
      </w:r>
      <w:r>
        <w:rPr>
          <w:rFonts w:hint="default"/>
          <w:lang w:val="en-US" w:eastAsia="zh-CN"/>
        </w:rPr>
        <w:t>m</w:t>
      </w:r>
      <w:r>
        <w:rPr>
          <w:rFonts w:hint="eastAsia"/>
          <w:lang w:val="en-US" w:eastAsia="zh-CN"/>
        </w:rPr>
        <w:t>。</w:t>
      </w:r>
    </w:p>
    <w:p w14:paraId="2581EB62">
      <w:pPr>
        <w:bidi w:val="0"/>
        <w:rPr>
          <w:rFonts w:hint="default"/>
          <w:lang w:val="en-US" w:eastAsia="zh-CN"/>
        </w:rPr>
      </w:pPr>
      <w:r>
        <w:rPr>
          <w:rFonts w:hint="eastAsia"/>
          <w:lang w:val="en-US" w:eastAsia="zh-CN"/>
        </w:rPr>
        <w:t>2、</w:t>
      </w:r>
      <w:r>
        <w:t>基建平台</w:t>
      </w:r>
      <w:r>
        <w:rPr>
          <w:rFonts w:hint="eastAsia"/>
          <w:lang w:val="en-US" w:eastAsia="zh-CN"/>
        </w:rPr>
        <w:t>施工情况</w:t>
      </w:r>
    </w:p>
    <w:p w14:paraId="7FF85027">
      <w:pPr>
        <w:bidi w:val="0"/>
        <w:rPr>
          <w:color w:val="auto"/>
        </w:rPr>
      </w:pPr>
      <w:r>
        <w:rPr>
          <w:rFonts w:hint="eastAsia"/>
          <w:color w:val="auto"/>
          <w:lang w:val="en-US" w:eastAsia="zh-CN"/>
        </w:rPr>
        <w:t>（1）矿山基建台阶建设顺序按</w:t>
      </w:r>
      <w:r>
        <w:rPr>
          <w:rFonts w:hint="eastAsia"/>
          <w:color w:val="auto"/>
          <w:lang w:val="zh-CN"/>
        </w:rPr>
        <w:t>自上而下</w:t>
      </w:r>
      <w:r>
        <w:rPr>
          <w:rFonts w:hint="default"/>
          <w:color w:val="auto"/>
          <w:lang w:val="zh-CN"/>
        </w:rPr>
        <w:t>分台阶开采，台阶高度</w:t>
      </w:r>
      <w:r>
        <w:rPr>
          <w:rFonts w:hint="default"/>
          <w:color w:val="auto"/>
        </w:rPr>
        <w:t>1</w:t>
      </w:r>
      <w:r>
        <w:rPr>
          <w:rFonts w:hint="eastAsia"/>
          <w:color w:val="auto"/>
          <w:lang w:val="en-US" w:eastAsia="zh-CN"/>
        </w:rPr>
        <w:t>5</w:t>
      </w:r>
      <w:r>
        <w:rPr>
          <w:rFonts w:hint="default"/>
          <w:color w:val="auto"/>
          <w:lang w:val="zh-CN"/>
        </w:rPr>
        <w:t>m，安全平台宽</w:t>
      </w:r>
      <w:r>
        <w:rPr>
          <w:rFonts w:hint="eastAsia"/>
          <w:color w:val="auto"/>
          <w:lang w:val="en-US" w:eastAsia="zh-CN"/>
        </w:rPr>
        <w:t>5</w:t>
      </w:r>
      <w:r>
        <w:rPr>
          <w:rFonts w:hint="default"/>
          <w:color w:val="auto"/>
          <w:lang w:val="zh-CN"/>
        </w:rPr>
        <w:t>m，清扫平台宽</w:t>
      </w:r>
      <w:r>
        <w:rPr>
          <w:rFonts w:hint="eastAsia"/>
          <w:color w:val="auto"/>
          <w:lang w:val="en-US" w:eastAsia="zh-CN"/>
        </w:rPr>
        <w:t>8</w:t>
      </w:r>
      <w:r>
        <w:rPr>
          <w:rFonts w:hint="default"/>
          <w:color w:val="auto"/>
          <w:lang w:val="zh-CN"/>
        </w:rPr>
        <w:t>m</w:t>
      </w:r>
      <w:r>
        <w:rPr>
          <w:rFonts w:hint="eastAsia"/>
          <w:color w:val="auto"/>
          <w:lang w:val="en-US" w:eastAsia="zh-CN"/>
        </w:rPr>
        <w:t>，从1705</w:t>
      </w:r>
      <w:r>
        <w:rPr>
          <w:rFonts w:hint="default"/>
          <w:color w:val="auto"/>
          <w:lang w:val="en-US" w:eastAsia="zh-CN"/>
        </w:rPr>
        <w:t>m台阶</w:t>
      </w:r>
      <w:r>
        <w:rPr>
          <w:rFonts w:hint="eastAsia"/>
          <w:color w:val="auto"/>
          <w:lang w:val="en-US" w:eastAsia="zh-CN"/>
        </w:rPr>
        <w:t>至1645</w:t>
      </w:r>
      <w:r>
        <w:rPr>
          <w:rFonts w:hint="default"/>
          <w:color w:val="auto"/>
          <w:lang w:val="en-US" w:eastAsia="zh-CN"/>
        </w:rPr>
        <w:t>m台阶</w:t>
      </w:r>
      <w:r>
        <w:rPr>
          <w:rFonts w:hint="eastAsia"/>
          <w:color w:val="auto"/>
          <w:lang w:val="en-US" w:eastAsia="zh-CN"/>
        </w:rPr>
        <w:t>共五个台阶</w:t>
      </w:r>
      <w:r>
        <w:rPr>
          <w:color w:val="auto"/>
        </w:rPr>
        <w:t>。</w:t>
      </w:r>
    </w:p>
    <w:p w14:paraId="58ABA2D6">
      <w:pPr>
        <w:bidi w:val="0"/>
        <w:rPr>
          <w:rFonts w:hint="default"/>
          <w:color w:val="auto"/>
          <w:lang w:val="en-US" w:eastAsia="zh-CN"/>
        </w:rPr>
      </w:pPr>
      <w:r>
        <w:rPr>
          <w:rFonts w:hint="eastAsia"/>
          <w:color w:val="auto"/>
          <w:lang w:eastAsia="zh-CN"/>
        </w:rPr>
        <w:t>（</w:t>
      </w:r>
      <w:r>
        <w:rPr>
          <w:rFonts w:hint="eastAsia"/>
          <w:color w:val="auto"/>
          <w:lang w:val="en-US" w:eastAsia="zh-CN"/>
        </w:rPr>
        <w:t>2）施工内容</w:t>
      </w:r>
    </w:p>
    <w:p w14:paraId="042FE05A">
      <w:pPr>
        <w:bidi w:val="0"/>
        <w:rPr>
          <w:color w:val="auto"/>
        </w:rPr>
      </w:pPr>
      <w:r>
        <w:rPr>
          <w:color w:val="auto"/>
        </w:rPr>
        <w:t>基建平台包括：测量定位→挖掘机开挖→倒运至设计平台。</w:t>
      </w:r>
    </w:p>
    <w:p w14:paraId="044C23F5">
      <w:pPr>
        <w:bidi w:val="0"/>
        <w:rPr>
          <w:color w:val="auto"/>
        </w:rPr>
      </w:pPr>
      <w:r>
        <w:rPr>
          <w:rFonts w:hint="default"/>
          <w:color w:val="auto"/>
        </w:rPr>
        <w:t>根据矿山地形地质条件，结合矿山实际情况，首采段设在矿区</w:t>
      </w:r>
      <w:r>
        <w:rPr>
          <w:rFonts w:hint="eastAsia"/>
          <w:color w:val="auto"/>
          <w:lang w:val="en-US" w:eastAsia="zh-CN"/>
        </w:rPr>
        <w:t>1720</w:t>
      </w:r>
      <w:r>
        <w:rPr>
          <w:rFonts w:hint="default"/>
          <w:color w:val="auto"/>
        </w:rPr>
        <w:t>m</w:t>
      </w:r>
      <w:r>
        <w:rPr>
          <w:rFonts w:hint="default"/>
          <w:color w:val="auto"/>
          <w:lang w:val="en-US" w:eastAsia="zh-CN"/>
        </w:rPr>
        <w:t>～</w:t>
      </w:r>
      <w:r>
        <w:rPr>
          <w:rFonts w:hint="eastAsia"/>
          <w:color w:val="auto"/>
          <w:lang w:val="en-US" w:eastAsia="zh-CN"/>
        </w:rPr>
        <w:t>1705</w:t>
      </w:r>
      <w:r>
        <w:rPr>
          <w:rFonts w:hint="default"/>
          <w:color w:val="auto"/>
        </w:rPr>
        <w:t>m</w:t>
      </w:r>
      <w:r>
        <w:rPr>
          <w:rFonts w:hint="default"/>
          <w:color w:val="auto"/>
          <w:lang w:eastAsia="zh-CN"/>
        </w:rPr>
        <w:t>标高</w:t>
      </w:r>
      <w:r>
        <w:rPr>
          <w:rFonts w:hint="default"/>
          <w:color w:val="auto"/>
        </w:rPr>
        <w:t>，</w:t>
      </w:r>
      <w:r>
        <w:rPr>
          <w:rFonts w:hint="eastAsia"/>
          <w:color w:val="auto"/>
          <w:lang w:eastAsia="zh-CN"/>
        </w:rPr>
        <w:t>形成</w:t>
      </w:r>
      <w:r>
        <w:rPr>
          <w:rFonts w:hint="eastAsia"/>
          <w:color w:val="auto"/>
          <w:lang w:val="en-US" w:eastAsia="zh-CN"/>
        </w:rPr>
        <w:t>1705</w:t>
      </w:r>
      <w:r>
        <w:rPr>
          <w:rFonts w:hint="default"/>
          <w:color w:val="auto"/>
          <w:lang w:val="en-US" w:eastAsia="zh-CN"/>
        </w:rPr>
        <w:t>m</w:t>
      </w:r>
      <w:r>
        <w:rPr>
          <w:rFonts w:hint="eastAsia"/>
          <w:color w:val="auto"/>
          <w:lang w:val="en-US" w:eastAsia="zh-CN"/>
        </w:rPr>
        <w:t>安全</w:t>
      </w:r>
      <w:r>
        <w:rPr>
          <w:rFonts w:hint="default"/>
          <w:color w:val="auto"/>
          <w:lang w:val="en-US" w:eastAsia="zh-CN"/>
        </w:rPr>
        <w:t>平台</w:t>
      </w:r>
      <w:r>
        <w:rPr>
          <w:rFonts w:hint="eastAsia"/>
          <w:color w:val="auto"/>
          <w:lang w:val="en-US" w:eastAsia="zh-CN"/>
        </w:rPr>
        <w:t>、1690m安全</w:t>
      </w:r>
      <w:r>
        <w:rPr>
          <w:rFonts w:hint="default"/>
          <w:color w:val="auto"/>
          <w:lang w:val="en-US" w:eastAsia="zh-CN"/>
        </w:rPr>
        <w:t>平台</w:t>
      </w:r>
      <w:r>
        <w:rPr>
          <w:rFonts w:hint="eastAsia"/>
          <w:color w:val="auto"/>
          <w:lang w:val="en-US" w:eastAsia="zh-CN"/>
        </w:rPr>
        <w:t>、1675m清扫</w:t>
      </w:r>
      <w:r>
        <w:rPr>
          <w:rFonts w:hint="default"/>
          <w:color w:val="auto"/>
          <w:lang w:val="en-US" w:eastAsia="zh-CN"/>
        </w:rPr>
        <w:t>平台</w:t>
      </w:r>
      <w:r>
        <w:rPr>
          <w:rFonts w:hint="eastAsia"/>
          <w:color w:val="auto"/>
          <w:lang w:val="en-US" w:eastAsia="zh-CN"/>
        </w:rPr>
        <w:t>、</w:t>
      </w:r>
      <w:r>
        <w:rPr>
          <w:rFonts w:hint="default"/>
          <w:color w:val="auto"/>
          <w:lang w:val="en-US" w:eastAsia="zh-CN"/>
        </w:rPr>
        <w:t>形成</w:t>
      </w:r>
      <w:r>
        <w:rPr>
          <w:rFonts w:hint="eastAsia"/>
          <w:color w:val="auto"/>
          <w:lang w:val="en-US" w:eastAsia="zh-CN"/>
        </w:rPr>
        <w:t>1660</w:t>
      </w:r>
      <w:r>
        <w:rPr>
          <w:rFonts w:hint="default"/>
          <w:color w:val="auto"/>
          <w:lang w:val="en-US" w:eastAsia="zh-CN"/>
        </w:rPr>
        <w:t>m</w:t>
      </w:r>
      <w:r>
        <w:rPr>
          <w:rFonts w:hint="default"/>
          <w:color w:val="auto"/>
        </w:rPr>
        <w:t>基建</w:t>
      </w:r>
      <w:r>
        <w:rPr>
          <w:rFonts w:hint="eastAsia"/>
          <w:color w:val="auto"/>
          <w:lang w:val="en-US" w:eastAsia="zh-CN"/>
        </w:rPr>
        <w:t>采矿</w:t>
      </w:r>
      <w:r>
        <w:rPr>
          <w:rFonts w:hint="default"/>
          <w:color w:val="auto"/>
        </w:rPr>
        <w:t>平台</w:t>
      </w:r>
      <w:r>
        <w:rPr>
          <w:rFonts w:hint="eastAsia"/>
          <w:color w:val="auto"/>
          <w:lang w:val="en-US" w:eastAsia="zh-CN"/>
        </w:rPr>
        <w:t>和</w:t>
      </w:r>
      <w:r>
        <w:rPr>
          <w:rFonts w:hint="default"/>
          <w:color w:val="auto"/>
          <w:lang w:val="en-US" w:eastAsia="zh-CN"/>
        </w:rPr>
        <w:t>形成</w:t>
      </w:r>
      <w:r>
        <w:rPr>
          <w:rFonts w:hint="eastAsia"/>
          <w:color w:val="auto"/>
          <w:lang w:val="en-US" w:eastAsia="zh-CN"/>
        </w:rPr>
        <w:t>1645</w:t>
      </w:r>
      <w:r>
        <w:rPr>
          <w:rFonts w:hint="default"/>
          <w:color w:val="auto"/>
          <w:lang w:val="en-US" w:eastAsia="zh-CN"/>
        </w:rPr>
        <w:t>m</w:t>
      </w:r>
      <w:r>
        <w:rPr>
          <w:rFonts w:hint="default"/>
          <w:color w:val="auto"/>
        </w:rPr>
        <w:t>基建</w:t>
      </w:r>
      <w:r>
        <w:rPr>
          <w:rFonts w:hint="eastAsia"/>
          <w:color w:val="auto"/>
          <w:lang w:val="en-US" w:eastAsia="zh-CN"/>
        </w:rPr>
        <w:t>铲装</w:t>
      </w:r>
      <w:r>
        <w:rPr>
          <w:rFonts w:hint="default"/>
          <w:color w:val="auto"/>
        </w:rPr>
        <w:t>平台</w:t>
      </w:r>
      <w:r>
        <w:rPr>
          <w:rFonts w:hint="eastAsia"/>
          <w:color w:val="auto"/>
        </w:rPr>
        <w:t>。</w:t>
      </w:r>
    </w:p>
    <w:p w14:paraId="2DDC17D9">
      <w:pPr>
        <w:bidi w:val="0"/>
        <w:rPr>
          <w:rFonts w:hint="default"/>
          <w:lang w:val="en-US" w:eastAsia="zh-CN"/>
        </w:rPr>
      </w:pPr>
      <w:r>
        <w:rPr>
          <w:rFonts w:hint="eastAsia"/>
          <w:lang w:val="en-US" w:eastAsia="zh-CN"/>
        </w:rPr>
        <w:t>（3）设置平台标高指示牌。</w:t>
      </w:r>
    </w:p>
    <w:p w14:paraId="19A7CE68">
      <w:pPr>
        <w:bidi w:val="0"/>
      </w:pPr>
      <w:r>
        <w:rPr>
          <w:rFonts w:hint="eastAsia"/>
          <w:lang w:val="en-US" w:eastAsia="zh-CN"/>
        </w:rPr>
        <w:t>3、</w:t>
      </w:r>
      <w:r>
        <w:t>防排水工程</w:t>
      </w:r>
    </w:p>
    <w:p w14:paraId="40A25D1E">
      <w:pPr>
        <w:bidi w:val="0"/>
        <w:rPr>
          <w:rFonts w:hint="default"/>
          <w:lang w:val="en-US" w:eastAsia="zh-CN"/>
        </w:rPr>
      </w:pPr>
      <w:r>
        <w:rPr>
          <w:rFonts w:hint="eastAsia"/>
          <w:lang w:val="en-US" w:eastAsia="zh-CN"/>
        </w:rPr>
        <w:t>（1）平台排水沟</w:t>
      </w:r>
    </w:p>
    <w:p w14:paraId="4A9B1E0F">
      <w:pPr>
        <w:bidi w:val="0"/>
        <w:rPr>
          <w:rFonts w:hint="default"/>
          <w:lang w:val="zh-TW"/>
        </w:rPr>
      </w:pPr>
      <w:r>
        <w:t>基建期在矿区</w:t>
      </w:r>
      <w:r>
        <w:rPr>
          <w:rFonts w:hint="eastAsia"/>
          <w:lang w:val="en-US" w:eastAsia="zh-CN"/>
        </w:rPr>
        <w:t>1705</w:t>
      </w:r>
      <w:r>
        <w:rPr>
          <w:rFonts w:hint="default"/>
          <w:lang w:val="en-US" w:eastAsia="zh-CN"/>
        </w:rPr>
        <w:t>m平台</w:t>
      </w:r>
      <w:r>
        <w:rPr>
          <w:rFonts w:hint="eastAsia"/>
          <w:lang w:val="en-US" w:eastAsia="zh-CN"/>
        </w:rPr>
        <w:t>、1690m</w:t>
      </w:r>
      <w:r>
        <w:rPr>
          <w:rFonts w:hint="default"/>
          <w:lang w:val="en-US" w:eastAsia="zh-CN"/>
        </w:rPr>
        <w:t>平台</w:t>
      </w:r>
      <w:r>
        <w:rPr>
          <w:rFonts w:hint="eastAsia"/>
          <w:lang w:val="en-US" w:eastAsia="zh-CN"/>
        </w:rPr>
        <w:t>、1675m</w:t>
      </w:r>
      <w:r>
        <w:rPr>
          <w:rFonts w:hint="default"/>
          <w:lang w:val="en-US" w:eastAsia="zh-CN"/>
        </w:rPr>
        <w:t>平台</w:t>
      </w:r>
      <w:r>
        <w:t>平台边坡底部设置</w:t>
      </w:r>
      <w:r>
        <w:rPr>
          <w:rFonts w:hint="eastAsia"/>
          <w:lang w:val="en-US" w:eastAsia="zh-CN"/>
        </w:rPr>
        <w:t>排水沟</w:t>
      </w:r>
      <w:r>
        <w:t>，</w:t>
      </w:r>
      <w:r>
        <w:rPr>
          <w:rFonts w:hint="eastAsia"/>
          <w:lang w:val="en-US" w:eastAsia="zh-CN"/>
        </w:rPr>
        <w:t>排水</w:t>
      </w:r>
      <w:r>
        <w:t>沟采用梯形断面，断面尺寸（上宽</w:t>
      </w:r>
      <w:r>
        <w:rPr>
          <w:rFonts w:hint="eastAsia"/>
          <w:lang w:val="en-US" w:eastAsia="zh-CN"/>
        </w:rPr>
        <w:t>0.4m+</w:t>
      </w:r>
      <w:r>
        <w:t>底宽</w:t>
      </w:r>
      <w:r>
        <w:rPr>
          <w:rFonts w:hint="eastAsia"/>
          <w:lang w:val="en-US" w:eastAsia="zh-CN"/>
        </w:rPr>
        <w:t>0.3m</w:t>
      </w:r>
      <w:r>
        <w:t>）</w:t>
      </w:r>
      <w:r>
        <w:rPr>
          <w:rFonts w:hint="eastAsia"/>
          <w:lang w:eastAsia="zh-CN"/>
        </w:rPr>
        <w:t>×</w:t>
      </w:r>
      <w:r>
        <w:t>深</w:t>
      </w:r>
      <w:r>
        <w:rPr>
          <w:rFonts w:hint="eastAsia"/>
          <w:lang w:val="en-US" w:eastAsia="zh-CN"/>
        </w:rPr>
        <w:t>0.3m</w:t>
      </w:r>
      <w:r>
        <w:t>。</w:t>
      </w:r>
      <w:r>
        <w:rPr>
          <w:rFonts w:hint="default"/>
        </w:rPr>
        <w:t>平台工作面自边坡外侧向坡脚设置1～3%的方向坡度，将汇水集中至坡脚排水沟排出，防止汇水冲刷台阶边坡。</w:t>
      </w:r>
    </w:p>
    <w:p w14:paraId="16E94FA2">
      <w:pPr>
        <w:bidi w:val="0"/>
        <w:rPr>
          <w:rFonts w:hint="default"/>
        </w:rPr>
      </w:pPr>
      <w:r>
        <w:rPr>
          <w:rFonts w:hint="eastAsia"/>
          <w:lang w:val="en-US" w:eastAsia="zh-CN"/>
        </w:rPr>
        <w:t>（2</w:t>
      </w:r>
      <w:r>
        <w:rPr>
          <w:rFonts w:hint="eastAsia"/>
          <w:lang w:eastAsia="zh-CN"/>
        </w:rPr>
        <w:t>）</w:t>
      </w:r>
      <w:r>
        <w:rPr>
          <w:rFonts w:hint="default"/>
        </w:rPr>
        <w:t>公路内侧排水沟：在矿区公路内侧设置排水沟，公路内侧排水沟断面尺寸</w:t>
      </w:r>
      <w:r>
        <w:rPr>
          <w:rFonts w:hint="eastAsia"/>
          <w:lang w:eastAsia="zh-CN"/>
        </w:rPr>
        <w:t>（0.5m</w:t>
      </w:r>
      <w:r>
        <w:rPr>
          <w:rFonts w:hint="eastAsia"/>
          <w:lang w:val="en-US" w:eastAsia="zh-CN"/>
        </w:rPr>
        <w:t>+</w:t>
      </w:r>
      <w:r>
        <w:rPr>
          <w:rFonts w:hint="eastAsia"/>
          <w:lang w:eastAsia="zh-CN"/>
        </w:rPr>
        <w:t>0.4m）×0.3m</w:t>
      </w:r>
      <w:r>
        <w:rPr>
          <w:rFonts w:hint="default"/>
        </w:rPr>
        <w:t>。</w:t>
      </w:r>
    </w:p>
    <w:p w14:paraId="64BBAE19">
      <w:pPr>
        <w:bidi w:val="0"/>
        <w:rPr>
          <w:rFonts w:hint="default"/>
        </w:rPr>
      </w:pPr>
      <w:r>
        <w:rPr>
          <w:rFonts w:hint="eastAsia"/>
          <w:lang w:val="en-US" w:eastAsia="zh-CN"/>
        </w:rPr>
        <w:t>4、</w:t>
      </w:r>
      <w:r>
        <w:rPr>
          <w:rFonts w:hint="default"/>
        </w:rPr>
        <w:t>安全警示标志</w:t>
      </w:r>
    </w:p>
    <w:p w14:paraId="0F12E7BA">
      <w:pPr>
        <w:bidi w:val="0"/>
      </w:pPr>
      <w:r>
        <w:t>目前矿山已在矿区入口处设置有</w:t>
      </w:r>
      <w:r>
        <w:rPr>
          <w:rFonts w:hint="eastAsia"/>
          <w:lang w:eastAsia="zh-CN"/>
        </w:rPr>
        <w:t>“</w:t>
      </w:r>
      <w:r>
        <w:t>非工作人员禁止进入矿区</w:t>
      </w:r>
      <w:r>
        <w:rPr>
          <w:rFonts w:hint="eastAsia"/>
          <w:lang w:eastAsia="zh-CN"/>
        </w:rPr>
        <w:t>”</w:t>
      </w:r>
      <w:r>
        <w:t>、</w:t>
      </w:r>
      <w:r>
        <w:rPr>
          <w:rFonts w:hint="eastAsia"/>
          <w:lang w:eastAsia="zh-CN"/>
        </w:rPr>
        <w:t>“</w:t>
      </w:r>
      <w:r>
        <w:t>严禁损坏矿区安全设施</w:t>
      </w:r>
      <w:r>
        <w:rPr>
          <w:rFonts w:hint="eastAsia"/>
          <w:lang w:eastAsia="zh-CN"/>
        </w:rPr>
        <w:t>”</w:t>
      </w:r>
      <w:r>
        <w:t>，</w:t>
      </w:r>
      <w:r>
        <w:rPr>
          <w:rFonts w:hint="eastAsia"/>
          <w:lang w:eastAsia="zh-CN"/>
        </w:rPr>
        <w:t>“</w:t>
      </w:r>
      <w:r>
        <w:t>非工作车禁止驶入矿区</w:t>
      </w:r>
      <w:r>
        <w:rPr>
          <w:rFonts w:hint="eastAsia"/>
          <w:lang w:eastAsia="zh-CN"/>
        </w:rPr>
        <w:t>”</w:t>
      </w:r>
      <w:r>
        <w:t>，</w:t>
      </w:r>
      <w:r>
        <w:rPr>
          <w:rFonts w:hint="eastAsia"/>
          <w:lang w:eastAsia="zh-CN"/>
        </w:rPr>
        <w:t>“</w:t>
      </w:r>
      <w:r>
        <w:t>严禁矿区内周边放牧</w:t>
      </w:r>
      <w:r>
        <w:rPr>
          <w:rFonts w:hint="eastAsia"/>
          <w:lang w:eastAsia="zh-CN"/>
        </w:rPr>
        <w:t>”</w:t>
      </w:r>
      <w:r>
        <w:t>，</w:t>
      </w:r>
      <w:r>
        <w:rPr>
          <w:rFonts w:hint="eastAsia"/>
          <w:lang w:eastAsia="zh-CN"/>
        </w:rPr>
        <w:t>“</w:t>
      </w:r>
      <w:r>
        <w:t>注意安全，当心车辆！</w:t>
      </w:r>
      <w:r>
        <w:rPr>
          <w:rFonts w:hint="eastAsia"/>
          <w:lang w:eastAsia="zh-CN"/>
        </w:rPr>
        <w:t>”</w:t>
      </w:r>
      <w:r>
        <w:t>等安全警示标志以及安全风险告知牌，在矿山危险区域已设置</w:t>
      </w:r>
      <w:r>
        <w:rPr>
          <w:rFonts w:hint="eastAsia"/>
          <w:lang w:val="en-US" w:eastAsia="zh-CN"/>
        </w:rPr>
        <w:t>“</w:t>
      </w:r>
      <w:r>
        <w:t>注意安全、当心车辆</w:t>
      </w:r>
      <w:r>
        <w:rPr>
          <w:rFonts w:hint="eastAsia"/>
          <w:lang w:eastAsia="zh-CN"/>
        </w:rPr>
        <w:t>”</w:t>
      </w:r>
      <w:r>
        <w:t>、</w:t>
      </w:r>
      <w:r>
        <w:rPr>
          <w:rFonts w:hint="eastAsia"/>
          <w:lang w:eastAsia="zh-CN"/>
        </w:rPr>
        <w:t>“</w:t>
      </w:r>
      <w:r>
        <w:t>当心坠落！</w:t>
      </w:r>
      <w:r>
        <w:rPr>
          <w:rFonts w:hint="eastAsia"/>
          <w:lang w:eastAsia="zh-CN"/>
        </w:rPr>
        <w:t>”</w:t>
      </w:r>
      <w:r>
        <w:t>等安全警示标志，在变压器及配电室已设置“当心触电”等安全警示标志。</w:t>
      </w:r>
    </w:p>
    <w:p w14:paraId="63507A99">
      <w:pPr>
        <w:bidi w:val="0"/>
        <w:rPr>
          <w:color w:val="auto"/>
        </w:rPr>
      </w:pPr>
      <w:bookmarkStart w:id="259" w:name="_Hlk207286500"/>
      <w:r>
        <w:rPr>
          <w:rFonts w:hint="eastAsia"/>
          <w:color w:val="auto"/>
          <w:lang w:val="en-US" w:eastAsia="zh-CN"/>
        </w:rPr>
        <w:t>5、</w:t>
      </w:r>
      <w:r>
        <w:rPr>
          <w:color w:val="auto"/>
        </w:rPr>
        <w:t>安全围栏</w:t>
      </w:r>
      <w:bookmarkEnd w:id="259"/>
    </w:p>
    <w:p w14:paraId="217C29FB">
      <w:pPr>
        <w:bidi w:val="0"/>
        <w:rPr>
          <w:color w:val="auto"/>
        </w:rPr>
      </w:pPr>
      <w:r>
        <w:rPr>
          <w:color w:val="auto"/>
        </w:rPr>
        <w:t>在矿区边界设置安全围栏，安全围栏采用</w:t>
      </w:r>
      <w:r>
        <w:rPr>
          <w:rFonts w:hint="eastAsia"/>
          <w:color w:val="auto"/>
          <w:lang w:val="en-US" w:eastAsia="zh-CN"/>
        </w:rPr>
        <w:t>警示旗</w:t>
      </w:r>
      <w:r>
        <w:rPr>
          <w:color w:val="auto"/>
        </w:rPr>
        <w:t>的形式，</w:t>
      </w:r>
      <w:r>
        <w:rPr>
          <w:rFonts w:hint="eastAsia"/>
          <w:color w:val="auto"/>
          <w:lang w:val="en-US" w:eastAsia="zh-CN"/>
        </w:rPr>
        <w:t>采用</w:t>
      </w:r>
      <w:r>
        <w:rPr>
          <w:color w:val="auto"/>
        </w:rPr>
        <w:t>钢柱</w:t>
      </w:r>
      <w:r>
        <w:rPr>
          <w:rFonts w:hint="eastAsia"/>
          <w:color w:val="auto"/>
          <w:lang w:val="en-US" w:eastAsia="zh-CN"/>
        </w:rPr>
        <w:t>和树木，</w:t>
      </w:r>
      <w:r>
        <w:rPr>
          <w:color w:val="auto"/>
        </w:rPr>
        <w:t>设置高度为1.</w:t>
      </w:r>
      <w:r>
        <w:rPr>
          <w:rFonts w:hint="eastAsia"/>
          <w:color w:val="auto"/>
          <w:lang w:val="en-US" w:eastAsia="zh-CN"/>
        </w:rPr>
        <w:t>2</w:t>
      </w:r>
      <w:r>
        <w:rPr>
          <w:color w:val="auto"/>
        </w:rPr>
        <w:t>m，每3～5m设置一根铁柱</w:t>
      </w:r>
      <w:r>
        <w:rPr>
          <w:rFonts w:hint="eastAsia"/>
          <w:color w:val="auto"/>
          <w:lang w:val="en-US" w:eastAsia="zh-CN"/>
        </w:rPr>
        <w:t>或树木</w:t>
      </w:r>
      <w:r>
        <w:rPr>
          <w:color w:val="auto"/>
        </w:rPr>
        <w:t>，</w:t>
      </w:r>
      <w:r>
        <w:rPr>
          <w:rFonts w:hint="eastAsia"/>
          <w:color w:val="auto"/>
          <w:lang w:val="en-US" w:eastAsia="zh-CN"/>
        </w:rPr>
        <w:t>悬挂警示旗，</w:t>
      </w:r>
      <w:r>
        <w:rPr>
          <w:color w:val="auto"/>
        </w:rPr>
        <w:t>围栏长约1180m，高1.</w:t>
      </w:r>
      <w:r>
        <w:rPr>
          <w:rFonts w:hint="eastAsia"/>
          <w:color w:val="auto"/>
          <w:lang w:val="en-US" w:eastAsia="zh-CN"/>
        </w:rPr>
        <w:t>2</w:t>
      </w:r>
      <w:r>
        <w:rPr>
          <w:color w:val="auto"/>
        </w:rPr>
        <w:t>m。</w:t>
      </w:r>
    </w:p>
    <w:bookmarkEnd w:id="254"/>
    <w:p w14:paraId="20FE4DA4">
      <w:pPr>
        <w:pStyle w:val="5"/>
        <w:bidi w:val="0"/>
        <w:rPr>
          <w:color w:val="auto"/>
        </w:rPr>
      </w:pPr>
      <w:r>
        <w:rPr>
          <w:rFonts w:hint="eastAsia"/>
          <w:color w:val="auto"/>
          <w:lang w:val="en-US" w:eastAsia="zh-CN"/>
        </w:rPr>
        <w:t>2.5.3.2监</w:t>
      </w:r>
      <w:r>
        <w:rPr>
          <w:color w:val="auto"/>
        </w:rPr>
        <w:t>理情况</w:t>
      </w:r>
    </w:p>
    <w:p w14:paraId="56F53FC1">
      <w:pPr>
        <w:bidi w:val="0"/>
        <w:rPr>
          <w:color w:val="auto"/>
        </w:rPr>
      </w:pPr>
      <w:r>
        <w:rPr>
          <w:color w:val="auto"/>
          <w:lang w:val="en-US" w:eastAsia="en-US"/>
        </w:rPr>
        <w:t>矿山</w:t>
      </w:r>
      <w:r>
        <w:rPr>
          <w:rFonts w:hint="eastAsia"/>
          <w:color w:val="auto"/>
          <w:lang w:val="en-US" w:eastAsia="zh-CN"/>
        </w:rPr>
        <w:t>委托有矿山监理资质的监理单位</w:t>
      </w:r>
      <w:r>
        <w:rPr>
          <w:rFonts w:hint="default"/>
          <w:color w:val="auto"/>
          <w:lang w:val="sq-AL"/>
        </w:rPr>
        <w:t>云南增股工程勘察设计有限公司</w:t>
      </w:r>
      <w:r>
        <w:rPr>
          <w:color w:val="auto"/>
          <w:lang w:val="en-US" w:eastAsia="en-US"/>
        </w:rPr>
        <w:t>对矿山的基建工程进行监理。</w:t>
      </w:r>
      <w:r>
        <w:rPr>
          <w:rFonts w:hint="eastAsia"/>
          <w:color w:val="auto"/>
          <w:lang w:val="en-US" w:eastAsia="zh-CN"/>
        </w:rPr>
        <w:t>监理建设内容包括</w:t>
      </w:r>
      <w:r>
        <w:rPr>
          <w:color w:val="auto"/>
        </w:rPr>
        <w:t>矿山开拓道路、采场</w:t>
      </w:r>
      <w:r>
        <w:rPr>
          <w:rFonts w:hint="eastAsia"/>
          <w:color w:val="auto"/>
          <w:lang w:val="en-US" w:eastAsia="zh-CN"/>
        </w:rPr>
        <w:t>平台</w:t>
      </w:r>
      <w:r>
        <w:rPr>
          <w:color w:val="auto"/>
        </w:rPr>
        <w:t>、防排水、安全警示标志、安全围栏等基建工程。</w:t>
      </w:r>
    </w:p>
    <w:p w14:paraId="199BAB47">
      <w:pPr>
        <w:bidi w:val="0"/>
        <w:rPr>
          <w:color w:val="auto"/>
        </w:rPr>
      </w:pPr>
      <w:r>
        <w:rPr>
          <w:color w:val="auto"/>
        </w:rPr>
        <w:t>工程施工过程中，监理</w:t>
      </w:r>
      <w:r>
        <w:rPr>
          <w:rFonts w:hint="eastAsia"/>
          <w:color w:val="auto"/>
          <w:lang w:val="en-US" w:eastAsia="zh-CN"/>
        </w:rPr>
        <w:t>单位全程</w:t>
      </w:r>
      <w:r>
        <w:rPr>
          <w:color w:val="auto"/>
        </w:rPr>
        <w:t>对施工质量进行了</w:t>
      </w:r>
      <w:r>
        <w:rPr>
          <w:rFonts w:hint="eastAsia"/>
          <w:color w:val="auto"/>
          <w:lang w:val="en-US" w:eastAsia="zh-CN"/>
        </w:rPr>
        <w:t>现场</w:t>
      </w:r>
      <w:r>
        <w:rPr>
          <w:color w:val="auto"/>
        </w:rPr>
        <w:t>跟踪监督检查；对组织施工部门现场管理人员对各分部、分项的质量进行了验收，施工质量均符合设计要求。工程技术资料已按要求整理，工程质量满足设计、规范及使用功能要求，经对所监理工程综合检查，本工程各分部工程质量全部合格。</w:t>
      </w:r>
    </w:p>
    <w:p w14:paraId="3167DB1E">
      <w:pPr>
        <w:bidi w:val="0"/>
        <w:rPr>
          <w:color w:val="auto"/>
        </w:rPr>
      </w:pPr>
      <w:r>
        <w:rPr>
          <w:color w:val="auto"/>
        </w:rPr>
        <w:t>经对所监理工程综合评定：矿山运输道路、基建平台的建设、矿山相应安全警示标志的设置、矿山安全设施的设置等施工情况符合安全设施设计的要求，具备合格工程验收条件，工程质量评定为合格。</w:t>
      </w:r>
    </w:p>
    <w:p w14:paraId="46CBDCAC">
      <w:pPr>
        <w:rPr>
          <w:color w:val="auto"/>
        </w:rPr>
      </w:pPr>
      <w:r>
        <w:rPr>
          <w:color w:val="auto"/>
        </w:rPr>
        <w:br w:type="page"/>
      </w:r>
    </w:p>
    <w:p w14:paraId="095B2B11">
      <w:pPr>
        <w:pStyle w:val="3"/>
      </w:pPr>
      <w:bookmarkStart w:id="260" w:name="_Toc214284025"/>
      <w:bookmarkStart w:id="261" w:name="_Toc6077"/>
      <w:bookmarkStart w:id="262" w:name="_Toc12438"/>
      <w:r>
        <w:t>2.6试运行概况</w:t>
      </w:r>
      <w:bookmarkEnd w:id="260"/>
      <w:bookmarkEnd w:id="261"/>
      <w:bookmarkEnd w:id="262"/>
    </w:p>
    <w:p w14:paraId="3504DD8B">
      <w:pPr>
        <w:bidi w:val="0"/>
      </w:pPr>
      <w:bookmarkStart w:id="263" w:name="_Toc214284026"/>
      <w:r>
        <w:rPr>
          <w:rFonts w:hint="eastAsia"/>
          <w:lang w:val="en-US" w:eastAsia="zh-CN"/>
        </w:rPr>
        <w:t>1</w:t>
      </w:r>
      <w:r>
        <w:t>、试运行时间</w:t>
      </w:r>
    </w:p>
    <w:p w14:paraId="1CA60251">
      <w:pPr>
        <w:bidi w:val="0"/>
      </w:pPr>
      <w:r>
        <w:t>矿山于202</w:t>
      </w:r>
      <w:r>
        <w:rPr>
          <w:rFonts w:hint="eastAsia"/>
          <w:lang w:val="en-US" w:eastAsia="zh-CN"/>
        </w:rPr>
        <w:t>6</w:t>
      </w:r>
      <w:r>
        <w:t>年</w:t>
      </w:r>
      <w:r>
        <w:rPr>
          <w:rFonts w:hint="eastAsia"/>
          <w:lang w:val="en-US" w:eastAsia="zh-CN"/>
        </w:rPr>
        <w:t>2</w:t>
      </w:r>
      <w:r>
        <w:t>月</w:t>
      </w:r>
      <w:r>
        <w:rPr>
          <w:rFonts w:hint="eastAsia"/>
          <w:lang w:val="en-US" w:eastAsia="zh-CN"/>
        </w:rPr>
        <w:t>26</w:t>
      </w:r>
      <w:r>
        <w:t>日-202</w:t>
      </w:r>
      <w:r>
        <w:rPr>
          <w:rFonts w:hint="eastAsia"/>
          <w:lang w:val="en-US" w:eastAsia="zh-CN"/>
        </w:rPr>
        <w:t>6</w:t>
      </w:r>
      <w:r>
        <w:t>年</w:t>
      </w:r>
      <w:r>
        <w:rPr>
          <w:rFonts w:hint="eastAsia"/>
          <w:lang w:val="en-US" w:eastAsia="zh-CN"/>
        </w:rPr>
        <w:t>3</w:t>
      </w:r>
      <w:r>
        <w:t>月</w:t>
      </w:r>
      <w:r>
        <w:rPr>
          <w:rFonts w:hint="eastAsia"/>
          <w:lang w:val="en-US" w:eastAsia="zh-CN"/>
        </w:rPr>
        <w:t>27</w:t>
      </w:r>
      <w:r>
        <w:t>日进行试运行，在试运行期间，未发生生产安全事故。</w:t>
      </w:r>
    </w:p>
    <w:p w14:paraId="647841DF">
      <w:pPr>
        <w:bidi w:val="0"/>
      </w:pPr>
      <w:r>
        <w:rPr>
          <w:rFonts w:hint="eastAsia"/>
          <w:lang w:val="en-US" w:eastAsia="zh-CN"/>
        </w:rPr>
        <w:t>2</w:t>
      </w:r>
      <w:r>
        <w:t>、试运行情况</w:t>
      </w:r>
    </w:p>
    <w:p w14:paraId="4DE8275E">
      <w:pPr>
        <w:bidi w:val="0"/>
      </w:pPr>
      <w:r>
        <w:rPr>
          <w:rFonts w:hint="eastAsia"/>
          <w:lang w:eastAsia="zh-CN"/>
        </w:rPr>
        <w:t>（</w:t>
      </w:r>
      <w:r>
        <w:t>1</w:t>
      </w:r>
      <w:r>
        <w:rPr>
          <w:rFonts w:hint="eastAsia"/>
          <w:lang w:eastAsia="zh-CN"/>
        </w:rPr>
        <w:t>）</w:t>
      </w:r>
      <w:r>
        <w:t>采剥工程</w:t>
      </w:r>
    </w:p>
    <w:p w14:paraId="72396B10">
      <w:pPr>
        <w:bidi w:val="0"/>
      </w:pPr>
      <w:r>
        <w:t>试运行期间采用</w:t>
      </w:r>
      <w:r>
        <w:rPr>
          <w:rFonts w:hint="eastAsia"/>
          <w:lang w:eastAsia="zh-CN"/>
        </w:rPr>
        <w:t>CAT336液压挖掘机</w:t>
      </w:r>
      <w:r>
        <w:t>、</w:t>
      </w:r>
      <w:r>
        <w:rPr>
          <w:rFonts w:hint="eastAsia"/>
          <w:lang w:eastAsia="zh-CN"/>
        </w:rPr>
        <w:t>徐工LW500HV</w:t>
      </w:r>
      <w:r>
        <w:rPr>
          <w:rFonts w:hint="default"/>
        </w:rPr>
        <w:t>型装载机</w:t>
      </w:r>
      <w:r>
        <w:t>进行铲装，1</w:t>
      </w:r>
      <w:r>
        <w:rPr>
          <w:rFonts w:hint="eastAsia"/>
          <w:lang w:val="en-US" w:eastAsia="zh-CN"/>
        </w:rPr>
        <w:t>2.8</w:t>
      </w:r>
      <w:r>
        <w:t>t自卸车运输至破碎站破碎。试运行以来，投入设备运行良好，设备除了常规检修维护外，没有出现因设备事故而影响开采的情况，更没有因设备故障引发安全事故。</w:t>
      </w:r>
    </w:p>
    <w:p w14:paraId="0DB2B359">
      <w:pPr>
        <w:bidi w:val="0"/>
      </w:pPr>
      <w:r>
        <w:rPr>
          <w:rFonts w:hint="eastAsia"/>
          <w:lang w:eastAsia="zh-CN"/>
        </w:rPr>
        <w:t>（</w:t>
      </w:r>
      <w:r>
        <w:t>2</w:t>
      </w:r>
      <w:r>
        <w:rPr>
          <w:rFonts w:hint="eastAsia"/>
          <w:lang w:eastAsia="zh-CN"/>
        </w:rPr>
        <w:t>）</w:t>
      </w:r>
      <w:r>
        <w:t>开拓运输系统</w:t>
      </w:r>
    </w:p>
    <w:p w14:paraId="49807C2F">
      <w:pPr>
        <w:bidi w:val="0"/>
      </w:pPr>
      <w:r>
        <w:t>试运行期间采用1</w:t>
      </w:r>
      <w:r>
        <w:rPr>
          <w:rFonts w:hint="eastAsia"/>
          <w:lang w:val="en-US" w:eastAsia="zh-CN"/>
        </w:rPr>
        <w:t>2.8</w:t>
      </w:r>
      <w:r>
        <w:t>t自卸汽车将矿石从</w:t>
      </w:r>
      <w:r>
        <w:rPr>
          <w:rFonts w:hint="eastAsia"/>
          <w:lang w:val="en-US" w:eastAsia="zh-CN"/>
        </w:rPr>
        <w:t>标高</w:t>
      </w:r>
      <w:r>
        <w:t>1</w:t>
      </w:r>
      <w:r>
        <w:rPr>
          <w:rFonts w:hint="eastAsia"/>
          <w:lang w:val="en-US" w:eastAsia="zh-CN"/>
        </w:rPr>
        <w:t>645</w:t>
      </w:r>
      <w:r>
        <w:t>m平台运输至</w:t>
      </w:r>
      <w:r>
        <w:rPr>
          <w:rFonts w:hint="eastAsia"/>
          <w:lang w:val="en-US" w:eastAsia="zh-CN"/>
        </w:rPr>
        <w:t>标高</w:t>
      </w:r>
      <w:r>
        <w:t>1</w:t>
      </w:r>
      <w:r>
        <w:rPr>
          <w:rFonts w:hint="eastAsia"/>
          <w:lang w:val="en-US" w:eastAsia="zh-CN"/>
        </w:rPr>
        <w:t>649</w:t>
      </w:r>
      <w:r>
        <w:t>m破碎站，平均运距</w:t>
      </w:r>
      <w:r>
        <w:rPr>
          <w:rFonts w:hint="eastAsia"/>
          <w:lang w:val="en-US" w:eastAsia="zh-CN"/>
        </w:rPr>
        <w:t>约146</w:t>
      </w:r>
      <w:r>
        <w:t>m，每趟运输时长约</w:t>
      </w:r>
      <w:r>
        <w:rPr>
          <w:rFonts w:hint="eastAsia"/>
          <w:lang w:val="en-US" w:eastAsia="zh-CN"/>
        </w:rPr>
        <w:t>6</w:t>
      </w:r>
      <w:r>
        <w:t>分钟，试运行期间共投入自卸车2辆。</w:t>
      </w:r>
    </w:p>
    <w:p w14:paraId="10D16256">
      <w:pPr>
        <w:bidi w:val="0"/>
      </w:pPr>
      <w:r>
        <w:rPr>
          <w:rFonts w:hint="eastAsia"/>
          <w:lang w:eastAsia="zh-CN"/>
        </w:rPr>
        <w:t>（</w:t>
      </w:r>
      <w:r>
        <w:t>3</w:t>
      </w:r>
      <w:r>
        <w:rPr>
          <w:rFonts w:hint="eastAsia"/>
          <w:lang w:eastAsia="zh-CN"/>
        </w:rPr>
        <w:t>）</w:t>
      </w:r>
      <w:r>
        <w:t>防排水系统</w:t>
      </w:r>
    </w:p>
    <w:p w14:paraId="49B055D2">
      <w:pPr>
        <w:bidi w:val="0"/>
      </w:pPr>
      <w:r>
        <w:t>试运行期间</w:t>
      </w:r>
      <w:r>
        <w:rPr>
          <w:rFonts w:hint="eastAsia"/>
          <w:lang w:eastAsia="zh-CN"/>
        </w:rPr>
        <w:t>，</w:t>
      </w:r>
      <w:r>
        <w:rPr>
          <w:rFonts w:hint="eastAsia"/>
          <w:lang w:val="en-US" w:eastAsia="zh-CN"/>
        </w:rPr>
        <w:t>矿区为旱季，雨水较少</w:t>
      </w:r>
      <w:r>
        <w:t>，工业场地未发生积水现象</w:t>
      </w:r>
      <w:r>
        <w:rPr>
          <w:rFonts w:hint="eastAsia"/>
          <w:lang w:eastAsia="zh-CN"/>
        </w:rPr>
        <w:t>。</w:t>
      </w:r>
      <w:r>
        <w:rPr>
          <w:rFonts w:hint="eastAsia"/>
          <w:lang w:val="en-US" w:eastAsia="zh-CN"/>
        </w:rPr>
        <w:t>根据安设计算，</w:t>
      </w:r>
      <w:r>
        <w:t>防排水系统满足排洪要求。</w:t>
      </w:r>
    </w:p>
    <w:p w14:paraId="6AE1D082">
      <w:pPr>
        <w:bidi w:val="0"/>
      </w:pPr>
      <w:r>
        <w:rPr>
          <w:rFonts w:hint="eastAsia"/>
          <w:lang w:eastAsia="zh-CN"/>
        </w:rPr>
        <w:t>（</w:t>
      </w:r>
      <w:r>
        <w:t>4</w:t>
      </w:r>
      <w:r>
        <w:rPr>
          <w:rFonts w:hint="eastAsia"/>
          <w:lang w:eastAsia="zh-CN"/>
        </w:rPr>
        <w:t>）</w:t>
      </w:r>
      <w:r>
        <w:t>生产能力</w:t>
      </w:r>
    </w:p>
    <w:p w14:paraId="13946237">
      <w:pPr>
        <w:bidi w:val="0"/>
      </w:pPr>
      <w:r>
        <w:t>试运行期间平均每天安排班次1班，每班运行8h。试运行期间共生产成品石料</w:t>
      </w:r>
      <w:r>
        <w:rPr>
          <w:rFonts w:hint="eastAsia"/>
          <w:lang w:val="en-US" w:eastAsia="zh-CN"/>
        </w:rPr>
        <w:t>5.1万</w:t>
      </w:r>
      <w:r>
        <w:t>t，日生产砂石料为</w:t>
      </w:r>
      <w:r>
        <w:rPr>
          <w:rFonts w:hint="eastAsia"/>
          <w:lang w:val="en-US" w:eastAsia="zh-CN"/>
        </w:rPr>
        <w:t>5100</w:t>
      </w:r>
      <w:r>
        <w:t>0÷30=</w:t>
      </w:r>
      <w:r>
        <w:rPr>
          <w:rFonts w:hint="eastAsia"/>
          <w:lang w:val="en-US" w:eastAsia="zh-CN"/>
        </w:rPr>
        <w:t>1700</w:t>
      </w:r>
      <w:r>
        <w:t>t。设计建设规模</w:t>
      </w:r>
      <w:r>
        <w:rPr>
          <w:rFonts w:hint="eastAsia"/>
          <w:lang w:val="en-US" w:eastAsia="zh-CN"/>
        </w:rPr>
        <w:t>5</w:t>
      </w:r>
      <w:r>
        <w:t>0万t/a，试运行期间日生产矿石1</w:t>
      </w:r>
      <w:r>
        <w:rPr>
          <w:rFonts w:hint="eastAsia"/>
          <w:lang w:val="en-US" w:eastAsia="zh-CN"/>
        </w:rPr>
        <w:t>700</w:t>
      </w:r>
      <w:r>
        <w:t>t，大于设计日生产矿石1</w:t>
      </w:r>
      <w:r>
        <w:rPr>
          <w:rFonts w:hint="eastAsia"/>
          <w:lang w:val="en-US" w:eastAsia="zh-CN"/>
        </w:rPr>
        <w:t>667</w:t>
      </w:r>
      <w:r>
        <w:t>t，正式投产后可满足</w:t>
      </w:r>
      <w:r>
        <w:rPr>
          <w:rFonts w:hint="eastAsia"/>
          <w:lang w:val="en-US" w:eastAsia="zh-CN"/>
        </w:rPr>
        <w:t>5</w:t>
      </w:r>
      <w:r>
        <w:t>0万t／a的生产规模。</w:t>
      </w:r>
    </w:p>
    <w:p w14:paraId="587ECF35">
      <w:pPr>
        <w:bidi w:val="0"/>
      </w:pPr>
      <w:r>
        <w:rPr>
          <w:rFonts w:hint="eastAsia"/>
          <w:lang w:eastAsia="zh-CN"/>
        </w:rPr>
        <w:t>（</w:t>
      </w:r>
      <w:r>
        <w:t>5</w:t>
      </w:r>
      <w:r>
        <w:rPr>
          <w:rFonts w:hint="eastAsia"/>
          <w:lang w:eastAsia="zh-CN"/>
        </w:rPr>
        <w:t>）</w:t>
      </w:r>
      <w:r>
        <w:t>安全管理</w:t>
      </w:r>
    </w:p>
    <w:p w14:paraId="1A4FF593">
      <w:pPr>
        <w:bidi w:val="0"/>
      </w:pPr>
      <w:r>
        <w:t>企业</w:t>
      </w:r>
      <w:r>
        <w:rPr>
          <w:rFonts w:hint="eastAsia"/>
          <w:lang w:val="en-US" w:eastAsia="zh-CN"/>
        </w:rPr>
        <w:t>成立了由矿长任主要负责人，安全环保部负责矿山安全管理工作，配备2名</w:t>
      </w:r>
      <w:r>
        <w:t>专职安全员，建立了安全生产责任制、安全管理制度、安全操作规程。成立了应急救援领导指挥小组，并建立劳保用品发放记录、安全会议记录、安全教育培训记录、安全检查记录及隐患整改记录等台账。</w:t>
      </w:r>
    </w:p>
    <w:p w14:paraId="02B9A261">
      <w:pPr>
        <w:bidi w:val="0"/>
      </w:pPr>
      <w:r>
        <w:t>企业为员工购买了工伤保险、</w:t>
      </w:r>
      <w:r>
        <w:rPr>
          <w:rFonts w:hint="eastAsia"/>
          <w:lang w:val="en-US" w:eastAsia="zh-CN"/>
        </w:rPr>
        <w:t>意外伤害</w:t>
      </w:r>
      <w:r>
        <w:t>险，为作业人员配备了劳动用品，如：安全帽、防尘口罩、手套、安全带等，并对劳动保护用品的使用进行了培训，在工作中要求按规范佩戴齐全个人劳动保护用品，切实做好个人安全保护。</w:t>
      </w:r>
    </w:p>
    <w:p w14:paraId="49DD6429">
      <w:pPr>
        <w:bidi w:val="0"/>
      </w:pPr>
      <w:r>
        <w:t>企业组织全体员工进行了安全教育培训；特种作业人员均取得了操作资格证，持证上岗；主要负责人和安全员参加了安全培训并取得了安全资格证。</w:t>
      </w:r>
    </w:p>
    <w:p w14:paraId="57AC7A1D">
      <w:pPr>
        <w:bidi w:val="0"/>
      </w:pPr>
      <w:r>
        <w:t>矿山建设严格按照“三同时”要求，与主体工程同时设计、同时施工、同时投入生产和使用，各项安全设施施工质量合格，所采用的安全设施、设备和装</w:t>
      </w:r>
      <w:r>
        <w:rPr>
          <w:color w:val="auto"/>
        </w:rPr>
        <w:t>置符合设计要求。自202</w:t>
      </w:r>
      <w:r>
        <w:rPr>
          <w:rFonts w:hint="eastAsia"/>
          <w:color w:val="auto"/>
          <w:lang w:val="en-US" w:eastAsia="zh-CN"/>
        </w:rPr>
        <w:t>6</w:t>
      </w:r>
      <w:r>
        <w:rPr>
          <w:color w:val="auto"/>
        </w:rPr>
        <w:t>年</w:t>
      </w:r>
      <w:r>
        <w:rPr>
          <w:rFonts w:hint="eastAsia"/>
          <w:color w:val="auto"/>
          <w:lang w:val="en-US" w:eastAsia="zh-CN"/>
        </w:rPr>
        <w:t>3</w:t>
      </w:r>
      <w:r>
        <w:rPr>
          <w:color w:val="auto"/>
        </w:rPr>
        <w:t>月</w:t>
      </w:r>
      <w:r>
        <w:rPr>
          <w:rFonts w:hint="eastAsia"/>
          <w:color w:val="auto"/>
          <w:lang w:val="en-US" w:eastAsia="zh-CN"/>
        </w:rPr>
        <w:t>3</w:t>
      </w:r>
      <w:r>
        <w:rPr>
          <w:color w:val="auto"/>
        </w:rPr>
        <w:t>日试生产以来，矿山各系统运行正常，安全管理到位，各项安全技术措施已得到落实，未发生安全生产事故。项目安全设施的建设情况与</w:t>
      </w:r>
      <w:r>
        <w:rPr>
          <w:rFonts w:hint="eastAsia"/>
          <w:color w:val="auto"/>
          <w:lang w:val="en-US" w:eastAsia="zh-CN"/>
        </w:rPr>
        <w:t>文山州</w:t>
      </w:r>
      <w:r>
        <w:rPr>
          <w:color w:val="auto"/>
        </w:rPr>
        <w:t>应急管理局批复的《安全设施设计》一致，安全设施能够满足安全生产需要。</w:t>
      </w:r>
    </w:p>
    <w:p w14:paraId="67CC1EBB">
      <w:pPr>
        <w:bidi w:val="0"/>
      </w:pPr>
      <w:r>
        <w:rPr>
          <w:rFonts w:hint="eastAsia"/>
          <w:lang w:val="en-US" w:eastAsia="zh-CN"/>
        </w:rPr>
        <w:t>3</w:t>
      </w:r>
      <w:r>
        <w:t>、试运行期间出现的问题及解决情况</w:t>
      </w:r>
    </w:p>
    <w:p w14:paraId="3D667CB1">
      <w:pPr>
        <w:bidi w:val="0"/>
      </w:pPr>
      <w:r>
        <w:t>试运行期间，</w:t>
      </w:r>
      <w:r>
        <w:rPr>
          <w:rFonts w:hint="eastAsia"/>
          <w:lang w:val="en-US" w:eastAsia="zh-CN"/>
        </w:rPr>
        <w:t>从1645m平台至破碎站部分路段运输道路坡度过陡</w:t>
      </w:r>
      <w:r>
        <w:t>。</w:t>
      </w:r>
    </w:p>
    <w:p w14:paraId="2C83F7BE">
      <w:pPr>
        <w:bidi w:val="0"/>
      </w:pPr>
      <w:r>
        <w:t>采取的措施：</w:t>
      </w:r>
      <w:r>
        <w:rPr>
          <w:rFonts w:hint="eastAsia"/>
          <w:lang w:val="en-US" w:eastAsia="zh-CN"/>
        </w:rPr>
        <w:t>采取削坡处理</w:t>
      </w:r>
      <w:r>
        <w:t>。</w:t>
      </w:r>
    </w:p>
    <w:p w14:paraId="29EDDA9B">
      <w:pPr>
        <w:bidi w:val="0"/>
      </w:pPr>
      <w:r>
        <w:rPr>
          <w:rFonts w:hint="eastAsia"/>
          <w:lang w:val="en-US" w:eastAsia="zh-CN"/>
        </w:rPr>
        <w:t>4</w:t>
      </w:r>
      <w:r>
        <w:t>、试运行结果</w:t>
      </w:r>
    </w:p>
    <w:p w14:paraId="5F79621D">
      <w:pPr>
        <w:bidi w:val="0"/>
      </w:pPr>
      <w:r>
        <w:t>经过</w:t>
      </w:r>
      <w:r>
        <w:rPr>
          <w:rFonts w:hint="eastAsia"/>
          <w:lang w:val="en-US" w:eastAsia="zh-CN"/>
        </w:rPr>
        <w:t>30天</w:t>
      </w:r>
      <w:r>
        <w:t>试运行，采场、运输道路等安全设施符合安全生产要求。铲装、运输等人员能胜任本职工作，工作技能较好，工作积极性较高。铲装及运输设备能满足生产需求。矿山水、电及生活设施等相关配套项目基本能保证正常生产。矿山安全设施建设基本完成，运行情况良好，能保证正常运行。在正常运行下矿山能满足生产要求。</w:t>
      </w:r>
    </w:p>
    <w:p w14:paraId="31042392">
      <w:r>
        <w:br w:type="page"/>
      </w:r>
    </w:p>
    <w:p w14:paraId="46793748">
      <w:pPr>
        <w:pStyle w:val="3"/>
      </w:pPr>
      <w:bookmarkStart w:id="264" w:name="_Toc15417"/>
      <w:bookmarkStart w:id="265" w:name="_Toc8176"/>
      <w:r>
        <w:t>2.7安全设施概况</w:t>
      </w:r>
      <w:bookmarkEnd w:id="263"/>
      <w:bookmarkEnd w:id="264"/>
      <w:bookmarkEnd w:id="265"/>
    </w:p>
    <w:p w14:paraId="39C4F0DF">
      <w:pPr>
        <w:pStyle w:val="73"/>
        <w:bidi w:val="0"/>
      </w:pPr>
      <w:bookmarkStart w:id="266" w:name="_Toc214284027"/>
      <w:r>
        <w:t>表2</w:t>
      </w:r>
      <w:r>
        <w:rPr>
          <w:rFonts w:hint="eastAsia"/>
          <w:lang w:val="en-US" w:eastAsia="zh-CN"/>
        </w:rPr>
        <w:t>.</w:t>
      </w:r>
      <w:r>
        <w:t>7</w:t>
      </w:r>
      <w:r>
        <w:rPr>
          <w:rFonts w:hint="eastAsia"/>
          <w:lang w:val="en-US" w:eastAsia="zh-CN"/>
        </w:rPr>
        <w:t>-1基本</w:t>
      </w:r>
      <w:r>
        <w:t>安全设施统计表</w:t>
      </w:r>
    </w:p>
    <w:tbl>
      <w:tblPr>
        <w:tblStyle w:val="3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70"/>
        <w:gridCol w:w="1065"/>
        <w:gridCol w:w="3704"/>
        <w:gridCol w:w="2998"/>
        <w:gridCol w:w="1034"/>
      </w:tblGrid>
      <w:tr w14:paraId="4816F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502D1D86">
            <w:pPr>
              <w:pStyle w:val="47"/>
              <w:bidi w:val="0"/>
              <w:ind w:firstLine="0" w:firstLineChars="0"/>
              <w:jc w:val="center"/>
              <w:rPr>
                <w:vertAlign w:val="baseline"/>
              </w:rPr>
            </w:pPr>
            <w:r>
              <w:t>序号</w:t>
            </w:r>
          </w:p>
        </w:tc>
        <w:tc>
          <w:tcPr>
            <w:tcW w:w="1079" w:type="dxa"/>
            <w:vAlign w:val="center"/>
          </w:tcPr>
          <w:p w14:paraId="1BCCDE0F">
            <w:pPr>
              <w:pStyle w:val="47"/>
              <w:bidi w:val="0"/>
              <w:ind w:firstLine="0" w:firstLineChars="0"/>
              <w:rPr>
                <w:vertAlign w:val="baseline"/>
              </w:rPr>
            </w:pPr>
            <w:r>
              <w:t>类型</w:t>
            </w:r>
          </w:p>
        </w:tc>
        <w:tc>
          <w:tcPr>
            <w:tcW w:w="3768" w:type="dxa"/>
            <w:vAlign w:val="center"/>
          </w:tcPr>
          <w:p w14:paraId="62E97AD1">
            <w:pPr>
              <w:pStyle w:val="47"/>
              <w:bidi w:val="0"/>
              <w:ind w:firstLine="0" w:firstLineChars="0"/>
              <w:rPr>
                <w:vertAlign w:val="baseline"/>
              </w:rPr>
            </w:pPr>
            <w:r>
              <w:t>安全设施（设备）</w:t>
            </w:r>
          </w:p>
        </w:tc>
        <w:tc>
          <w:tcPr>
            <w:tcW w:w="3049" w:type="dxa"/>
            <w:vAlign w:val="center"/>
          </w:tcPr>
          <w:p w14:paraId="6B32C461">
            <w:pPr>
              <w:pStyle w:val="47"/>
              <w:bidi w:val="0"/>
              <w:ind w:firstLine="0" w:firstLineChars="0"/>
              <w:rPr>
                <w:vertAlign w:val="baseline"/>
              </w:rPr>
            </w:pPr>
            <w:r>
              <w:t>位置</w:t>
            </w:r>
          </w:p>
        </w:tc>
        <w:tc>
          <w:tcPr>
            <w:tcW w:w="1047" w:type="dxa"/>
            <w:vAlign w:val="center"/>
          </w:tcPr>
          <w:p w14:paraId="6B066AE5">
            <w:pPr>
              <w:pStyle w:val="47"/>
              <w:bidi w:val="0"/>
              <w:ind w:firstLine="0" w:firstLineChars="0"/>
              <w:rPr>
                <w:vertAlign w:val="baseline"/>
              </w:rPr>
            </w:pPr>
            <w:r>
              <w:t>完成情况</w:t>
            </w:r>
          </w:p>
        </w:tc>
      </w:tr>
      <w:tr w14:paraId="757E9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3EF1539A">
            <w:pPr>
              <w:pStyle w:val="59"/>
              <w:bidi w:val="0"/>
              <w:ind w:firstLine="0" w:firstLineChars="0"/>
              <w:jc w:val="center"/>
              <w:rPr>
                <w:vertAlign w:val="baseline"/>
              </w:rPr>
            </w:pPr>
            <w:r>
              <w:t>1</w:t>
            </w:r>
          </w:p>
        </w:tc>
        <w:tc>
          <w:tcPr>
            <w:tcW w:w="1079" w:type="dxa"/>
            <w:vMerge w:val="restart"/>
            <w:vAlign w:val="center"/>
          </w:tcPr>
          <w:p w14:paraId="6457A087">
            <w:pPr>
              <w:pStyle w:val="59"/>
              <w:bidi w:val="0"/>
              <w:ind w:firstLine="0" w:firstLineChars="0"/>
              <w:rPr>
                <w:vertAlign w:val="baseline"/>
              </w:rPr>
            </w:pPr>
            <w:r>
              <w:t>露天采场</w:t>
            </w:r>
          </w:p>
        </w:tc>
        <w:tc>
          <w:tcPr>
            <w:tcW w:w="3768" w:type="dxa"/>
            <w:vAlign w:val="center"/>
          </w:tcPr>
          <w:p w14:paraId="640EC5DC">
            <w:pPr>
              <w:pStyle w:val="59"/>
              <w:bidi w:val="0"/>
              <w:ind w:firstLine="0" w:firstLineChars="0"/>
              <w:rPr>
                <w:vertAlign w:val="baseline"/>
              </w:rPr>
            </w:pPr>
            <w:r>
              <w:t>最终边坡角</w:t>
            </w:r>
          </w:p>
        </w:tc>
        <w:tc>
          <w:tcPr>
            <w:tcW w:w="3049" w:type="dxa"/>
            <w:vAlign w:val="center"/>
          </w:tcPr>
          <w:p w14:paraId="580AE4C8">
            <w:pPr>
              <w:pStyle w:val="59"/>
              <w:bidi w:val="0"/>
              <w:ind w:firstLine="0" w:firstLineChars="0"/>
              <w:rPr>
                <w:vertAlign w:val="baseline"/>
              </w:rPr>
            </w:pPr>
            <w:r>
              <w:t>采场平台</w:t>
            </w:r>
          </w:p>
        </w:tc>
        <w:tc>
          <w:tcPr>
            <w:tcW w:w="1047" w:type="dxa"/>
            <w:vAlign w:val="center"/>
          </w:tcPr>
          <w:p w14:paraId="5FB7D36C">
            <w:pPr>
              <w:pStyle w:val="59"/>
              <w:bidi w:val="0"/>
              <w:ind w:firstLine="0" w:firstLineChars="0"/>
              <w:jc w:val="center"/>
              <w:rPr>
                <w:vertAlign w:val="baseline"/>
              </w:rPr>
            </w:pPr>
            <w:r>
              <w:t>完成</w:t>
            </w:r>
          </w:p>
        </w:tc>
      </w:tr>
      <w:tr w14:paraId="64B055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24D0549A">
            <w:pPr>
              <w:pStyle w:val="59"/>
              <w:bidi w:val="0"/>
              <w:ind w:firstLine="0" w:firstLineChars="0"/>
              <w:jc w:val="center"/>
              <w:rPr>
                <w:vertAlign w:val="baseline"/>
              </w:rPr>
            </w:pPr>
            <w:r>
              <w:t>2</w:t>
            </w:r>
          </w:p>
        </w:tc>
        <w:tc>
          <w:tcPr>
            <w:tcW w:w="1079" w:type="dxa"/>
            <w:vMerge w:val="continue"/>
            <w:vAlign w:val="center"/>
          </w:tcPr>
          <w:p w14:paraId="706CCF9C">
            <w:pPr>
              <w:pStyle w:val="59"/>
              <w:bidi w:val="0"/>
              <w:ind w:firstLine="0" w:firstLineChars="0"/>
              <w:rPr>
                <w:vertAlign w:val="baseline"/>
              </w:rPr>
            </w:pPr>
          </w:p>
        </w:tc>
        <w:tc>
          <w:tcPr>
            <w:tcW w:w="3768" w:type="dxa"/>
            <w:vAlign w:val="center"/>
          </w:tcPr>
          <w:p w14:paraId="104A9962">
            <w:pPr>
              <w:pStyle w:val="59"/>
              <w:bidi w:val="0"/>
              <w:ind w:firstLine="0" w:firstLineChars="0"/>
              <w:rPr>
                <w:vertAlign w:val="baseline"/>
              </w:rPr>
            </w:pPr>
            <w:r>
              <w:t>爆破安全距离界限300m</w:t>
            </w:r>
          </w:p>
        </w:tc>
        <w:tc>
          <w:tcPr>
            <w:tcW w:w="3049" w:type="dxa"/>
            <w:vAlign w:val="center"/>
          </w:tcPr>
          <w:p w14:paraId="66179013">
            <w:pPr>
              <w:pStyle w:val="59"/>
              <w:bidi w:val="0"/>
              <w:ind w:firstLine="0" w:firstLineChars="0"/>
              <w:rPr>
                <w:vertAlign w:val="baseline"/>
              </w:rPr>
            </w:pPr>
            <w:r>
              <w:t>采场</w:t>
            </w:r>
          </w:p>
        </w:tc>
        <w:tc>
          <w:tcPr>
            <w:tcW w:w="1047" w:type="dxa"/>
            <w:vAlign w:val="center"/>
          </w:tcPr>
          <w:p w14:paraId="650E0A05">
            <w:pPr>
              <w:pStyle w:val="59"/>
              <w:bidi w:val="0"/>
              <w:ind w:firstLine="0" w:firstLineChars="0"/>
              <w:jc w:val="center"/>
              <w:rPr>
                <w:vertAlign w:val="baseline"/>
              </w:rPr>
            </w:pPr>
            <w:r>
              <w:t>完成</w:t>
            </w:r>
          </w:p>
        </w:tc>
      </w:tr>
      <w:tr w14:paraId="296AF0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0B943F14">
            <w:pPr>
              <w:pStyle w:val="59"/>
              <w:bidi w:val="0"/>
              <w:ind w:firstLine="0" w:firstLineChars="0"/>
              <w:jc w:val="center"/>
              <w:rPr>
                <w:vertAlign w:val="baseline"/>
              </w:rPr>
            </w:pPr>
            <w:r>
              <w:t>3</w:t>
            </w:r>
          </w:p>
        </w:tc>
        <w:tc>
          <w:tcPr>
            <w:tcW w:w="1079" w:type="dxa"/>
            <w:vAlign w:val="center"/>
          </w:tcPr>
          <w:p w14:paraId="21FB013B">
            <w:pPr>
              <w:pStyle w:val="59"/>
              <w:bidi w:val="0"/>
              <w:ind w:firstLine="0" w:firstLineChars="0"/>
              <w:rPr>
                <w:vertAlign w:val="baseline"/>
              </w:rPr>
            </w:pPr>
            <w:r>
              <w:t>防排水</w:t>
            </w:r>
          </w:p>
        </w:tc>
        <w:tc>
          <w:tcPr>
            <w:tcW w:w="3768" w:type="dxa"/>
            <w:vAlign w:val="center"/>
          </w:tcPr>
          <w:p w14:paraId="7E4297EF">
            <w:pPr>
              <w:pStyle w:val="59"/>
              <w:bidi w:val="0"/>
              <w:ind w:firstLine="0" w:firstLineChars="0"/>
              <w:rPr>
                <w:vertAlign w:val="baseline"/>
              </w:rPr>
            </w:pPr>
            <w:r>
              <w:t>运输道路排水沟</w:t>
            </w:r>
          </w:p>
        </w:tc>
        <w:tc>
          <w:tcPr>
            <w:tcW w:w="3049" w:type="dxa"/>
            <w:vAlign w:val="center"/>
          </w:tcPr>
          <w:p w14:paraId="29D984D0">
            <w:pPr>
              <w:pStyle w:val="59"/>
              <w:bidi w:val="0"/>
              <w:ind w:firstLine="0" w:firstLineChars="0"/>
              <w:rPr>
                <w:vertAlign w:val="baseline"/>
              </w:rPr>
            </w:pPr>
            <w:r>
              <w:t>采场运输道路</w:t>
            </w:r>
            <w:r>
              <w:rPr>
                <w:rFonts w:hint="eastAsia"/>
                <w:lang w:val="en-US" w:eastAsia="zh-CN"/>
              </w:rPr>
              <w:t>内</w:t>
            </w:r>
            <w:r>
              <w:t>侧</w:t>
            </w:r>
          </w:p>
        </w:tc>
        <w:tc>
          <w:tcPr>
            <w:tcW w:w="1047" w:type="dxa"/>
            <w:vAlign w:val="center"/>
          </w:tcPr>
          <w:p w14:paraId="2F6BA362">
            <w:pPr>
              <w:pStyle w:val="59"/>
              <w:bidi w:val="0"/>
              <w:ind w:firstLine="0" w:firstLineChars="0"/>
              <w:jc w:val="center"/>
              <w:rPr>
                <w:vertAlign w:val="baseline"/>
              </w:rPr>
            </w:pPr>
            <w:r>
              <w:t>完成</w:t>
            </w:r>
          </w:p>
        </w:tc>
      </w:tr>
      <w:tr w14:paraId="7D68EE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541DC717">
            <w:pPr>
              <w:pStyle w:val="59"/>
              <w:bidi w:val="0"/>
              <w:ind w:firstLine="0" w:firstLineChars="0"/>
              <w:jc w:val="center"/>
              <w:rPr>
                <w:vertAlign w:val="baseline"/>
              </w:rPr>
            </w:pPr>
            <w:r>
              <w:t>5</w:t>
            </w:r>
          </w:p>
        </w:tc>
        <w:tc>
          <w:tcPr>
            <w:tcW w:w="1079" w:type="dxa"/>
            <w:vMerge w:val="restart"/>
            <w:vAlign w:val="center"/>
          </w:tcPr>
          <w:p w14:paraId="00F2765E">
            <w:pPr>
              <w:pStyle w:val="59"/>
              <w:bidi w:val="0"/>
              <w:ind w:firstLine="0" w:firstLineChars="0"/>
              <w:rPr>
                <w:vertAlign w:val="baseline"/>
              </w:rPr>
            </w:pPr>
            <w:r>
              <w:t>供配电设施</w:t>
            </w:r>
          </w:p>
        </w:tc>
        <w:tc>
          <w:tcPr>
            <w:tcW w:w="3768" w:type="dxa"/>
            <w:vAlign w:val="center"/>
          </w:tcPr>
          <w:p w14:paraId="3CA6FAB5">
            <w:pPr>
              <w:pStyle w:val="59"/>
              <w:bidi w:val="0"/>
            </w:pPr>
            <w:r>
              <w:t>供电电源、线路及总降压主变压器容量、</w:t>
            </w:r>
          </w:p>
          <w:p w14:paraId="52588748">
            <w:pPr>
              <w:pStyle w:val="59"/>
              <w:bidi w:val="0"/>
              <w:ind w:firstLine="0" w:firstLineChars="0"/>
              <w:rPr>
                <w:vertAlign w:val="baseline"/>
              </w:rPr>
            </w:pPr>
            <w:r>
              <w:t>向采矿场供电线路</w:t>
            </w:r>
          </w:p>
        </w:tc>
        <w:tc>
          <w:tcPr>
            <w:tcW w:w="3049" w:type="dxa"/>
            <w:vAlign w:val="center"/>
          </w:tcPr>
          <w:p w14:paraId="4EC89146">
            <w:pPr>
              <w:pStyle w:val="59"/>
              <w:bidi w:val="0"/>
              <w:ind w:firstLine="0" w:firstLineChars="0"/>
              <w:rPr>
                <w:vertAlign w:val="baseline"/>
              </w:rPr>
            </w:pPr>
            <w:r>
              <w:t>变压器在破碎站</w:t>
            </w:r>
            <w:r>
              <w:rPr>
                <w:rFonts w:hint="eastAsia"/>
                <w:lang w:val="en-US" w:eastAsia="zh-CN"/>
              </w:rPr>
              <w:t>南侧</w:t>
            </w:r>
          </w:p>
        </w:tc>
        <w:tc>
          <w:tcPr>
            <w:tcW w:w="1047" w:type="dxa"/>
            <w:vAlign w:val="center"/>
          </w:tcPr>
          <w:p w14:paraId="5829875E">
            <w:pPr>
              <w:pStyle w:val="59"/>
              <w:bidi w:val="0"/>
              <w:ind w:firstLine="0" w:firstLineChars="0"/>
              <w:jc w:val="center"/>
              <w:rPr>
                <w:vertAlign w:val="baseline"/>
              </w:rPr>
            </w:pPr>
            <w:r>
              <w:t>完成</w:t>
            </w:r>
          </w:p>
        </w:tc>
      </w:tr>
      <w:tr w14:paraId="4C7F3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24A27A12">
            <w:pPr>
              <w:pStyle w:val="59"/>
              <w:bidi w:val="0"/>
              <w:ind w:firstLine="0" w:firstLineChars="0"/>
              <w:jc w:val="center"/>
              <w:rPr>
                <w:vertAlign w:val="baseline"/>
              </w:rPr>
            </w:pPr>
            <w:r>
              <w:t>6</w:t>
            </w:r>
          </w:p>
        </w:tc>
        <w:tc>
          <w:tcPr>
            <w:tcW w:w="1079" w:type="dxa"/>
            <w:vMerge w:val="continue"/>
            <w:vAlign w:val="center"/>
          </w:tcPr>
          <w:p w14:paraId="59CA76D9">
            <w:pPr>
              <w:pStyle w:val="59"/>
              <w:bidi w:val="0"/>
              <w:ind w:firstLine="0" w:firstLineChars="0"/>
              <w:rPr>
                <w:vertAlign w:val="baseline"/>
              </w:rPr>
            </w:pPr>
          </w:p>
        </w:tc>
        <w:tc>
          <w:tcPr>
            <w:tcW w:w="3768" w:type="dxa"/>
            <w:vAlign w:val="center"/>
          </w:tcPr>
          <w:p w14:paraId="71D84400">
            <w:pPr>
              <w:pStyle w:val="59"/>
              <w:bidi w:val="0"/>
              <w:ind w:firstLine="0" w:firstLineChars="0"/>
              <w:rPr>
                <w:vertAlign w:val="baseline"/>
              </w:rPr>
            </w:pPr>
            <w:r>
              <w:t>高、低压供配电中性点接地方式</w:t>
            </w:r>
          </w:p>
        </w:tc>
        <w:tc>
          <w:tcPr>
            <w:tcW w:w="3049" w:type="dxa"/>
            <w:vAlign w:val="center"/>
          </w:tcPr>
          <w:p w14:paraId="6E05A61E">
            <w:pPr>
              <w:pStyle w:val="59"/>
              <w:bidi w:val="0"/>
              <w:ind w:firstLine="0" w:firstLineChars="0"/>
              <w:rPr>
                <w:vertAlign w:val="baseline"/>
              </w:rPr>
            </w:pPr>
            <w:r>
              <w:t>配电柜</w:t>
            </w:r>
          </w:p>
        </w:tc>
        <w:tc>
          <w:tcPr>
            <w:tcW w:w="1047" w:type="dxa"/>
            <w:vAlign w:val="center"/>
          </w:tcPr>
          <w:p w14:paraId="5F6A26D2">
            <w:pPr>
              <w:pStyle w:val="59"/>
              <w:bidi w:val="0"/>
              <w:ind w:firstLine="0" w:firstLineChars="0"/>
              <w:jc w:val="center"/>
              <w:rPr>
                <w:vertAlign w:val="baseline"/>
              </w:rPr>
            </w:pPr>
            <w:r>
              <w:t>完成</w:t>
            </w:r>
          </w:p>
        </w:tc>
      </w:tr>
      <w:tr w14:paraId="110B4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7A264999">
            <w:pPr>
              <w:pStyle w:val="59"/>
              <w:bidi w:val="0"/>
              <w:ind w:firstLine="0" w:firstLineChars="0"/>
              <w:jc w:val="center"/>
              <w:rPr>
                <w:vertAlign w:val="baseline"/>
              </w:rPr>
            </w:pPr>
            <w:r>
              <w:t>7</w:t>
            </w:r>
          </w:p>
        </w:tc>
        <w:tc>
          <w:tcPr>
            <w:tcW w:w="1079" w:type="dxa"/>
            <w:vMerge w:val="continue"/>
            <w:vAlign w:val="center"/>
          </w:tcPr>
          <w:p w14:paraId="3277CD1B">
            <w:pPr>
              <w:pStyle w:val="59"/>
              <w:bidi w:val="0"/>
              <w:ind w:firstLine="0" w:firstLineChars="0"/>
              <w:rPr>
                <w:vertAlign w:val="baseline"/>
              </w:rPr>
            </w:pPr>
          </w:p>
        </w:tc>
        <w:tc>
          <w:tcPr>
            <w:tcW w:w="3768" w:type="dxa"/>
            <w:vAlign w:val="center"/>
          </w:tcPr>
          <w:p w14:paraId="13CA659D">
            <w:pPr>
              <w:pStyle w:val="59"/>
              <w:bidi w:val="0"/>
              <w:ind w:firstLine="0" w:firstLineChars="0"/>
              <w:rPr>
                <w:vertAlign w:val="baseline"/>
              </w:rPr>
            </w:pPr>
            <w:r>
              <w:t>采矿场供电线路、电缆及保护、避雷设施</w:t>
            </w:r>
          </w:p>
        </w:tc>
        <w:tc>
          <w:tcPr>
            <w:tcW w:w="3049" w:type="dxa"/>
            <w:vAlign w:val="center"/>
          </w:tcPr>
          <w:p w14:paraId="35934CA5">
            <w:pPr>
              <w:pStyle w:val="59"/>
              <w:bidi w:val="0"/>
              <w:ind w:firstLine="0" w:firstLineChars="0"/>
              <w:rPr>
                <w:vertAlign w:val="baseline"/>
              </w:rPr>
            </w:pPr>
            <w:r>
              <w:t>变压器、配电室</w:t>
            </w:r>
          </w:p>
        </w:tc>
        <w:tc>
          <w:tcPr>
            <w:tcW w:w="1047" w:type="dxa"/>
            <w:vAlign w:val="center"/>
          </w:tcPr>
          <w:p w14:paraId="2C5FCCB6">
            <w:pPr>
              <w:pStyle w:val="59"/>
              <w:bidi w:val="0"/>
              <w:ind w:firstLine="0" w:firstLineChars="0"/>
              <w:jc w:val="center"/>
              <w:rPr>
                <w:vertAlign w:val="baseline"/>
              </w:rPr>
            </w:pPr>
            <w:r>
              <w:t>完成</w:t>
            </w:r>
          </w:p>
        </w:tc>
      </w:tr>
      <w:tr w14:paraId="45A5A0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1CEC4026">
            <w:pPr>
              <w:pStyle w:val="59"/>
              <w:bidi w:val="0"/>
              <w:ind w:firstLine="0" w:firstLineChars="0"/>
              <w:jc w:val="center"/>
              <w:rPr>
                <w:vertAlign w:val="baseline"/>
              </w:rPr>
            </w:pPr>
            <w:r>
              <w:t>8</w:t>
            </w:r>
          </w:p>
        </w:tc>
        <w:tc>
          <w:tcPr>
            <w:tcW w:w="1079" w:type="dxa"/>
            <w:vMerge w:val="continue"/>
            <w:vAlign w:val="center"/>
          </w:tcPr>
          <w:p w14:paraId="6E3CEECC">
            <w:pPr>
              <w:pStyle w:val="59"/>
              <w:bidi w:val="0"/>
              <w:ind w:firstLine="0" w:firstLineChars="0"/>
              <w:rPr>
                <w:vertAlign w:val="baseline"/>
              </w:rPr>
            </w:pPr>
          </w:p>
        </w:tc>
        <w:tc>
          <w:tcPr>
            <w:tcW w:w="3768" w:type="dxa"/>
            <w:vAlign w:val="center"/>
          </w:tcPr>
          <w:p w14:paraId="788F8767">
            <w:pPr>
              <w:pStyle w:val="59"/>
              <w:bidi w:val="0"/>
              <w:ind w:firstLine="0" w:firstLineChars="0"/>
              <w:rPr>
                <w:vertAlign w:val="baseline"/>
              </w:rPr>
            </w:pPr>
            <w:r>
              <w:t>高压供配电系统继电保护装置</w:t>
            </w:r>
          </w:p>
        </w:tc>
        <w:tc>
          <w:tcPr>
            <w:tcW w:w="3049" w:type="dxa"/>
            <w:vAlign w:val="center"/>
          </w:tcPr>
          <w:p w14:paraId="18B8074B">
            <w:pPr>
              <w:pStyle w:val="59"/>
              <w:bidi w:val="0"/>
              <w:ind w:firstLine="0" w:firstLineChars="0"/>
              <w:rPr>
                <w:vertAlign w:val="baseline"/>
              </w:rPr>
            </w:pPr>
            <w:r>
              <w:t>配电柜</w:t>
            </w:r>
          </w:p>
        </w:tc>
        <w:tc>
          <w:tcPr>
            <w:tcW w:w="1047" w:type="dxa"/>
            <w:vAlign w:val="center"/>
          </w:tcPr>
          <w:p w14:paraId="776DCCFB">
            <w:pPr>
              <w:pStyle w:val="59"/>
              <w:bidi w:val="0"/>
              <w:ind w:firstLine="0" w:firstLineChars="0"/>
              <w:jc w:val="center"/>
              <w:rPr>
                <w:vertAlign w:val="baseline"/>
              </w:rPr>
            </w:pPr>
            <w:r>
              <w:t>完成</w:t>
            </w:r>
          </w:p>
        </w:tc>
      </w:tr>
      <w:tr w14:paraId="22FFC2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66F3D967">
            <w:pPr>
              <w:pStyle w:val="59"/>
              <w:bidi w:val="0"/>
              <w:ind w:firstLine="0" w:firstLineChars="0"/>
              <w:jc w:val="center"/>
              <w:rPr>
                <w:vertAlign w:val="baseline"/>
              </w:rPr>
            </w:pPr>
            <w:r>
              <w:t>9</w:t>
            </w:r>
          </w:p>
        </w:tc>
        <w:tc>
          <w:tcPr>
            <w:tcW w:w="1079" w:type="dxa"/>
            <w:vMerge w:val="restart"/>
            <w:vAlign w:val="center"/>
          </w:tcPr>
          <w:p w14:paraId="0CEA2DBF">
            <w:pPr>
              <w:pStyle w:val="59"/>
              <w:bidi w:val="0"/>
              <w:ind w:firstLine="0" w:firstLineChars="0"/>
              <w:rPr>
                <w:vertAlign w:val="baseline"/>
              </w:rPr>
            </w:pPr>
            <w:r>
              <w:t>通信系统</w:t>
            </w:r>
          </w:p>
        </w:tc>
        <w:tc>
          <w:tcPr>
            <w:tcW w:w="3768" w:type="dxa"/>
            <w:vAlign w:val="center"/>
          </w:tcPr>
          <w:p w14:paraId="59A18CA0">
            <w:pPr>
              <w:pStyle w:val="59"/>
              <w:bidi w:val="0"/>
              <w:ind w:firstLine="0" w:firstLineChars="0"/>
              <w:rPr>
                <w:vertAlign w:val="baseline"/>
              </w:rPr>
            </w:pPr>
            <w:r>
              <w:t>监视监控系统</w:t>
            </w:r>
          </w:p>
        </w:tc>
        <w:tc>
          <w:tcPr>
            <w:tcW w:w="3049" w:type="dxa"/>
            <w:vAlign w:val="center"/>
          </w:tcPr>
          <w:p w14:paraId="2255477D">
            <w:pPr>
              <w:pStyle w:val="59"/>
              <w:bidi w:val="0"/>
              <w:ind w:firstLine="0" w:firstLineChars="0"/>
              <w:rPr>
                <w:vertAlign w:val="baseline"/>
              </w:rPr>
            </w:pPr>
            <w:r>
              <w:t>办公室</w:t>
            </w:r>
          </w:p>
        </w:tc>
        <w:tc>
          <w:tcPr>
            <w:tcW w:w="1047" w:type="dxa"/>
            <w:vAlign w:val="center"/>
          </w:tcPr>
          <w:p w14:paraId="37F1FA69">
            <w:pPr>
              <w:pStyle w:val="59"/>
              <w:bidi w:val="0"/>
              <w:ind w:firstLine="0" w:firstLineChars="0"/>
              <w:jc w:val="center"/>
              <w:rPr>
                <w:vertAlign w:val="baseline"/>
              </w:rPr>
            </w:pPr>
            <w:r>
              <w:t>完成</w:t>
            </w:r>
          </w:p>
        </w:tc>
      </w:tr>
      <w:tr w14:paraId="3CA3AD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6" w:hRule="exact"/>
          <w:jc w:val="center"/>
        </w:trPr>
        <w:tc>
          <w:tcPr>
            <w:tcW w:w="777" w:type="dxa"/>
            <w:vAlign w:val="center"/>
          </w:tcPr>
          <w:p w14:paraId="5483DF4E">
            <w:pPr>
              <w:pStyle w:val="59"/>
              <w:bidi w:val="0"/>
              <w:ind w:firstLine="0" w:firstLineChars="0"/>
              <w:jc w:val="center"/>
              <w:rPr>
                <w:vertAlign w:val="baseline"/>
              </w:rPr>
            </w:pPr>
            <w:r>
              <w:t>10</w:t>
            </w:r>
          </w:p>
        </w:tc>
        <w:tc>
          <w:tcPr>
            <w:tcW w:w="1079" w:type="dxa"/>
            <w:vMerge w:val="continue"/>
            <w:vAlign w:val="center"/>
          </w:tcPr>
          <w:p w14:paraId="6160A57C">
            <w:pPr>
              <w:pStyle w:val="59"/>
              <w:bidi w:val="0"/>
              <w:ind w:firstLine="0" w:firstLineChars="0"/>
              <w:rPr>
                <w:vertAlign w:val="baseline"/>
              </w:rPr>
            </w:pPr>
          </w:p>
        </w:tc>
        <w:tc>
          <w:tcPr>
            <w:tcW w:w="3768" w:type="dxa"/>
            <w:vAlign w:val="center"/>
          </w:tcPr>
          <w:p w14:paraId="341DF564">
            <w:pPr>
              <w:pStyle w:val="59"/>
              <w:bidi w:val="0"/>
              <w:ind w:firstLine="0" w:firstLineChars="0"/>
              <w:rPr>
                <w:vertAlign w:val="baseline"/>
              </w:rPr>
            </w:pPr>
            <w:r>
              <w:t>对讲机</w:t>
            </w:r>
          </w:p>
        </w:tc>
        <w:tc>
          <w:tcPr>
            <w:tcW w:w="3049" w:type="dxa"/>
            <w:vAlign w:val="center"/>
          </w:tcPr>
          <w:p w14:paraId="567004CE">
            <w:pPr>
              <w:pStyle w:val="59"/>
              <w:bidi w:val="0"/>
              <w:ind w:firstLine="0" w:firstLineChars="0"/>
              <w:rPr>
                <w:vertAlign w:val="baseline"/>
              </w:rPr>
            </w:pPr>
            <w:r>
              <w:t>办公室</w:t>
            </w:r>
            <w:r>
              <w:rPr>
                <w:rFonts w:hint="eastAsia"/>
                <w:lang w:eastAsia="zh-CN"/>
              </w:rPr>
              <w:t>、</w:t>
            </w:r>
            <w:r>
              <w:rPr>
                <w:rFonts w:hint="eastAsia"/>
                <w:lang w:val="en-US" w:eastAsia="zh-CN"/>
              </w:rPr>
              <w:t>采场、值班室</w:t>
            </w:r>
          </w:p>
        </w:tc>
        <w:tc>
          <w:tcPr>
            <w:tcW w:w="1047" w:type="dxa"/>
            <w:vAlign w:val="center"/>
          </w:tcPr>
          <w:p w14:paraId="2B819378">
            <w:pPr>
              <w:pStyle w:val="59"/>
              <w:bidi w:val="0"/>
              <w:ind w:firstLine="0" w:firstLineChars="0"/>
              <w:jc w:val="center"/>
              <w:rPr>
                <w:vertAlign w:val="baseline"/>
              </w:rPr>
            </w:pPr>
            <w:r>
              <w:t>完成</w:t>
            </w:r>
          </w:p>
        </w:tc>
      </w:tr>
    </w:tbl>
    <w:p w14:paraId="54746A0E">
      <w:pPr>
        <w:pStyle w:val="73"/>
        <w:keepNext w:val="0"/>
        <w:keepLines w:val="0"/>
        <w:pageBreakBefore w:val="0"/>
        <w:widowControl w:val="0"/>
        <w:kinsoku/>
        <w:wordWrap/>
        <w:overflowPunct/>
        <w:topLinePunct w:val="0"/>
        <w:autoSpaceDE/>
        <w:autoSpaceDN/>
        <w:bidi w:val="0"/>
        <w:adjustRightInd w:val="0"/>
        <w:snapToGrid w:val="0"/>
        <w:spacing w:line="240" w:lineRule="auto"/>
        <w:textAlignment w:val="auto"/>
      </w:pPr>
    </w:p>
    <w:p w14:paraId="25F4F5AD">
      <w:pPr>
        <w:pStyle w:val="73"/>
        <w:bidi w:val="0"/>
      </w:pPr>
      <w:r>
        <w:t>表2</w:t>
      </w:r>
      <w:r>
        <w:rPr>
          <w:rFonts w:hint="eastAsia"/>
          <w:lang w:val="en-US" w:eastAsia="zh-CN"/>
        </w:rPr>
        <w:t>.</w:t>
      </w:r>
      <w:r>
        <w:t>7</w:t>
      </w:r>
      <w:r>
        <w:rPr>
          <w:rFonts w:hint="eastAsia"/>
          <w:lang w:val="en-US" w:eastAsia="zh-CN"/>
        </w:rPr>
        <w:t>-2专用</w:t>
      </w:r>
      <w:r>
        <w:t>安全设施统计表</w:t>
      </w:r>
    </w:p>
    <w:tbl>
      <w:tblPr>
        <w:tblStyle w:val="78"/>
        <w:tblW w:w="9613" w:type="dxa"/>
        <w:tblInd w:w="-134"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804"/>
        <w:gridCol w:w="1023"/>
        <w:gridCol w:w="3668"/>
        <w:gridCol w:w="3094"/>
        <w:gridCol w:w="1024"/>
      </w:tblGrid>
      <w:tr w14:paraId="2EA608A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36F27D31">
            <w:pPr>
              <w:pStyle w:val="47"/>
              <w:bidi w:val="0"/>
              <w:jc w:val="center"/>
            </w:pPr>
            <w:r>
              <w:t>序号</w:t>
            </w:r>
          </w:p>
        </w:tc>
        <w:tc>
          <w:tcPr>
            <w:tcW w:w="1023" w:type="dxa"/>
            <w:noWrap w:val="0"/>
            <w:vAlign w:val="center"/>
          </w:tcPr>
          <w:p w14:paraId="6961EF00">
            <w:pPr>
              <w:pStyle w:val="47"/>
              <w:bidi w:val="0"/>
            </w:pPr>
            <w:r>
              <w:t>类型</w:t>
            </w:r>
          </w:p>
        </w:tc>
        <w:tc>
          <w:tcPr>
            <w:tcW w:w="3668" w:type="dxa"/>
            <w:noWrap w:val="0"/>
            <w:vAlign w:val="center"/>
          </w:tcPr>
          <w:p w14:paraId="4FA2A01B">
            <w:pPr>
              <w:pStyle w:val="47"/>
              <w:bidi w:val="0"/>
            </w:pPr>
            <w:r>
              <w:t>安全设施（设备）</w:t>
            </w:r>
          </w:p>
        </w:tc>
        <w:tc>
          <w:tcPr>
            <w:tcW w:w="3094" w:type="dxa"/>
            <w:noWrap w:val="0"/>
            <w:vAlign w:val="center"/>
          </w:tcPr>
          <w:p w14:paraId="037C3EA1">
            <w:pPr>
              <w:pStyle w:val="47"/>
              <w:bidi w:val="0"/>
            </w:pPr>
            <w:r>
              <w:t>位置</w:t>
            </w:r>
          </w:p>
        </w:tc>
        <w:tc>
          <w:tcPr>
            <w:tcW w:w="1024" w:type="dxa"/>
            <w:noWrap w:val="0"/>
            <w:vAlign w:val="center"/>
          </w:tcPr>
          <w:p w14:paraId="043C6FCB">
            <w:pPr>
              <w:pStyle w:val="47"/>
              <w:bidi w:val="0"/>
            </w:pPr>
            <w:r>
              <w:t>完成情况</w:t>
            </w:r>
          </w:p>
        </w:tc>
      </w:tr>
      <w:tr w14:paraId="56E51DA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24813129">
            <w:pPr>
              <w:pStyle w:val="59"/>
              <w:bidi w:val="0"/>
              <w:jc w:val="center"/>
            </w:pPr>
            <w:r>
              <w:t>1</w:t>
            </w:r>
          </w:p>
        </w:tc>
        <w:tc>
          <w:tcPr>
            <w:tcW w:w="1023" w:type="dxa"/>
            <w:vMerge w:val="restart"/>
            <w:tcBorders>
              <w:bottom w:val="nil"/>
            </w:tcBorders>
            <w:noWrap w:val="0"/>
            <w:vAlign w:val="center"/>
          </w:tcPr>
          <w:p w14:paraId="11C2E3F3">
            <w:pPr>
              <w:pStyle w:val="59"/>
              <w:bidi w:val="0"/>
            </w:pPr>
            <w:r>
              <w:t>露天采场</w:t>
            </w:r>
          </w:p>
        </w:tc>
        <w:tc>
          <w:tcPr>
            <w:tcW w:w="3668" w:type="dxa"/>
            <w:noWrap w:val="0"/>
            <w:vAlign w:val="center"/>
          </w:tcPr>
          <w:p w14:paraId="685EEE35">
            <w:pPr>
              <w:pStyle w:val="59"/>
              <w:bidi w:val="0"/>
            </w:pPr>
            <w:r>
              <w:t>爆破安全设施（警示旗、喇叭等）</w:t>
            </w:r>
          </w:p>
        </w:tc>
        <w:tc>
          <w:tcPr>
            <w:tcW w:w="3094" w:type="dxa"/>
            <w:noWrap w:val="0"/>
            <w:vAlign w:val="center"/>
          </w:tcPr>
          <w:p w14:paraId="05581E0C">
            <w:pPr>
              <w:pStyle w:val="59"/>
              <w:bidi w:val="0"/>
            </w:pPr>
            <w:r>
              <w:t>爆破警戒区</w:t>
            </w:r>
          </w:p>
        </w:tc>
        <w:tc>
          <w:tcPr>
            <w:tcW w:w="1024" w:type="dxa"/>
            <w:noWrap w:val="0"/>
            <w:vAlign w:val="center"/>
          </w:tcPr>
          <w:p w14:paraId="29ABFA8F">
            <w:pPr>
              <w:pStyle w:val="59"/>
              <w:bidi w:val="0"/>
              <w:jc w:val="center"/>
            </w:pPr>
            <w:r>
              <w:t>完成</w:t>
            </w:r>
          </w:p>
        </w:tc>
      </w:tr>
      <w:tr w14:paraId="2F76CAB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39F1D3F7">
            <w:pPr>
              <w:pStyle w:val="59"/>
              <w:bidi w:val="0"/>
              <w:jc w:val="center"/>
            </w:pPr>
            <w:r>
              <w:t>2</w:t>
            </w:r>
          </w:p>
        </w:tc>
        <w:tc>
          <w:tcPr>
            <w:tcW w:w="1023" w:type="dxa"/>
            <w:vMerge w:val="continue"/>
            <w:tcBorders>
              <w:top w:val="nil"/>
              <w:bottom w:val="nil"/>
            </w:tcBorders>
            <w:noWrap w:val="0"/>
            <w:vAlign w:val="center"/>
          </w:tcPr>
          <w:p w14:paraId="7C613DCA">
            <w:pPr>
              <w:pStyle w:val="59"/>
              <w:bidi w:val="0"/>
            </w:pPr>
          </w:p>
        </w:tc>
        <w:tc>
          <w:tcPr>
            <w:tcW w:w="3668" w:type="dxa"/>
            <w:noWrap w:val="0"/>
            <w:vAlign w:val="center"/>
          </w:tcPr>
          <w:p w14:paraId="2F5AD13F">
            <w:pPr>
              <w:pStyle w:val="59"/>
              <w:bidi w:val="0"/>
            </w:pPr>
            <w:r>
              <w:t>采场边界围栏、警示标志</w:t>
            </w:r>
          </w:p>
        </w:tc>
        <w:tc>
          <w:tcPr>
            <w:tcW w:w="3094" w:type="dxa"/>
            <w:noWrap w:val="0"/>
            <w:vAlign w:val="center"/>
          </w:tcPr>
          <w:p w14:paraId="3A1BA4D3">
            <w:pPr>
              <w:pStyle w:val="59"/>
              <w:bidi w:val="0"/>
            </w:pPr>
            <w:r>
              <w:t>采场边界</w:t>
            </w:r>
          </w:p>
        </w:tc>
        <w:tc>
          <w:tcPr>
            <w:tcW w:w="1024" w:type="dxa"/>
            <w:noWrap w:val="0"/>
            <w:vAlign w:val="center"/>
          </w:tcPr>
          <w:p w14:paraId="0927A396">
            <w:pPr>
              <w:pStyle w:val="59"/>
              <w:bidi w:val="0"/>
              <w:jc w:val="center"/>
            </w:pPr>
            <w:r>
              <w:t>完成</w:t>
            </w:r>
          </w:p>
        </w:tc>
      </w:tr>
      <w:tr w14:paraId="7C469FE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266311D0">
            <w:pPr>
              <w:pStyle w:val="59"/>
              <w:bidi w:val="0"/>
              <w:jc w:val="center"/>
            </w:pPr>
            <w:r>
              <w:t>3</w:t>
            </w:r>
          </w:p>
        </w:tc>
        <w:tc>
          <w:tcPr>
            <w:tcW w:w="1023" w:type="dxa"/>
            <w:vMerge w:val="continue"/>
            <w:tcBorders>
              <w:top w:val="nil"/>
              <w:bottom w:val="nil"/>
            </w:tcBorders>
            <w:noWrap w:val="0"/>
            <w:vAlign w:val="center"/>
          </w:tcPr>
          <w:p w14:paraId="60BD6FD4">
            <w:pPr>
              <w:pStyle w:val="59"/>
              <w:bidi w:val="0"/>
            </w:pPr>
          </w:p>
        </w:tc>
        <w:tc>
          <w:tcPr>
            <w:tcW w:w="3668" w:type="dxa"/>
            <w:noWrap w:val="0"/>
            <w:vAlign w:val="center"/>
          </w:tcPr>
          <w:p w14:paraId="764E8289">
            <w:pPr>
              <w:pStyle w:val="59"/>
              <w:bidi w:val="0"/>
            </w:pPr>
            <w:r>
              <w:t>警示标志</w:t>
            </w:r>
          </w:p>
        </w:tc>
        <w:tc>
          <w:tcPr>
            <w:tcW w:w="3094" w:type="dxa"/>
            <w:noWrap w:val="0"/>
            <w:vAlign w:val="center"/>
          </w:tcPr>
          <w:p w14:paraId="76422269">
            <w:pPr>
              <w:pStyle w:val="59"/>
              <w:bidi w:val="0"/>
            </w:pPr>
            <w:r>
              <w:t>开拓道路边、开采平台边缘等</w:t>
            </w:r>
          </w:p>
        </w:tc>
        <w:tc>
          <w:tcPr>
            <w:tcW w:w="1024" w:type="dxa"/>
            <w:noWrap w:val="0"/>
            <w:vAlign w:val="center"/>
          </w:tcPr>
          <w:p w14:paraId="7465AE5C">
            <w:pPr>
              <w:pStyle w:val="59"/>
              <w:bidi w:val="0"/>
              <w:jc w:val="center"/>
            </w:pPr>
            <w:r>
              <w:t>完成</w:t>
            </w:r>
          </w:p>
        </w:tc>
      </w:tr>
      <w:tr w14:paraId="224676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44743231">
            <w:pPr>
              <w:pStyle w:val="59"/>
              <w:bidi w:val="0"/>
              <w:jc w:val="center"/>
            </w:pPr>
            <w:r>
              <w:t>4</w:t>
            </w:r>
          </w:p>
        </w:tc>
        <w:tc>
          <w:tcPr>
            <w:tcW w:w="1023" w:type="dxa"/>
            <w:vMerge w:val="continue"/>
            <w:tcBorders>
              <w:top w:val="nil"/>
            </w:tcBorders>
            <w:noWrap w:val="0"/>
            <w:vAlign w:val="center"/>
          </w:tcPr>
          <w:p w14:paraId="21E15525">
            <w:pPr>
              <w:pStyle w:val="59"/>
              <w:bidi w:val="0"/>
            </w:pPr>
          </w:p>
        </w:tc>
        <w:tc>
          <w:tcPr>
            <w:tcW w:w="3668" w:type="dxa"/>
            <w:noWrap w:val="0"/>
            <w:vAlign w:val="center"/>
          </w:tcPr>
          <w:p w14:paraId="7A6D6132">
            <w:pPr>
              <w:pStyle w:val="59"/>
              <w:bidi w:val="0"/>
            </w:pPr>
            <w:r>
              <w:t>采矿平台土挡</w:t>
            </w:r>
          </w:p>
        </w:tc>
        <w:tc>
          <w:tcPr>
            <w:tcW w:w="3094" w:type="dxa"/>
            <w:noWrap w:val="0"/>
            <w:vAlign w:val="center"/>
          </w:tcPr>
          <w:p w14:paraId="632E3EE4">
            <w:pPr>
              <w:pStyle w:val="59"/>
              <w:bidi w:val="0"/>
            </w:pPr>
            <w:r>
              <w:t>1</w:t>
            </w:r>
            <w:r>
              <w:rPr>
                <w:rFonts w:hint="eastAsia"/>
                <w:lang w:val="en-US" w:eastAsia="zh-CN"/>
              </w:rPr>
              <w:t>660</w:t>
            </w:r>
            <w:r>
              <w:t>m</w:t>
            </w:r>
            <w:r>
              <w:rPr>
                <w:rFonts w:hint="eastAsia"/>
                <w:lang w:eastAsia="zh-CN"/>
              </w:rPr>
              <w:t>、</w:t>
            </w:r>
            <w:r>
              <w:rPr>
                <w:rFonts w:hint="eastAsia"/>
                <w:lang w:val="en-US" w:eastAsia="zh-CN"/>
              </w:rPr>
              <w:t>1645m</w:t>
            </w:r>
            <w:r>
              <w:t>基建平台</w:t>
            </w:r>
          </w:p>
        </w:tc>
        <w:tc>
          <w:tcPr>
            <w:tcW w:w="1024" w:type="dxa"/>
            <w:noWrap w:val="0"/>
            <w:vAlign w:val="center"/>
          </w:tcPr>
          <w:p w14:paraId="44A4E1B3">
            <w:pPr>
              <w:pStyle w:val="59"/>
              <w:bidi w:val="0"/>
              <w:jc w:val="center"/>
            </w:pPr>
            <w:r>
              <w:t>完成</w:t>
            </w:r>
          </w:p>
        </w:tc>
      </w:tr>
      <w:tr w14:paraId="4F5AEA5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2E33DA71">
            <w:pPr>
              <w:pStyle w:val="59"/>
              <w:bidi w:val="0"/>
              <w:jc w:val="center"/>
            </w:pPr>
            <w:r>
              <w:t>5</w:t>
            </w:r>
          </w:p>
        </w:tc>
        <w:tc>
          <w:tcPr>
            <w:tcW w:w="1023" w:type="dxa"/>
            <w:vMerge w:val="restart"/>
            <w:tcBorders>
              <w:bottom w:val="nil"/>
            </w:tcBorders>
            <w:noWrap w:val="0"/>
            <w:vAlign w:val="center"/>
          </w:tcPr>
          <w:p w14:paraId="4456FB2D">
            <w:pPr>
              <w:pStyle w:val="59"/>
              <w:bidi w:val="0"/>
            </w:pPr>
            <w:r>
              <w:t>汽车运输</w:t>
            </w:r>
          </w:p>
        </w:tc>
        <w:tc>
          <w:tcPr>
            <w:tcW w:w="3668" w:type="dxa"/>
            <w:noWrap w:val="0"/>
            <w:vAlign w:val="center"/>
          </w:tcPr>
          <w:p w14:paraId="18624C1F">
            <w:pPr>
              <w:pStyle w:val="59"/>
              <w:bidi w:val="0"/>
            </w:pPr>
            <w:r>
              <w:t>运输线路的安全护栏、挡车设施、错车道、声光报警装置</w:t>
            </w:r>
          </w:p>
        </w:tc>
        <w:tc>
          <w:tcPr>
            <w:tcW w:w="3094" w:type="dxa"/>
            <w:noWrap w:val="0"/>
            <w:vAlign w:val="center"/>
          </w:tcPr>
          <w:p w14:paraId="66D6D14C">
            <w:pPr>
              <w:pStyle w:val="59"/>
              <w:bidi w:val="0"/>
            </w:pPr>
            <w:r>
              <w:t>运输道路</w:t>
            </w:r>
          </w:p>
        </w:tc>
        <w:tc>
          <w:tcPr>
            <w:tcW w:w="1024" w:type="dxa"/>
            <w:noWrap w:val="0"/>
            <w:vAlign w:val="center"/>
          </w:tcPr>
          <w:p w14:paraId="0D81C095">
            <w:pPr>
              <w:pStyle w:val="59"/>
              <w:bidi w:val="0"/>
              <w:jc w:val="center"/>
            </w:pPr>
            <w:r>
              <w:t>完成</w:t>
            </w:r>
          </w:p>
        </w:tc>
      </w:tr>
      <w:tr w14:paraId="355EDBB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3C75AF16">
            <w:pPr>
              <w:pStyle w:val="59"/>
              <w:bidi w:val="0"/>
              <w:jc w:val="center"/>
            </w:pPr>
            <w:r>
              <w:t>6</w:t>
            </w:r>
          </w:p>
        </w:tc>
        <w:tc>
          <w:tcPr>
            <w:tcW w:w="1023" w:type="dxa"/>
            <w:vMerge w:val="continue"/>
            <w:tcBorders>
              <w:top w:val="nil"/>
              <w:bottom w:val="single" w:color="auto" w:sz="4" w:space="0"/>
            </w:tcBorders>
            <w:noWrap w:val="0"/>
            <w:vAlign w:val="center"/>
          </w:tcPr>
          <w:p w14:paraId="5FC649B4">
            <w:pPr>
              <w:pStyle w:val="59"/>
              <w:bidi w:val="0"/>
            </w:pPr>
          </w:p>
        </w:tc>
        <w:tc>
          <w:tcPr>
            <w:tcW w:w="3668" w:type="dxa"/>
            <w:noWrap w:val="0"/>
            <w:vAlign w:val="center"/>
          </w:tcPr>
          <w:p w14:paraId="14580439">
            <w:pPr>
              <w:pStyle w:val="59"/>
              <w:bidi w:val="0"/>
            </w:pPr>
            <w:r>
              <w:t>矿、岩卸载点的安全挡车设施</w:t>
            </w:r>
          </w:p>
        </w:tc>
        <w:tc>
          <w:tcPr>
            <w:tcW w:w="3094" w:type="dxa"/>
            <w:noWrap w:val="0"/>
            <w:vAlign w:val="center"/>
          </w:tcPr>
          <w:p w14:paraId="7A50BD62">
            <w:pPr>
              <w:pStyle w:val="59"/>
              <w:bidi w:val="0"/>
              <w:rPr>
                <w:rFonts w:hint="default" w:eastAsia="宋体"/>
                <w:lang w:val="en-US" w:eastAsia="zh-CN"/>
              </w:rPr>
            </w:pPr>
            <w:r>
              <w:t>矿、岩卸载点</w:t>
            </w:r>
            <w:r>
              <w:rPr>
                <w:rFonts w:hint="eastAsia"/>
                <w:lang w:eastAsia="zh-CN"/>
              </w:rPr>
              <w:t>、</w:t>
            </w:r>
            <w:r>
              <w:rPr>
                <w:rFonts w:hint="eastAsia"/>
                <w:lang w:val="en-US" w:eastAsia="zh-CN"/>
              </w:rPr>
              <w:t>运输道路</w:t>
            </w:r>
          </w:p>
        </w:tc>
        <w:tc>
          <w:tcPr>
            <w:tcW w:w="1024" w:type="dxa"/>
            <w:noWrap w:val="0"/>
            <w:vAlign w:val="center"/>
          </w:tcPr>
          <w:p w14:paraId="38C110AB">
            <w:pPr>
              <w:pStyle w:val="59"/>
              <w:bidi w:val="0"/>
              <w:jc w:val="center"/>
            </w:pPr>
            <w:r>
              <w:t>完成</w:t>
            </w:r>
          </w:p>
        </w:tc>
      </w:tr>
      <w:tr w14:paraId="227E849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2712B308">
            <w:pPr>
              <w:pStyle w:val="59"/>
              <w:bidi w:val="0"/>
              <w:jc w:val="center"/>
            </w:pPr>
            <w:r>
              <w:t>7</w:t>
            </w:r>
          </w:p>
        </w:tc>
        <w:tc>
          <w:tcPr>
            <w:tcW w:w="1023" w:type="dxa"/>
            <w:vMerge w:val="restart"/>
            <w:tcBorders>
              <w:top w:val="single" w:color="auto" w:sz="4" w:space="0"/>
              <w:left w:val="single" w:color="auto" w:sz="4" w:space="0"/>
              <w:bottom w:val="single" w:color="auto" w:sz="4" w:space="0"/>
              <w:right w:val="single" w:color="auto" w:sz="4" w:space="0"/>
            </w:tcBorders>
            <w:noWrap w:val="0"/>
            <w:vAlign w:val="center"/>
          </w:tcPr>
          <w:p w14:paraId="07592ED4">
            <w:pPr>
              <w:pStyle w:val="59"/>
              <w:bidi w:val="0"/>
            </w:pPr>
            <w:r>
              <w:t>破碎站</w:t>
            </w:r>
          </w:p>
        </w:tc>
        <w:tc>
          <w:tcPr>
            <w:tcW w:w="3668" w:type="dxa"/>
            <w:tcBorders>
              <w:left w:val="single" w:color="auto" w:sz="4" w:space="0"/>
            </w:tcBorders>
            <w:noWrap w:val="0"/>
            <w:vAlign w:val="center"/>
          </w:tcPr>
          <w:p w14:paraId="5B2D637B">
            <w:pPr>
              <w:pStyle w:val="59"/>
              <w:bidi w:val="0"/>
            </w:pPr>
            <w:r>
              <w:t>卸矿安全挡车设施</w:t>
            </w:r>
          </w:p>
        </w:tc>
        <w:tc>
          <w:tcPr>
            <w:tcW w:w="3094" w:type="dxa"/>
            <w:noWrap w:val="0"/>
            <w:vAlign w:val="center"/>
          </w:tcPr>
          <w:p w14:paraId="04B50EC4">
            <w:pPr>
              <w:pStyle w:val="59"/>
              <w:bidi w:val="0"/>
            </w:pPr>
            <w:r>
              <w:t>破碎站</w:t>
            </w:r>
          </w:p>
        </w:tc>
        <w:tc>
          <w:tcPr>
            <w:tcW w:w="1024" w:type="dxa"/>
            <w:noWrap w:val="0"/>
            <w:vAlign w:val="center"/>
          </w:tcPr>
          <w:p w14:paraId="4DADED0B">
            <w:pPr>
              <w:pStyle w:val="59"/>
              <w:bidi w:val="0"/>
              <w:jc w:val="center"/>
            </w:pPr>
            <w:r>
              <w:t>完成</w:t>
            </w:r>
          </w:p>
        </w:tc>
      </w:tr>
      <w:tr w14:paraId="7B05728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2C8F022E">
            <w:pPr>
              <w:pStyle w:val="59"/>
              <w:bidi w:val="0"/>
              <w:jc w:val="center"/>
            </w:pPr>
            <w:r>
              <w:t>8</w:t>
            </w:r>
          </w:p>
        </w:tc>
        <w:tc>
          <w:tcPr>
            <w:tcW w:w="1023" w:type="dxa"/>
            <w:vMerge w:val="continue"/>
            <w:tcBorders>
              <w:top w:val="single" w:color="auto" w:sz="4" w:space="0"/>
              <w:left w:val="single" w:color="auto" w:sz="4" w:space="0"/>
              <w:bottom w:val="single" w:color="auto" w:sz="4" w:space="0"/>
              <w:right w:val="single" w:color="auto" w:sz="4" w:space="0"/>
            </w:tcBorders>
            <w:noWrap w:val="0"/>
            <w:vAlign w:val="center"/>
          </w:tcPr>
          <w:p w14:paraId="1A669B2A">
            <w:pPr>
              <w:pStyle w:val="59"/>
              <w:bidi w:val="0"/>
            </w:pPr>
          </w:p>
        </w:tc>
        <w:tc>
          <w:tcPr>
            <w:tcW w:w="3668" w:type="dxa"/>
            <w:tcBorders>
              <w:left w:val="single" w:color="auto" w:sz="4" w:space="0"/>
            </w:tcBorders>
            <w:noWrap w:val="0"/>
            <w:vAlign w:val="center"/>
          </w:tcPr>
          <w:p w14:paraId="302F4CF9">
            <w:pPr>
              <w:pStyle w:val="59"/>
              <w:bidi w:val="0"/>
            </w:pPr>
            <w:r>
              <w:t>设备运动部分的护罩、安全护栏</w:t>
            </w:r>
          </w:p>
        </w:tc>
        <w:tc>
          <w:tcPr>
            <w:tcW w:w="3094" w:type="dxa"/>
            <w:noWrap w:val="0"/>
            <w:vAlign w:val="center"/>
          </w:tcPr>
          <w:p w14:paraId="42B5044D">
            <w:pPr>
              <w:pStyle w:val="59"/>
              <w:bidi w:val="0"/>
            </w:pPr>
            <w:r>
              <w:t>破碎站</w:t>
            </w:r>
          </w:p>
        </w:tc>
        <w:tc>
          <w:tcPr>
            <w:tcW w:w="1024" w:type="dxa"/>
            <w:noWrap w:val="0"/>
            <w:vAlign w:val="center"/>
          </w:tcPr>
          <w:p w14:paraId="59874874">
            <w:pPr>
              <w:pStyle w:val="59"/>
              <w:bidi w:val="0"/>
              <w:jc w:val="center"/>
            </w:pPr>
            <w:r>
              <w:t>完成</w:t>
            </w:r>
          </w:p>
        </w:tc>
      </w:tr>
      <w:tr w14:paraId="4512142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4E488844">
            <w:pPr>
              <w:pStyle w:val="59"/>
              <w:bidi w:val="0"/>
              <w:jc w:val="center"/>
            </w:pPr>
            <w:r>
              <w:t>9</w:t>
            </w:r>
          </w:p>
        </w:tc>
        <w:tc>
          <w:tcPr>
            <w:tcW w:w="1023" w:type="dxa"/>
            <w:vMerge w:val="continue"/>
            <w:tcBorders>
              <w:top w:val="single" w:color="auto" w:sz="4" w:space="0"/>
              <w:left w:val="single" w:color="auto" w:sz="4" w:space="0"/>
              <w:bottom w:val="single" w:color="auto" w:sz="4" w:space="0"/>
              <w:right w:val="single" w:color="auto" w:sz="4" w:space="0"/>
            </w:tcBorders>
            <w:noWrap w:val="0"/>
            <w:vAlign w:val="center"/>
          </w:tcPr>
          <w:p w14:paraId="7796548C">
            <w:pPr>
              <w:pStyle w:val="59"/>
              <w:bidi w:val="0"/>
            </w:pPr>
          </w:p>
        </w:tc>
        <w:tc>
          <w:tcPr>
            <w:tcW w:w="3668" w:type="dxa"/>
            <w:tcBorders>
              <w:left w:val="single" w:color="auto" w:sz="4" w:space="0"/>
            </w:tcBorders>
            <w:noWrap w:val="0"/>
            <w:vAlign w:val="center"/>
          </w:tcPr>
          <w:p w14:paraId="4CAA7441">
            <w:pPr>
              <w:pStyle w:val="59"/>
              <w:bidi w:val="0"/>
            </w:pPr>
            <w:r>
              <w:t>安全护栏、盖板、扶手、防滑钢板</w:t>
            </w:r>
          </w:p>
        </w:tc>
        <w:tc>
          <w:tcPr>
            <w:tcW w:w="3094" w:type="dxa"/>
            <w:noWrap w:val="0"/>
            <w:vAlign w:val="center"/>
          </w:tcPr>
          <w:p w14:paraId="236E56F5">
            <w:pPr>
              <w:pStyle w:val="59"/>
              <w:bidi w:val="0"/>
            </w:pPr>
            <w:r>
              <w:t>破碎站</w:t>
            </w:r>
          </w:p>
        </w:tc>
        <w:tc>
          <w:tcPr>
            <w:tcW w:w="1024" w:type="dxa"/>
            <w:noWrap w:val="0"/>
            <w:vAlign w:val="center"/>
          </w:tcPr>
          <w:p w14:paraId="6555CBA7">
            <w:pPr>
              <w:pStyle w:val="59"/>
              <w:bidi w:val="0"/>
              <w:jc w:val="center"/>
            </w:pPr>
            <w:r>
              <w:t>完成</w:t>
            </w:r>
          </w:p>
        </w:tc>
      </w:tr>
      <w:tr w14:paraId="75F12ABA">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520B0430">
            <w:pPr>
              <w:pStyle w:val="59"/>
              <w:bidi w:val="0"/>
              <w:ind w:firstLine="0" w:firstLineChars="0"/>
              <w:jc w:val="center"/>
            </w:pPr>
            <w:r>
              <w:t>10</w:t>
            </w:r>
          </w:p>
        </w:tc>
        <w:tc>
          <w:tcPr>
            <w:tcW w:w="1023" w:type="dxa"/>
            <w:tcBorders>
              <w:top w:val="single" w:color="auto" w:sz="4" w:space="0"/>
              <w:left w:val="single" w:color="auto" w:sz="4" w:space="0"/>
              <w:bottom w:val="single" w:color="auto" w:sz="4" w:space="0"/>
              <w:right w:val="single" w:color="auto" w:sz="4" w:space="0"/>
            </w:tcBorders>
            <w:noWrap w:val="0"/>
            <w:vAlign w:val="center"/>
          </w:tcPr>
          <w:p w14:paraId="01C72766">
            <w:pPr>
              <w:pStyle w:val="59"/>
              <w:bidi w:val="0"/>
              <w:rPr>
                <w:rFonts w:hint="eastAsia" w:eastAsia="宋体"/>
                <w:lang w:val="en-US" w:eastAsia="zh-CN"/>
              </w:rPr>
            </w:pPr>
            <w:r>
              <w:rPr>
                <w:rFonts w:hint="eastAsia"/>
                <w:lang w:val="en-US" w:eastAsia="zh-CN"/>
              </w:rPr>
              <w:t>排土场</w:t>
            </w:r>
          </w:p>
        </w:tc>
        <w:tc>
          <w:tcPr>
            <w:tcW w:w="3668" w:type="dxa"/>
            <w:tcBorders>
              <w:left w:val="single" w:color="auto" w:sz="4" w:space="0"/>
            </w:tcBorders>
            <w:noWrap w:val="0"/>
            <w:vAlign w:val="center"/>
          </w:tcPr>
          <w:p w14:paraId="7C0B54D0">
            <w:pPr>
              <w:pStyle w:val="59"/>
              <w:bidi w:val="0"/>
            </w:pPr>
            <w:r>
              <w:t>警示标志</w:t>
            </w:r>
          </w:p>
        </w:tc>
        <w:tc>
          <w:tcPr>
            <w:tcW w:w="3094" w:type="dxa"/>
            <w:noWrap w:val="0"/>
            <w:vAlign w:val="center"/>
          </w:tcPr>
          <w:p w14:paraId="0F296787">
            <w:pPr>
              <w:pStyle w:val="59"/>
              <w:bidi w:val="0"/>
            </w:pPr>
            <w:r>
              <w:rPr>
                <w:rFonts w:hint="eastAsia"/>
                <w:lang w:val="en-US" w:eastAsia="zh-CN"/>
              </w:rPr>
              <w:t>排土场</w:t>
            </w:r>
          </w:p>
        </w:tc>
        <w:tc>
          <w:tcPr>
            <w:tcW w:w="1024" w:type="dxa"/>
            <w:noWrap w:val="0"/>
            <w:vAlign w:val="center"/>
          </w:tcPr>
          <w:p w14:paraId="52BF7093">
            <w:pPr>
              <w:pStyle w:val="59"/>
              <w:bidi w:val="0"/>
              <w:jc w:val="center"/>
            </w:pPr>
            <w:r>
              <w:t>完成</w:t>
            </w:r>
          </w:p>
        </w:tc>
      </w:tr>
      <w:tr w14:paraId="5C4D4D4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689895DC">
            <w:pPr>
              <w:pStyle w:val="59"/>
              <w:bidi w:val="0"/>
              <w:jc w:val="center"/>
            </w:pPr>
            <w:r>
              <w:t>11</w:t>
            </w:r>
          </w:p>
        </w:tc>
        <w:tc>
          <w:tcPr>
            <w:tcW w:w="1023" w:type="dxa"/>
            <w:vMerge w:val="restart"/>
            <w:tcBorders>
              <w:top w:val="single" w:color="auto" w:sz="4" w:space="0"/>
              <w:left w:val="single" w:color="auto" w:sz="4" w:space="0"/>
              <w:right w:val="single" w:color="auto" w:sz="4" w:space="0"/>
            </w:tcBorders>
            <w:noWrap w:val="0"/>
            <w:vAlign w:val="center"/>
          </w:tcPr>
          <w:p w14:paraId="75BAF082">
            <w:pPr>
              <w:pStyle w:val="59"/>
              <w:bidi w:val="0"/>
              <w:ind w:firstLine="0" w:firstLineChars="0"/>
            </w:pPr>
            <w:r>
              <w:t>供配电设施</w:t>
            </w:r>
          </w:p>
        </w:tc>
        <w:tc>
          <w:tcPr>
            <w:tcW w:w="3668" w:type="dxa"/>
            <w:tcBorders>
              <w:left w:val="single" w:color="auto" w:sz="4" w:space="0"/>
            </w:tcBorders>
            <w:noWrap w:val="0"/>
            <w:vAlign w:val="center"/>
          </w:tcPr>
          <w:p w14:paraId="212930BF">
            <w:pPr>
              <w:pStyle w:val="59"/>
              <w:bidi w:val="0"/>
              <w:ind w:firstLine="0" w:firstLineChars="0"/>
            </w:pPr>
            <w:r>
              <w:t>裸带电体基本（直接接触）防护设施</w:t>
            </w:r>
          </w:p>
        </w:tc>
        <w:tc>
          <w:tcPr>
            <w:tcW w:w="3094" w:type="dxa"/>
            <w:noWrap w:val="0"/>
            <w:vAlign w:val="center"/>
          </w:tcPr>
          <w:p w14:paraId="5EF414D6">
            <w:pPr>
              <w:pStyle w:val="59"/>
              <w:bidi w:val="0"/>
              <w:ind w:firstLine="0" w:firstLineChars="0"/>
            </w:pPr>
            <w:r>
              <w:t>配电室、变压器</w:t>
            </w:r>
          </w:p>
        </w:tc>
        <w:tc>
          <w:tcPr>
            <w:tcW w:w="1024" w:type="dxa"/>
            <w:noWrap w:val="0"/>
            <w:vAlign w:val="center"/>
          </w:tcPr>
          <w:p w14:paraId="0A1CECC3">
            <w:pPr>
              <w:pStyle w:val="59"/>
              <w:bidi w:val="0"/>
              <w:ind w:firstLine="0" w:firstLineChars="0"/>
              <w:jc w:val="center"/>
            </w:pPr>
            <w:r>
              <w:t>完成</w:t>
            </w:r>
          </w:p>
        </w:tc>
      </w:tr>
      <w:tr w14:paraId="48BE5A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3131A6CD">
            <w:pPr>
              <w:pStyle w:val="59"/>
              <w:bidi w:val="0"/>
              <w:jc w:val="center"/>
            </w:pPr>
            <w:r>
              <w:t>12</w:t>
            </w:r>
          </w:p>
        </w:tc>
        <w:tc>
          <w:tcPr>
            <w:tcW w:w="1023" w:type="dxa"/>
            <w:vMerge w:val="continue"/>
            <w:tcBorders>
              <w:left w:val="single" w:color="auto" w:sz="4" w:space="0"/>
              <w:right w:val="single" w:color="auto" w:sz="4" w:space="0"/>
            </w:tcBorders>
            <w:noWrap w:val="0"/>
            <w:vAlign w:val="center"/>
          </w:tcPr>
          <w:p w14:paraId="1839B448">
            <w:pPr>
              <w:pStyle w:val="59"/>
              <w:bidi w:val="0"/>
            </w:pPr>
          </w:p>
        </w:tc>
        <w:tc>
          <w:tcPr>
            <w:tcW w:w="3668" w:type="dxa"/>
            <w:tcBorders>
              <w:left w:val="single" w:color="auto" w:sz="4" w:space="0"/>
            </w:tcBorders>
            <w:noWrap w:val="0"/>
            <w:vAlign w:val="center"/>
          </w:tcPr>
          <w:p w14:paraId="1C35E090">
            <w:pPr>
              <w:pStyle w:val="59"/>
              <w:bidi w:val="0"/>
            </w:pPr>
            <w:r>
              <w:t>保护接地设施</w:t>
            </w:r>
          </w:p>
        </w:tc>
        <w:tc>
          <w:tcPr>
            <w:tcW w:w="3094" w:type="dxa"/>
            <w:noWrap w:val="0"/>
            <w:vAlign w:val="center"/>
          </w:tcPr>
          <w:p w14:paraId="0ADF95AD">
            <w:pPr>
              <w:pStyle w:val="59"/>
              <w:bidi w:val="0"/>
            </w:pPr>
            <w:r>
              <w:t>配电室、变压器</w:t>
            </w:r>
          </w:p>
        </w:tc>
        <w:tc>
          <w:tcPr>
            <w:tcW w:w="1024" w:type="dxa"/>
            <w:noWrap w:val="0"/>
            <w:vAlign w:val="center"/>
          </w:tcPr>
          <w:p w14:paraId="2A4DC330">
            <w:pPr>
              <w:pStyle w:val="59"/>
              <w:bidi w:val="0"/>
              <w:jc w:val="center"/>
            </w:pPr>
            <w:r>
              <w:t>完成</w:t>
            </w:r>
          </w:p>
        </w:tc>
      </w:tr>
      <w:tr w14:paraId="06CF840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2B075008">
            <w:pPr>
              <w:pStyle w:val="59"/>
              <w:bidi w:val="0"/>
              <w:jc w:val="center"/>
            </w:pPr>
            <w:r>
              <w:t>13</w:t>
            </w:r>
          </w:p>
        </w:tc>
        <w:tc>
          <w:tcPr>
            <w:tcW w:w="1023" w:type="dxa"/>
            <w:vMerge w:val="continue"/>
            <w:tcBorders>
              <w:left w:val="single" w:color="auto" w:sz="4" w:space="0"/>
              <w:right w:val="single" w:color="auto" w:sz="4" w:space="0"/>
            </w:tcBorders>
            <w:noWrap w:val="0"/>
            <w:vAlign w:val="center"/>
          </w:tcPr>
          <w:p w14:paraId="56489242">
            <w:pPr>
              <w:pStyle w:val="59"/>
              <w:bidi w:val="0"/>
            </w:pPr>
          </w:p>
        </w:tc>
        <w:tc>
          <w:tcPr>
            <w:tcW w:w="3668" w:type="dxa"/>
            <w:tcBorders>
              <w:left w:val="single" w:color="auto" w:sz="4" w:space="0"/>
            </w:tcBorders>
            <w:noWrap w:val="0"/>
            <w:vAlign w:val="center"/>
          </w:tcPr>
          <w:p w14:paraId="06B7DA53">
            <w:pPr>
              <w:pStyle w:val="59"/>
              <w:bidi w:val="0"/>
            </w:pPr>
            <w:r>
              <w:t>直流牵引变电所接地设施</w:t>
            </w:r>
          </w:p>
        </w:tc>
        <w:tc>
          <w:tcPr>
            <w:tcW w:w="3094" w:type="dxa"/>
            <w:noWrap w:val="0"/>
            <w:vAlign w:val="center"/>
          </w:tcPr>
          <w:p w14:paraId="427CAE2A">
            <w:pPr>
              <w:pStyle w:val="59"/>
              <w:bidi w:val="0"/>
            </w:pPr>
            <w:r>
              <w:t>配电室、变压器</w:t>
            </w:r>
          </w:p>
        </w:tc>
        <w:tc>
          <w:tcPr>
            <w:tcW w:w="1024" w:type="dxa"/>
            <w:noWrap w:val="0"/>
            <w:vAlign w:val="center"/>
          </w:tcPr>
          <w:p w14:paraId="5B0B345A">
            <w:pPr>
              <w:pStyle w:val="59"/>
              <w:bidi w:val="0"/>
              <w:jc w:val="center"/>
            </w:pPr>
            <w:r>
              <w:t>完成</w:t>
            </w:r>
          </w:p>
        </w:tc>
      </w:tr>
      <w:tr w14:paraId="3FF7C15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07B8E24C">
            <w:pPr>
              <w:pStyle w:val="59"/>
              <w:bidi w:val="0"/>
              <w:jc w:val="center"/>
            </w:pPr>
            <w:r>
              <w:t>14</w:t>
            </w:r>
          </w:p>
        </w:tc>
        <w:tc>
          <w:tcPr>
            <w:tcW w:w="1023" w:type="dxa"/>
            <w:vMerge w:val="continue"/>
            <w:tcBorders>
              <w:left w:val="single" w:color="auto" w:sz="4" w:space="0"/>
              <w:right w:val="single" w:color="auto" w:sz="4" w:space="0"/>
            </w:tcBorders>
            <w:noWrap w:val="0"/>
            <w:vAlign w:val="center"/>
          </w:tcPr>
          <w:p w14:paraId="751ACD13">
            <w:pPr>
              <w:pStyle w:val="59"/>
              <w:bidi w:val="0"/>
            </w:pPr>
          </w:p>
        </w:tc>
        <w:tc>
          <w:tcPr>
            <w:tcW w:w="3668" w:type="dxa"/>
            <w:tcBorders>
              <w:left w:val="single" w:color="auto" w:sz="4" w:space="0"/>
            </w:tcBorders>
            <w:noWrap w:val="0"/>
            <w:vAlign w:val="center"/>
          </w:tcPr>
          <w:p w14:paraId="7F65A83D">
            <w:pPr>
              <w:pStyle w:val="59"/>
              <w:bidi w:val="0"/>
            </w:pPr>
            <w:r>
              <w:t>采场变、配电室应急照明设施</w:t>
            </w:r>
          </w:p>
        </w:tc>
        <w:tc>
          <w:tcPr>
            <w:tcW w:w="3094" w:type="dxa"/>
            <w:noWrap w:val="0"/>
            <w:vAlign w:val="center"/>
          </w:tcPr>
          <w:p w14:paraId="78B71752">
            <w:pPr>
              <w:pStyle w:val="59"/>
              <w:bidi w:val="0"/>
            </w:pPr>
            <w:r>
              <w:t>配电室、变压器</w:t>
            </w:r>
          </w:p>
        </w:tc>
        <w:tc>
          <w:tcPr>
            <w:tcW w:w="1024" w:type="dxa"/>
            <w:noWrap w:val="0"/>
            <w:vAlign w:val="center"/>
          </w:tcPr>
          <w:p w14:paraId="3956C37D">
            <w:pPr>
              <w:pStyle w:val="59"/>
              <w:bidi w:val="0"/>
              <w:jc w:val="center"/>
            </w:pPr>
            <w:r>
              <w:t>完成</w:t>
            </w:r>
          </w:p>
        </w:tc>
      </w:tr>
      <w:tr w14:paraId="23CB37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tcBorders>
              <w:right w:val="single" w:color="auto" w:sz="4" w:space="0"/>
            </w:tcBorders>
            <w:noWrap w:val="0"/>
            <w:vAlign w:val="center"/>
          </w:tcPr>
          <w:p w14:paraId="7D615367">
            <w:pPr>
              <w:pStyle w:val="59"/>
              <w:bidi w:val="0"/>
              <w:jc w:val="center"/>
            </w:pPr>
            <w:r>
              <w:t>15</w:t>
            </w:r>
          </w:p>
        </w:tc>
        <w:tc>
          <w:tcPr>
            <w:tcW w:w="1023" w:type="dxa"/>
            <w:vMerge w:val="continue"/>
            <w:tcBorders>
              <w:left w:val="single" w:color="auto" w:sz="4" w:space="0"/>
              <w:bottom w:val="single" w:color="auto" w:sz="4" w:space="0"/>
              <w:right w:val="single" w:color="auto" w:sz="4" w:space="0"/>
            </w:tcBorders>
            <w:noWrap w:val="0"/>
            <w:vAlign w:val="center"/>
          </w:tcPr>
          <w:p w14:paraId="0E5D79F7">
            <w:pPr>
              <w:pStyle w:val="59"/>
              <w:bidi w:val="0"/>
            </w:pPr>
          </w:p>
        </w:tc>
        <w:tc>
          <w:tcPr>
            <w:tcW w:w="3668" w:type="dxa"/>
            <w:tcBorders>
              <w:left w:val="single" w:color="auto" w:sz="4" w:space="0"/>
            </w:tcBorders>
            <w:noWrap w:val="0"/>
            <w:vAlign w:val="center"/>
          </w:tcPr>
          <w:p w14:paraId="25DF9CEA">
            <w:pPr>
              <w:pStyle w:val="59"/>
              <w:bidi w:val="0"/>
            </w:pPr>
            <w:r>
              <w:t>地面建筑物防雷设施</w:t>
            </w:r>
          </w:p>
        </w:tc>
        <w:tc>
          <w:tcPr>
            <w:tcW w:w="3094" w:type="dxa"/>
            <w:noWrap w:val="0"/>
            <w:vAlign w:val="center"/>
          </w:tcPr>
          <w:p w14:paraId="66AC4576">
            <w:pPr>
              <w:pStyle w:val="59"/>
              <w:bidi w:val="0"/>
            </w:pPr>
            <w:r>
              <w:t>配电室、变压器</w:t>
            </w:r>
          </w:p>
        </w:tc>
        <w:tc>
          <w:tcPr>
            <w:tcW w:w="1024" w:type="dxa"/>
            <w:noWrap w:val="0"/>
            <w:vAlign w:val="center"/>
          </w:tcPr>
          <w:p w14:paraId="7F8B39C8">
            <w:pPr>
              <w:pStyle w:val="59"/>
              <w:bidi w:val="0"/>
              <w:jc w:val="center"/>
            </w:pPr>
            <w:r>
              <w:t>完成</w:t>
            </w:r>
          </w:p>
        </w:tc>
      </w:tr>
      <w:tr w14:paraId="3E837B3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4B6E76C1">
            <w:pPr>
              <w:pStyle w:val="59"/>
              <w:bidi w:val="0"/>
              <w:jc w:val="center"/>
            </w:pPr>
            <w:r>
              <w:t>16</w:t>
            </w:r>
          </w:p>
        </w:tc>
        <w:tc>
          <w:tcPr>
            <w:tcW w:w="4691" w:type="dxa"/>
            <w:gridSpan w:val="2"/>
            <w:noWrap w:val="0"/>
            <w:vAlign w:val="center"/>
          </w:tcPr>
          <w:p w14:paraId="5443D6E9">
            <w:pPr>
              <w:pStyle w:val="59"/>
              <w:bidi w:val="0"/>
            </w:pPr>
            <w:r>
              <w:t>个人安全防护用品</w:t>
            </w:r>
          </w:p>
        </w:tc>
        <w:tc>
          <w:tcPr>
            <w:tcW w:w="3094" w:type="dxa"/>
            <w:noWrap w:val="0"/>
            <w:vAlign w:val="center"/>
          </w:tcPr>
          <w:p w14:paraId="1119A2A5">
            <w:pPr>
              <w:pStyle w:val="59"/>
              <w:bidi w:val="0"/>
            </w:pPr>
            <w:r>
              <w:t>发放至个人</w:t>
            </w:r>
          </w:p>
        </w:tc>
        <w:tc>
          <w:tcPr>
            <w:tcW w:w="1024" w:type="dxa"/>
            <w:noWrap w:val="0"/>
            <w:vAlign w:val="center"/>
          </w:tcPr>
          <w:p w14:paraId="327DD568">
            <w:pPr>
              <w:pStyle w:val="59"/>
              <w:bidi w:val="0"/>
              <w:jc w:val="center"/>
            </w:pPr>
            <w:r>
              <w:t>完成</w:t>
            </w:r>
          </w:p>
        </w:tc>
      </w:tr>
      <w:tr w14:paraId="7F98E080">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06975A55">
            <w:pPr>
              <w:pStyle w:val="59"/>
              <w:bidi w:val="0"/>
              <w:jc w:val="center"/>
            </w:pPr>
            <w:r>
              <w:t>17</w:t>
            </w:r>
          </w:p>
        </w:tc>
        <w:tc>
          <w:tcPr>
            <w:tcW w:w="4691" w:type="dxa"/>
            <w:gridSpan w:val="2"/>
            <w:noWrap w:val="0"/>
            <w:vAlign w:val="center"/>
          </w:tcPr>
          <w:p w14:paraId="3900744E">
            <w:pPr>
              <w:pStyle w:val="59"/>
              <w:bidi w:val="0"/>
            </w:pPr>
            <w:r>
              <w:t>矿山、采场、交通、电气安全标志</w:t>
            </w:r>
          </w:p>
        </w:tc>
        <w:tc>
          <w:tcPr>
            <w:tcW w:w="3094" w:type="dxa"/>
            <w:noWrap w:val="0"/>
            <w:vAlign w:val="center"/>
          </w:tcPr>
          <w:p w14:paraId="7F30BEBB">
            <w:pPr>
              <w:pStyle w:val="59"/>
              <w:bidi w:val="0"/>
            </w:pPr>
            <w:r>
              <w:t>采场、</w:t>
            </w:r>
            <w:r>
              <w:rPr>
                <w:rFonts w:hint="eastAsia"/>
                <w:lang w:val="en-US" w:eastAsia="zh-CN"/>
              </w:rPr>
              <w:t>道</w:t>
            </w:r>
            <w:r>
              <w:t>路、配电室、变压器、露天境界</w:t>
            </w:r>
          </w:p>
        </w:tc>
        <w:tc>
          <w:tcPr>
            <w:tcW w:w="1024" w:type="dxa"/>
            <w:noWrap w:val="0"/>
            <w:vAlign w:val="center"/>
          </w:tcPr>
          <w:p w14:paraId="67D9B7BE">
            <w:pPr>
              <w:pStyle w:val="59"/>
              <w:bidi w:val="0"/>
              <w:jc w:val="center"/>
            </w:pPr>
            <w:r>
              <w:t>完成</w:t>
            </w:r>
          </w:p>
        </w:tc>
      </w:tr>
      <w:tr w14:paraId="63E5E509">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386" w:hRule="atLeast"/>
        </w:trPr>
        <w:tc>
          <w:tcPr>
            <w:tcW w:w="804" w:type="dxa"/>
            <w:noWrap w:val="0"/>
            <w:vAlign w:val="center"/>
          </w:tcPr>
          <w:p w14:paraId="53652B44">
            <w:pPr>
              <w:pStyle w:val="59"/>
              <w:bidi w:val="0"/>
              <w:jc w:val="center"/>
              <w:rPr>
                <w:rFonts w:hint="default" w:eastAsia="宋体"/>
                <w:lang w:val="en-US" w:eastAsia="zh-CN"/>
              </w:rPr>
            </w:pPr>
            <w:r>
              <w:rPr>
                <w:rFonts w:hint="eastAsia"/>
                <w:lang w:val="en-US" w:eastAsia="zh-CN"/>
              </w:rPr>
              <w:t>18</w:t>
            </w:r>
          </w:p>
        </w:tc>
        <w:tc>
          <w:tcPr>
            <w:tcW w:w="4691" w:type="dxa"/>
            <w:gridSpan w:val="2"/>
            <w:noWrap w:val="0"/>
            <w:vAlign w:val="center"/>
          </w:tcPr>
          <w:p w14:paraId="436C8150">
            <w:pPr>
              <w:pStyle w:val="59"/>
              <w:bidi w:val="0"/>
            </w:pPr>
            <w:r>
              <w:t>应急救援设施设备</w:t>
            </w:r>
          </w:p>
        </w:tc>
        <w:tc>
          <w:tcPr>
            <w:tcW w:w="3094" w:type="dxa"/>
            <w:noWrap w:val="0"/>
            <w:vAlign w:val="center"/>
          </w:tcPr>
          <w:p w14:paraId="2CFBD585">
            <w:pPr>
              <w:pStyle w:val="59"/>
              <w:bidi w:val="0"/>
            </w:pPr>
            <w:r>
              <w:t>个人防护装备、担架、急救包、通讯用具、照明用具以及救援用的安全绳、带、运输工具</w:t>
            </w:r>
          </w:p>
        </w:tc>
        <w:tc>
          <w:tcPr>
            <w:tcW w:w="1024" w:type="dxa"/>
            <w:noWrap w:val="0"/>
            <w:vAlign w:val="center"/>
          </w:tcPr>
          <w:p w14:paraId="0BFC69CD">
            <w:pPr>
              <w:pStyle w:val="59"/>
              <w:bidi w:val="0"/>
              <w:jc w:val="center"/>
            </w:pPr>
            <w:r>
              <w:t>完成</w:t>
            </w:r>
          </w:p>
        </w:tc>
      </w:tr>
    </w:tbl>
    <w:p w14:paraId="59DC94B0">
      <w:pPr>
        <w:pStyle w:val="3"/>
        <w:bidi w:val="0"/>
      </w:pPr>
      <w:bookmarkStart w:id="267" w:name="bookmark45"/>
      <w:bookmarkEnd w:id="267"/>
      <w:bookmarkStart w:id="268" w:name="_Toc6370"/>
      <w:bookmarkStart w:id="269" w:name="_Toc31517"/>
      <w:r>
        <w:t>2.8变更设计</w:t>
      </w:r>
      <w:bookmarkEnd w:id="268"/>
      <w:bookmarkEnd w:id="269"/>
    </w:p>
    <w:p w14:paraId="2D8B3A34">
      <w:pPr>
        <w:bidi w:val="0"/>
        <w:rPr>
          <w:rFonts w:hint="default" w:ascii="Times New Roman" w:hAnsi="Times New Roman" w:eastAsia="宋体" w:cs="Times New Roman"/>
          <w:spacing w:val="-20"/>
          <w:kern w:val="0"/>
          <w:szCs w:val="28"/>
        </w:rPr>
      </w:pPr>
      <w:r>
        <w:t>矿山已按照《</w:t>
      </w:r>
      <w:r>
        <w:rPr>
          <w:rFonts w:hint="eastAsia"/>
          <w:lang w:eastAsia="zh-CN"/>
        </w:rPr>
        <w:t>广南县麦地大山建筑石料用石灰岩矿</w:t>
      </w:r>
      <w:r>
        <w:rPr>
          <w:rFonts w:hint="eastAsia"/>
          <w:lang w:val="en-US" w:eastAsia="zh-CN"/>
        </w:rPr>
        <w:t>5</w:t>
      </w:r>
      <w:r>
        <w:t>0万t/a露天采矿工程安全设施设计》（</w:t>
      </w:r>
      <w:r>
        <w:rPr>
          <w:rFonts w:hint="eastAsia"/>
          <w:lang w:val="en-US" w:eastAsia="zh-CN"/>
        </w:rPr>
        <w:t>云南增股</w:t>
      </w:r>
      <w:r>
        <w:t>勘察设计有限公司，202</w:t>
      </w:r>
      <w:r>
        <w:rPr>
          <w:rFonts w:hint="eastAsia"/>
          <w:lang w:val="en-US" w:eastAsia="zh-CN"/>
        </w:rPr>
        <w:t>5</w:t>
      </w:r>
      <w:r>
        <w:t>年12月）建设，</w:t>
      </w:r>
      <w:r>
        <w:rPr>
          <w:rFonts w:hint="eastAsia"/>
          <w:lang w:val="en-US" w:eastAsia="zh-CN"/>
        </w:rPr>
        <w:t>根据矿山内部初步检查和验收的实际情况和业主要求，</w:t>
      </w:r>
      <w:r>
        <w:rPr>
          <w:rFonts w:hint="eastAsia"/>
          <w:lang w:eastAsia="zh-CN"/>
        </w:rPr>
        <w:t>云南增股工程勘察设计有限公司</w:t>
      </w:r>
      <w:r>
        <w:rPr>
          <w:rFonts w:hint="default"/>
        </w:rPr>
        <w:t>202</w:t>
      </w:r>
      <w:r>
        <w:rPr>
          <w:rFonts w:hint="eastAsia"/>
          <w:lang w:val="en-US" w:eastAsia="zh-CN"/>
        </w:rPr>
        <w:t>6</w:t>
      </w:r>
      <w:r>
        <w:rPr>
          <w:rFonts w:hint="default"/>
        </w:rPr>
        <w:t>年</w:t>
      </w:r>
      <w:r>
        <w:rPr>
          <w:rFonts w:hint="eastAsia"/>
          <w:lang w:val="en-US" w:eastAsia="zh-CN"/>
        </w:rPr>
        <w:t>2</w:t>
      </w:r>
      <w:r>
        <w:rPr>
          <w:rFonts w:hint="default"/>
        </w:rPr>
        <w:t>月</w:t>
      </w:r>
      <w:r>
        <w:rPr>
          <w:rFonts w:hint="eastAsia"/>
          <w:lang w:val="en-US" w:eastAsia="zh-CN"/>
        </w:rPr>
        <w:t>4</w:t>
      </w:r>
      <w:r>
        <w:rPr>
          <w:rFonts w:hint="default"/>
        </w:rPr>
        <w:t>日</w:t>
      </w:r>
      <w:r>
        <w:rPr>
          <w:rFonts w:hint="eastAsia"/>
          <w:lang w:val="en-US" w:eastAsia="zh-CN"/>
        </w:rPr>
        <w:t>对</w:t>
      </w:r>
      <w:r>
        <w:rPr>
          <w:rFonts w:hint="eastAsia"/>
          <w:lang w:eastAsia="zh-CN"/>
        </w:rPr>
        <w:t>广南县麦地大山建筑石料用石灰岩矿50万t/a露天采矿工程安全设施</w:t>
      </w:r>
      <w:r>
        <w:rPr>
          <w:rFonts w:hint="eastAsia"/>
        </w:rPr>
        <w:t>基建</w:t>
      </w:r>
      <w:r>
        <w:rPr>
          <w:rFonts w:hint="eastAsia"/>
          <w:lang w:val="en-US" w:eastAsia="zh-CN"/>
        </w:rPr>
        <w:t>工程进行</w:t>
      </w:r>
      <w:r>
        <w:rPr>
          <w:rFonts w:hint="eastAsia"/>
        </w:rPr>
        <w:t>变更说明</w:t>
      </w:r>
      <w:r>
        <w:rPr>
          <w:rFonts w:hint="eastAsia"/>
          <w:lang w:eastAsia="zh-CN"/>
        </w:rPr>
        <w:t>：</w:t>
      </w:r>
      <w:r>
        <w:rPr>
          <w:rFonts w:hint="default"/>
        </w:rPr>
        <w:t>《</w:t>
      </w:r>
      <w:r>
        <w:rPr>
          <w:rFonts w:hint="eastAsia"/>
          <w:lang w:eastAsia="zh-CN"/>
        </w:rPr>
        <w:t>广南县麦地大山建筑石料用石灰岩矿50万t/a露天采矿工程</w:t>
      </w:r>
      <w:r>
        <w:rPr>
          <w:rFonts w:hint="default"/>
        </w:rPr>
        <w:t>安全设施设计》于202</w:t>
      </w:r>
      <w:r>
        <w:rPr>
          <w:rFonts w:hint="eastAsia"/>
          <w:lang w:val="en-US" w:eastAsia="zh-CN"/>
        </w:rPr>
        <w:t>5</w:t>
      </w:r>
      <w:r>
        <w:rPr>
          <w:rFonts w:hint="default"/>
        </w:rPr>
        <w:t>年</w:t>
      </w:r>
      <w:r>
        <w:rPr>
          <w:rFonts w:hint="eastAsia"/>
          <w:lang w:val="en-US" w:eastAsia="zh-CN"/>
        </w:rPr>
        <w:t>3</w:t>
      </w:r>
      <w:r>
        <w:rPr>
          <w:rFonts w:hint="default"/>
        </w:rPr>
        <w:t>月</w:t>
      </w:r>
      <w:r>
        <w:rPr>
          <w:rFonts w:hint="eastAsia"/>
          <w:lang w:val="en-US" w:eastAsia="zh-CN"/>
        </w:rPr>
        <w:t>8</w:t>
      </w:r>
      <w:r>
        <w:rPr>
          <w:rFonts w:hint="default"/>
        </w:rPr>
        <w:t>日经专家审查通过，并于202</w:t>
      </w:r>
      <w:r>
        <w:rPr>
          <w:rFonts w:hint="eastAsia"/>
          <w:lang w:val="en-US" w:eastAsia="zh-CN"/>
        </w:rPr>
        <w:t>5</w:t>
      </w:r>
      <w:r>
        <w:rPr>
          <w:rFonts w:hint="default"/>
        </w:rPr>
        <w:t>年</w:t>
      </w:r>
      <w:r>
        <w:rPr>
          <w:rFonts w:hint="eastAsia"/>
          <w:lang w:val="en-US" w:eastAsia="zh-CN"/>
        </w:rPr>
        <w:t>4</w:t>
      </w:r>
      <w:r>
        <w:rPr>
          <w:rFonts w:hint="default"/>
        </w:rPr>
        <w:t>月</w:t>
      </w:r>
      <w:r>
        <w:rPr>
          <w:rFonts w:hint="eastAsia"/>
          <w:lang w:val="en-US" w:eastAsia="zh-CN"/>
        </w:rPr>
        <w:t>23</w:t>
      </w:r>
      <w:r>
        <w:rPr>
          <w:rFonts w:hint="default"/>
        </w:rPr>
        <w:t>日</w:t>
      </w:r>
      <w:r>
        <w:rPr>
          <w:rFonts w:hint="default"/>
          <w:lang w:val="en-US" w:eastAsia="zh-CN"/>
        </w:rPr>
        <w:t>取得</w:t>
      </w:r>
      <w:r>
        <w:rPr>
          <w:rFonts w:hint="eastAsia"/>
          <w:lang w:val="en-US" w:eastAsia="zh-CN"/>
        </w:rPr>
        <w:t>广南县</w:t>
      </w:r>
      <w:r>
        <w:rPr>
          <w:rFonts w:hint="default"/>
        </w:rPr>
        <w:t>应急管理局</w:t>
      </w:r>
      <w:r>
        <w:rPr>
          <w:rFonts w:hint="eastAsia"/>
          <w:lang w:eastAsia="zh-CN"/>
        </w:rPr>
        <w:t>出具</w:t>
      </w:r>
      <w:r>
        <w:rPr>
          <w:rFonts w:hint="default"/>
          <w:lang w:val="en-US" w:eastAsia="zh-CN"/>
        </w:rPr>
        <w:t>的</w:t>
      </w:r>
      <w:r>
        <w:rPr>
          <w:rFonts w:hint="default"/>
        </w:rPr>
        <w:t>设计审批书</w:t>
      </w:r>
      <w:r>
        <w:rPr>
          <w:rFonts w:hint="default"/>
          <w:lang w:eastAsia="zh-CN"/>
        </w:rPr>
        <w:t>，</w:t>
      </w:r>
      <w:r>
        <w:rPr>
          <w:rFonts w:hint="default"/>
        </w:rPr>
        <w:t>并于202</w:t>
      </w:r>
      <w:r>
        <w:rPr>
          <w:rFonts w:hint="eastAsia"/>
          <w:lang w:val="en-US" w:eastAsia="zh-CN"/>
        </w:rPr>
        <w:t>5</w:t>
      </w:r>
      <w:r>
        <w:rPr>
          <w:rFonts w:hint="default"/>
        </w:rPr>
        <w:t>年</w:t>
      </w:r>
      <w:r>
        <w:rPr>
          <w:rFonts w:hint="eastAsia"/>
          <w:lang w:val="en-US" w:eastAsia="zh-CN"/>
        </w:rPr>
        <w:t>6</w:t>
      </w:r>
      <w:r>
        <w:rPr>
          <w:rFonts w:hint="default"/>
        </w:rPr>
        <w:t>月</w:t>
      </w:r>
      <w:r>
        <w:rPr>
          <w:rFonts w:hint="eastAsia"/>
          <w:lang w:val="en-US" w:eastAsia="zh-CN"/>
        </w:rPr>
        <w:t>19</w:t>
      </w:r>
      <w:r>
        <w:rPr>
          <w:rFonts w:hint="default"/>
        </w:rPr>
        <w:t>日</w:t>
      </w:r>
      <w:r>
        <w:rPr>
          <w:rFonts w:hint="default"/>
          <w:lang w:val="en-US" w:eastAsia="zh-CN"/>
        </w:rPr>
        <w:t>取得</w:t>
      </w:r>
      <w:r>
        <w:rPr>
          <w:rFonts w:hint="eastAsia"/>
          <w:lang w:val="en-US" w:eastAsia="zh-CN"/>
        </w:rPr>
        <w:t>广南县</w:t>
      </w:r>
      <w:r>
        <w:rPr>
          <w:rFonts w:hint="default"/>
        </w:rPr>
        <w:t>应急管理局</w:t>
      </w:r>
      <w:r>
        <w:rPr>
          <w:rFonts w:hint="eastAsia"/>
          <w:lang w:eastAsia="zh-CN"/>
        </w:rPr>
        <w:t>出具</w:t>
      </w:r>
      <w:r>
        <w:rPr>
          <w:rFonts w:hint="default"/>
          <w:lang w:val="en-US" w:eastAsia="zh-CN"/>
        </w:rPr>
        <w:t>的</w:t>
      </w:r>
      <w:r>
        <w:rPr>
          <w:rFonts w:hint="eastAsia"/>
          <w:lang w:val="en-US" w:eastAsia="zh-CN"/>
        </w:rPr>
        <w:t>同意基建施工批复意见</w:t>
      </w:r>
      <w:r>
        <w:rPr>
          <w:rFonts w:hint="default"/>
          <w:lang w:eastAsia="zh-CN"/>
        </w:rPr>
        <w:t>，</w:t>
      </w:r>
      <w:r>
        <w:rPr>
          <w:rFonts w:hint="default"/>
          <w:lang w:val="en-US" w:eastAsia="zh-CN"/>
        </w:rPr>
        <w:t>企业开始进行基建工作</w:t>
      </w:r>
      <w:r>
        <w:rPr>
          <w:rFonts w:hint="default"/>
          <w:lang w:eastAsia="zh-CN"/>
        </w:rPr>
        <w:t>。</w:t>
      </w:r>
      <w:r>
        <w:rPr>
          <w:rFonts w:hint="eastAsia"/>
          <w:lang w:val="en-US" w:eastAsia="zh-CN"/>
        </w:rPr>
        <w:t>由于矿山为已有矿山，矿山剥离覆土量少，矿山基建期间产生的废土仅够上部形成的安全平台进行覆土恢复治理，未产生多余的废土，矿山暂不建设临时排土场。如矿山在后期生产活动中产生多余废土，应按照设计建设临时排土场，验收合格后再使用。</w:t>
      </w:r>
      <w:r>
        <w:rPr>
          <w:rFonts w:hint="default"/>
        </w:rPr>
        <w:t>根据</w:t>
      </w:r>
      <w:r>
        <w:rPr>
          <w:rFonts w:hint="default"/>
          <w:lang w:val="en-US" w:eastAsia="zh-CN"/>
        </w:rPr>
        <w:t>国家矿山安全监察局关于印发《非煤矿山建设项目安全设施重大变更范围》的通知</w:t>
      </w:r>
      <w:r>
        <w:rPr>
          <w:rFonts w:hint="default"/>
        </w:rPr>
        <w:t>（</w:t>
      </w:r>
      <w:r>
        <w:rPr>
          <w:rFonts w:hint="default"/>
          <w:lang w:val="en-US" w:eastAsia="zh-CN"/>
        </w:rPr>
        <w:t>矿安〔2023〕147号</w:t>
      </w:r>
      <w:r>
        <w:rPr>
          <w:rFonts w:hint="default"/>
        </w:rPr>
        <w:t>），以上变更不属于重大变更范围。</w:t>
      </w:r>
    </w:p>
    <w:p w14:paraId="6EF2722D">
      <w:pPr>
        <w:bidi w:val="0"/>
      </w:pPr>
      <w:r>
        <w:rPr>
          <w:rFonts w:hint="eastAsia"/>
          <w:lang w:val="en-US" w:eastAsia="zh-CN"/>
        </w:rPr>
        <w:t>基建期间，矿山未开展排土场及排土场运输道路施工和建设</w:t>
      </w:r>
      <w:r>
        <w:t>。</w:t>
      </w:r>
    </w:p>
    <w:p w14:paraId="679DB4C9">
      <w:r>
        <w:br w:type="page"/>
      </w:r>
    </w:p>
    <w:p w14:paraId="7837081B">
      <w:pPr>
        <w:pStyle w:val="3"/>
      </w:pPr>
      <w:bookmarkStart w:id="270" w:name="_Toc2104"/>
      <w:bookmarkStart w:id="271" w:name="_Toc30555"/>
      <w:r>
        <w:t>2.</w:t>
      </w:r>
      <w:r>
        <w:rPr>
          <w:rFonts w:hint="eastAsia"/>
          <w:lang w:val="en-US" w:eastAsia="zh-CN"/>
        </w:rPr>
        <w:t>9</w:t>
      </w:r>
      <w:r>
        <w:t>矿山建设情况图片</w:t>
      </w:r>
      <w:bookmarkEnd w:id="266"/>
      <w:bookmarkEnd w:id="270"/>
      <w:bookmarkEnd w:id="271"/>
    </w:p>
    <w:tbl>
      <w:tblPr>
        <w:tblStyle w:val="36"/>
        <w:tblW w:w="0" w:type="auto"/>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autofit"/>
        <w:tblCellMar>
          <w:top w:w="0" w:type="dxa"/>
          <w:left w:w="108" w:type="dxa"/>
          <w:bottom w:w="0" w:type="dxa"/>
          <w:right w:w="108" w:type="dxa"/>
        </w:tblCellMar>
      </w:tblPr>
      <w:tblGrid>
        <w:gridCol w:w="9571"/>
      </w:tblGrid>
      <w:tr w14:paraId="13D9DB4A">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76" w:hRule="atLeast"/>
        </w:trPr>
        <w:tc>
          <w:tcPr>
            <w:tcW w:w="9571" w:type="dxa"/>
            <w:tcBorders>
              <w:tl2br w:val="nil"/>
              <w:tr2bl w:val="nil"/>
            </w:tcBorders>
            <w:vAlign w:val="top"/>
          </w:tcPr>
          <w:p w14:paraId="01FB84DC">
            <w:r>
              <w:rPr>
                <w:rFonts w:hint="eastAsia"/>
                <w:lang w:val="en-US" w:eastAsia="zh-CN"/>
              </w:rPr>
              <w:t>1、露天采场</w:t>
            </w:r>
          </w:p>
        </w:tc>
      </w:tr>
      <w:tr w14:paraId="751DE59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6" w:hRule="atLeast"/>
        </w:trPr>
        <w:tc>
          <w:tcPr>
            <w:tcW w:w="9571" w:type="dxa"/>
            <w:tcBorders>
              <w:tl2br w:val="nil"/>
              <w:tr2bl w:val="nil"/>
            </w:tcBorders>
            <w:vAlign w:val="top"/>
          </w:tcPr>
          <w:p w14:paraId="2A52880A">
            <w:pPr>
              <w:bidi w:val="0"/>
              <w:ind w:left="0" w:leftChars="0" w:firstLine="0" w:firstLineChars="0"/>
              <w:jc w:val="both"/>
              <w:rPr>
                <w:rFonts w:hint="eastAsia" w:eastAsia="宋体"/>
                <w:lang w:eastAsia="zh-CN"/>
              </w:rPr>
            </w:pPr>
            <w:r>
              <w:rPr>
                <w:rFonts w:hint="eastAsia" w:eastAsia="宋体"/>
                <w:lang w:eastAsia="zh-CN"/>
              </w:rPr>
              <w:drawing>
                <wp:inline distT="0" distB="0" distL="114300" distR="114300">
                  <wp:extent cx="5932805" cy="7913370"/>
                  <wp:effectExtent l="0" t="0" r="10795" b="11430"/>
                  <wp:docPr id="10" name="图片 10" descr="AAAAAAAA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AAAAAAAAA"/>
                          <pic:cNvPicPr>
                            <a:picLocks noChangeAspect="1"/>
                          </pic:cNvPicPr>
                        </pic:nvPicPr>
                        <pic:blipFill>
                          <a:blip r:embed="rId23"/>
                          <a:stretch>
                            <a:fillRect/>
                          </a:stretch>
                        </pic:blipFill>
                        <pic:spPr>
                          <a:xfrm>
                            <a:off x="0" y="0"/>
                            <a:ext cx="5932805" cy="7913370"/>
                          </a:xfrm>
                          <a:prstGeom prst="rect">
                            <a:avLst/>
                          </a:prstGeom>
                        </pic:spPr>
                      </pic:pic>
                    </a:graphicData>
                  </a:graphic>
                </wp:inline>
              </w:drawing>
            </w:r>
          </w:p>
          <w:p w14:paraId="53599A03">
            <w:pPr>
              <w:bidi w:val="0"/>
              <w:jc w:val="center"/>
              <w:rPr>
                <w:rFonts w:hint="eastAsia" w:eastAsia="宋体"/>
                <w:lang w:val="en-US" w:eastAsia="zh-CN"/>
              </w:rPr>
            </w:pPr>
            <w:r>
              <w:t>图</w:t>
            </w:r>
            <w:r>
              <w:rPr>
                <w:rFonts w:hint="eastAsia"/>
                <w:lang w:val="en-US" w:eastAsia="zh-CN"/>
              </w:rPr>
              <w:t>2.9-1   基建</w:t>
            </w:r>
            <w:r>
              <w:t>平台</w:t>
            </w:r>
          </w:p>
        </w:tc>
      </w:tr>
      <w:tr w14:paraId="6B47B2E4">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916" w:hRule="atLeast"/>
        </w:trPr>
        <w:tc>
          <w:tcPr>
            <w:tcW w:w="9571" w:type="dxa"/>
            <w:tcBorders>
              <w:tl2br w:val="nil"/>
              <w:tr2bl w:val="nil"/>
            </w:tcBorders>
            <w:vAlign w:val="top"/>
          </w:tcPr>
          <w:p w14:paraId="7F6ABF3A">
            <w:pPr>
              <w:bidi w:val="0"/>
              <w:ind w:left="0" w:leftChars="0" w:firstLine="0" w:firstLineChars="0"/>
              <w:jc w:val="both"/>
              <w:rPr>
                <w:rFonts w:hint="eastAsia" w:eastAsia="宋体"/>
                <w:lang w:eastAsia="zh-CN"/>
              </w:rPr>
            </w:pPr>
            <w:r>
              <w:rPr>
                <w:rFonts w:hint="eastAsia" w:eastAsia="宋体"/>
                <w:lang w:eastAsia="zh-CN"/>
              </w:rPr>
              <w:drawing>
                <wp:inline distT="0" distB="0" distL="114300" distR="114300">
                  <wp:extent cx="5925820" cy="3620770"/>
                  <wp:effectExtent l="0" t="0" r="17780" b="17780"/>
                  <wp:docPr id="1" name="图片 1" descr="2d302726-8a67-4902-bb7d-9cd39a36cdf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2d302726-8a67-4902-bb7d-9cd39a36cdf5"/>
                          <pic:cNvPicPr>
                            <a:picLocks noChangeAspect="1"/>
                          </pic:cNvPicPr>
                        </pic:nvPicPr>
                        <pic:blipFill>
                          <a:blip r:embed="rId24"/>
                          <a:stretch>
                            <a:fillRect/>
                          </a:stretch>
                        </pic:blipFill>
                        <pic:spPr>
                          <a:xfrm>
                            <a:off x="0" y="0"/>
                            <a:ext cx="5925820" cy="3620770"/>
                          </a:xfrm>
                          <a:prstGeom prst="rect">
                            <a:avLst/>
                          </a:prstGeom>
                        </pic:spPr>
                      </pic:pic>
                    </a:graphicData>
                  </a:graphic>
                </wp:inline>
              </w:drawing>
            </w:r>
          </w:p>
          <w:p w14:paraId="3F4DE6B8">
            <w:pPr>
              <w:bidi w:val="0"/>
              <w:jc w:val="center"/>
              <w:rPr>
                <w:rFonts w:hint="default" w:eastAsia="宋体"/>
                <w:lang w:val="en-US" w:eastAsia="zh-CN"/>
              </w:rPr>
            </w:pPr>
            <w:r>
              <w:t>图</w:t>
            </w:r>
            <w:r>
              <w:rPr>
                <w:rFonts w:hint="eastAsia"/>
                <w:lang w:val="en-US" w:eastAsia="zh-CN"/>
              </w:rPr>
              <w:t xml:space="preserve">2.9-2  </w:t>
            </w:r>
            <w:r>
              <w:t>平台</w:t>
            </w:r>
            <w:r>
              <w:rPr>
                <w:rFonts w:hint="eastAsia"/>
                <w:lang w:val="en-US" w:eastAsia="zh-CN"/>
              </w:rPr>
              <w:t>内侧排水沟</w:t>
            </w:r>
          </w:p>
        </w:tc>
      </w:tr>
      <w:tr w14:paraId="5B80ADAD">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21" w:hRule="atLeast"/>
        </w:trPr>
        <w:tc>
          <w:tcPr>
            <w:tcW w:w="9571" w:type="dxa"/>
            <w:tcBorders>
              <w:tl2br w:val="nil"/>
              <w:tr2bl w:val="nil"/>
            </w:tcBorders>
            <w:vAlign w:val="top"/>
          </w:tcPr>
          <w:p w14:paraId="25DD2F84">
            <w:pPr>
              <w:bidi w:val="0"/>
              <w:jc w:val="both"/>
              <w:rPr>
                <w:rFonts w:hint="default" w:eastAsia="宋体"/>
                <w:lang w:val="en-US" w:eastAsia="zh-CN"/>
              </w:rPr>
            </w:pPr>
            <w:r>
              <w:rPr>
                <w:rFonts w:hint="eastAsia"/>
                <w:lang w:val="en-US" w:eastAsia="zh-CN"/>
              </w:rPr>
              <w:t>2、铲装、运输系统</w:t>
            </w:r>
          </w:p>
        </w:tc>
      </w:tr>
      <w:tr w14:paraId="36B71E8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61" w:hRule="atLeast"/>
        </w:trPr>
        <w:tc>
          <w:tcPr>
            <w:tcW w:w="9571" w:type="dxa"/>
            <w:tcBorders>
              <w:tl2br w:val="nil"/>
              <w:tr2bl w:val="nil"/>
            </w:tcBorders>
            <w:vAlign w:val="top"/>
          </w:tcPr>
          <w:p w14:paraId="62DC9DFD">
            <w:pPr>
              <w:pStyle w:val="29"/>
              <w:keepNext w:val="0"/>
              <w:keepLines w:val="0"/>
              <w:widowControl/>
              <w:suppressLineNumbers w:val="0"/>
              <w:spacing w:beforeAutospacing="1" w:afterAutospacing="1"/>
              <w:ind w:left="0" w:leftChars="0" w:firstLine="0" w:firstLineChars="0"/>
              <w:rPr>
                <w:rFonts w:hint="eastAsia" w:eastAsia="宋体"/>
                <w:lang w:eastAsia="zh-CN"/>
              </w:rPr>
            </w:pPr>
            <w:r>
              <w:rPr>
                <w:rFonts w:hint="eastAsia"/>
                <w:lang w:val="en-US" w:eastAsia="zh-CN"/>
              </w:rPr>
              <w:drawing>
                <wp:inline distT="0" distB="0" distL="114300" distR="114300">
                  <wp:extent cx="6000750" cy="3688080"/>
                  <wp:effectExtent l="0" t="0" r="0" b="7620"/>
                  <wp:docPr id="5" name="图片 5" descr="85f28314733201c3c596068f941cc7e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5" descr="85f28314733201c3c596068f941cc7e9"/>
                          <pic:cNvPicPr>
                            <a:picLocks noChangeAspect="1"/>
                          </pic:cNvPicPr>
                        </pic:nvPicPr>
                        <pic:blipFill>
                          <a:blip r:embed="rId25"/>
                          <a:stretch>
                            <a:fillRect/>
                          </a:stretch>
                        </pic:blipFill>
                        <pic:spPr>
                          <a:xfrm>
                            <a:off x="0" y="0"/>
                            <a:ext cx="6000750" cy="3688080"/>
                          </a:xfrm>
                          <a:prstGeom prst="rect">
                            <a:avLst/>
                          </a:prstGeom>
                        </pic:spPr>
                      </pic:pic>
                    </a:graphicData>
                  </a:graphic>
                </wp:inline>
              </w:drawing>
            </w:r>
          </w:p>
          <w:p w14:paraId="5534749F">
            <w:pPr>
              <w:bidi w:val="0"/>
              <w:jc w:val="center"/>
              <w:rPr>
                <w:rFonts w:hint="default" w:eastAsia="宋体"/>
                <w:lang w:val="en-US" w:eastAsia="zh-CN"/>
              </w:rPr>
            </w:pPr>
            <w:r>
              <w:rPr>
                <w:rFonts w:hint="eastAsia"/>
                <w:lang w:val="en-US" w:eastAsia="zh-CN"/>
              </w:rPr>
              <w:t>图2.9-3运输道路</w:t>
            </w:r>
          </w:p>
        </w:tc>
      </w:tr>
      <w:tr w14:paraId="7FF7D0A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0" w:hRule="atLeast"/>
        </w:trPr>
        <w:tc>
          <w:tcPr>
            <w:tcW w:w="9571" w:type="dxa"/>
            <w:tcBorders>
              <w:tl2br w:val="nil"/>
              <w:tr2bl w:val="nil"/>
            </w:tcBorders>
            <w:vAlign w:val="top"/>
          </w:tcPr>
          <w:p w14:paraId="12C9F5B9">
            <w:pPr>
              <w:bidi w:val="0"/>
              <w:ind w:left="0" w:leftChars="0" w:firstLine="0" w:firstLineChars="0"/>
              <w:rPr>
                <w:rFonts w:hint="eastAsia"/>
                <w:lang w:val="en-US" w:eastAsia="zh-CN"/>
              </w:rPr>
            </w:pPr>
            <w:r>
              <w:rPr>
                <w:rFonts w:hint="eastAsia"/>
                <w:lang w:val="en-US" w:eastAsia="zh-CN"/>
              </w:rPr>
              <w:drawing>
                <wp:inline distT="0" distB="0" distL="114300" distR="114300">
                  <wp:extent cx="5910580" cy="3670935"/>
                  <wp:effectExtent l="0" t="0" r="13970" b="5715"/>
                  <wp:docPr id="29" name="图片 29" descr="CIMG27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CIMG2783"/>
                          <pic:cNvPicPr>
                            <a:picLocks noChangeAspect="1"/>
                          </pic:cNvPicPr>
                        </pic:nvPicPr>
                        <pic:blipFill>
                          <a:blip r:embed="rId26"/>
                          <a:stretch>
                            <a:fillRect/>
                          </a:stretch>
                        </pic:blipFill>
                        <pic:spPr>
                          <a:xfrm>
                            <a:off x="0" y="0"/>
                            <a:ext cx="5910580" cy="3670935"/>
                          </a:xfrm>
                          <a:prstGeom prst="rect">
                            <a:avLst/>
                          </a:prstGeom>
                        </pic:spPr>
                      </pic:pic>
                    </a:graphicData>
                  </a:graphic>
                </wp:inline>
              </w:drawing>
            </w:r>
          </w:p>
          <w:p w14:paraId="4FC714EB">
            <w:pPr>
              <w:bidi w:val="0"/>
              <w:ind w:left="0" w:leftChars="0" w:firstLine="0" w:firstLineChars="0"/>
              <w:jc w:val="center"/>
              <w:rPr>
                <w:rFonts w:hint="default"/>
                <w:lang w:val="en-US"/>
              </w:rPr>
            </w:pPr>
            <w:r>
              <w:rPr>
                <w:rFonts w:hint="eastAsia"/>
                <w:lang w:val="en-US" w:eastAsia="zh-CN"/>
              </w:rPr>
              <w:t>图2.9-4铲车</w:t>
            </w:r>
          </w:p>
        </w:tc>
      </w:tr>
      <w:tr w14:paraId="6845547C">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0" w:hRule="atLeast"/>
        </w:trPr>
        <w:tc>
          <w:tcPr>
            <w:tcW w:w="9571" w:type="dxa"/>
            <w:tcBorders>
              <w:tl2br w:val="nil"/>
              <w:tr2bl w:val="nil"/>
            </w:tcBorders>
            <w:vAlign w:val="top"/>
          </w:tcPr>
          <w:p w14:paraId="3D74B69B">
            <w:pPr>
              <w:bidi w:val="0"/>
              <w:ind w:left="0" w:leftChars="0" w:firstLine="0" w:firstLineChars="0"/>
              <w:rPr>
                <w:rFonts w:hint="eastAsia"/>
                <w:lang w:val="en-US" w:eastAsia="zh-CN"/>
              </w:rPr>
            </w:pPr>
            <w:r>
              <w:rPr>
                <w:rFonts w:hint="eastAsia"/>
                <w:lang w:val="en-US" w:eastAsia="zh-CN"/>
              </w:rPr>
              <w:drawing>
                <wp:inline distT="0" distB="0" distL="114300" distR="114300">
                  <wp:extent cx="5930900" cy="4058920"/>
                  <wp:effectExtent l="0" t="0" r="12700" b="17780"/>
                  <wp:docPr id="30" name="图片 30" descr="微信图片_20260205122717_100_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 30" descr="微信图片_20260205122717_100_1073"/>
                          <pic:cNvPicPr>
                            <a:picLocks noChangeAspect="1"/>
                          </pic:cNvPicPr>
                        </pic:nvPicPr>
                        <pic:blipFill>
                          <a:blip r:embed="rId27"/>
                          <a:stretch>
                            <a:fillRect/>
                          </a:stretch>
                        </pic:blipFill>
                        <pic:spPr>
                          <a:xfrm>
                            <a:off x="0" y="0"/>
                            <a:ext cx="5930900" cy="4058920"/>
                          </a:xfrm>
                          <a:prstGeom prst="rect">
                            <a:avLst/>
                          </a:prstGeom>
                        </pic:spPr>
                      </pic:pic>
                    </a:graphicData>
                  </a:graphic>
                </wp:inline>
              </w:drawing>
            </w:r>
          </w:p>
          <w:p w14:paraId="38E7D4BB">
            <w:pPr>
              <w:bidi w:val="0"/>
              <w:jc w:val="center"/>
              <w:rPr>
                <w:rFonts w:hint="default"/>
                <w:lang w:val="en-US" w:eastAsia="zh-CN"/>
              </w:rPr>
            </w:pPr>
            <w:r>
              <w:rPr>
                <w:rFonts w:hint="eastAsia"/>
                <w:lang w:val="en-US" w:eastAsia="zh-CN"/>
              </w:rPr>
              <w:t>图2.9-5挖机</w:t>
            </w:r>
          </w:p>
        </w:tc>
      </w:tr>
      <w:tr w14:paraId="64A7066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60" w:hRule="atLeast"/>
        </w:trPr>
        <w:tc>
          <w:tcPr>
            <w:tcW w:w="9571" w:type="dxa"/>
            <w:tcBorders>
              <w:tl2br w:val="nil"/>
              <w:tr2bl w:val="nil"/>
            </w:tcBorders>
            <w:vAlign w:val="top"/>
          </w:tcPr>
          <w:p w14:paraId="04FD66C3">
            <w:pPr>
              <w:bidi w:val="0"/>
              <w:ind w:left="0" w:leftChars="0" w:firstLine="0" w:firstLineChars="0"/>
              <w:jc w:val="center"/>
              <w:rPr>
                <w:rFonts w:hint="eastAsia"/>
                <w:lang w:val="en-US" w:eastAsia="zh-CN"/>
              </w:rPr>
            </w:pPr>
            <w:r>
              <w:rPr>
                <w:rFonts w:hint="eastAsia"/>
                <w:lang w:val="en-US" w:eastAsia="zh-CN"/>
              </w:rPr>
              <w:drawing>
                <wp:inline distT="0" distB="0" distL="114300" distR="114300">
                  <wp:extent cx="5930265" cy="3950335"/>
                  <wp:effectExtent l="0" t="0" r="13335" b="12065"/>
                  <wp:docPr id="31" name="图片 31" descr="微信图片_20260205122824_108_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 descr="微信图片_20260205122824_108_1073"/>
                          <pic:cNvPicPr>
                            <a:picLocks noChangeAspect="1"/>
                          </pic:cNvPicPr>
                        </pic:nvPicPr>
                        <pic:blipFill>
                          <a:blip r:embed="rId28"/>
                          <a:stretch>
                            <a:fillRect/>
                          </a:stretch>
                        </pic:blipFill>
                        <pic:spPr>
                          <a:xfrm>
                            <a:off x="0" y="0"/>
                            <a:ext cx="5930265" cy="3950335"/>
                          </a:xfrm>
                          <a:prstGeom prst="rect">
                            <a:avLst/>
                          </a:prstGeom>
                        </pic:spPr>
                      </pic:pic>
                    </a:graphicData>
                  </a:graphic>
                </wp:inline>
              </w:drawing>
            </w:r>
          </w:p>
          <w:p w14:paraId="25E2171A">
            <w:pPr>
              <w:bidi w:val="0"/>
              <w:jc w:val="center"/>
              <w:rPr>
                <w:rFonts w:hint="default"/>
                <w:lang w:val="en-US" w:eastAsia="zh-CN"/>
              </w:rPr>
            </w:pPr>
            <w:r>
              <w:rPr>
                <w:rFonts w:hint="eastAsia"/>
                <w:lang w:val="en-US" w:eastAsia="zh-CN"/>
              </w:rPr>
              <w:t>图2.9-6矿用自卸卡车</w:t>
            </w:r>
          </w:p>
        </w:tc>
      </w:tr>
      <w:tr w14:paraId="703FF7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9571" w:type="dxa"/>
            <w:tcBorders>
              <w:tl2br w:val="nil"/>
              <w:tr2bl w:val="nil"/>
            </w:tcBorders>
            <w:vAlign w:val="top"/>
          </w:tcPr>
          <w:p w14:paraId="3CC7EED3">
            <w:pPr>
              <w:bidi w:val="0"/>
              <w:jc w:val="both"/>
              <w:rPr>
                <w:rFonts w:hint="default"/>
                <w:lang w:val="en-US" w:eastAsia="zh-CN"/>
              </w:rPr>
            </w:pPr>
            <w:r>
              <w:rPr>
                <w:rFonts w:hint="eastAsia"/>
                <w:lang w:val="en-US" w:eastAsia="zh-CN"/>
              </w:rPr>
              <w:t>3、排水系统</w:t>
            </w:r>
          </w:p>
        </w:tc>
      </w:tr>
      <w:tr w14:paraId="505CAF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9571" w:type="dxa"/>
            <w:tcBorders>
              <w:tl2br w:val="nil"/>
              <w:tr2bl w:val="nil"/>
            </w:tcBorders>
            <w:vAlign w:val="top"/>
          </w:tcPr>
          <w:p w14:paraId="2394363F">
            <w:pPr>
              <w:pStyle w:val="29"/>
              <w:keepNext w:val="0"/>
              <w:keepLines w:val="0"/>
              <w:widowControl/>
              <w:suppressLineNumbers w:val="0"/>
              <w:spacing w:beforeAutospacing="1" w:afterAutospacing="1"/>
              <w:ind w:left="0" w:leftChars="0" w:firstLine="0" w:firstLineChars="0"/>
              <w:rPr>
                <w:rFonts w:hint="eastAsia"/>
                <w:lang w:val="en-US" w:eastAsia="zh-CN"/>
              </w:rPr>
            </w:pPr>
            <w:r>
              <w:rPr>
                <w:rFonts w:hint="eastAsia" w:eastAsia="宋体"/>
                <w:lang w:eastAsia="zh-CN"/>
              </w:rPr>
              <w:drawing>
                <wp:inline distT="0" distB="0" distL="114300" distR="114300">
                  <wp:extent cx="5935345" cy="3788410"/>
                  <wp:effectExtent l="0" t="0" r="8255" b="2540"/>
                  <wp:docPr id="7" name="图片 7" descr="3d6ffa8a-6738-45d6-9339-b92bd150c55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3d6ffa8a-6738-45d6-9339-b92bd150c55e"/>
                          <pic:cNvPicPr>
                            <a:picLocks noChangeAspect="1"/>
                          </pic:cNvPicPr>
                        </pic:nvPicPr>
                        <pic:blipFill>
                          <a:blip r:embed="rId29"/>
                          <a:stretch>
                            <a:fillRect/>
                          </a:stretch>
                        </pic:blipFill>
                        <pic:spPr>
                          <a:xfrm>
                            <a:off x="0" y="0"/>
                            <a:ext cx="5935345" cy="3788410"/>
                          </a:xfrm>
                          <a:prstGeom prst="rect">
                            <a:avLst/>
                          </a:prstGeom>
                        </pic:spPr>
                      </pic:pic>
                    </a:graphicData>
                  </a:graphic>
                </wp:inline>
              </w:drawing>
            </w:r>
          </w:p>
        </w:tc>
      </w:tr>
      <w:tr w14:paraId="198FB70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9571" w:type="dxa"/>
            <w:tcBorders>
              <w:tl2br w:val="nil"/>
              <w:tr2bl w:val="nil"/>
            </w:tcBorders>
            <w:vAlign w:val="top"/>
          </w:tcPr>
          <w:p w14:paraId="758F22D8">
            <w:pPr>
              <w:bidi w:val="0"/>
              <w:ind w:left="0" w:leftChars="0" w:firstLine="0" w:firstLineChars="0"/>
              <w:jc w:val="center"/>
              <w:rPr>
                <w:rFonts w:hint="default"/>
                <w:lang w:val="en-US" w:eastAsia="zh-CN"/>
              </w:rPr>
            </w:pPr>
            <w:r>
              <w:rPr>
                <w:rFonts w:hint="eastAsia"/>
                <w:lang w:val="en-US" w:eastAsia="zh-CN"/>
              </w:rPr>
              <w:t>图2.9-7  平台排水沟</w:t>
            </w:r>
          </w:p>
        </w:tc>
      </w:tr>
      <w:tr w14:paraId="4AC1250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96" w:hRule="atLeast"/>
        </w:trPr>
        <w:tc>
          <w:tcPr>
            <w:tcW w:w="9571" w:type="dxa"/>
            <w:tcBorders>
              <w:tl2br w:val="nil"/>
              <w:tr2bl w:val="nil"/>
            </w:tcBorders>
            <w:vAlign w:val="top"/>
          </w:tcPr>
          <w:p w14:paraId="2E5EB2FE">
            <w:pPr>
              <w:bidi w:val="0"/>
              <w:jc w:val="both"/>
              <w:rPr>
                <w:rFonts w:hint="default" w:eastAsia="宋体"/>
                <w:lang w:val="en-US" w:eastAsia="zh-CN"/>
              </w:rPr>
            </w:pPr>
            <w:r>
              <w:rPr>
                <w:rFonts w:hint="eastAsia"/>
                <w:lang w:val="en-US" w:eastAsia="zh-CN"/>
              </w:rPr>
              <w:t>4、供电系统</w:t>
            </w:r>
          </w:p>
        </w:tc>
      </w:tr>
      <w:tr w14:paraId="2231E19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91" w:hRule="atLeast"/>
        </w:trPr>
        <w:tc>
          <w:tcPr>
            <w:tcW w:w="9571" w:type="dxa"/>
            <w:tcBorders>
              <w:tl2br w:val="nil"/>
              <w:tr2bl w:val="nil"/>
            </w:tcBorders>
            <w:vAlign w:val="top"/>
          </w:tcPr>
          <w:p w14:paraId="2CFA894D">
            <w:pPr>
              <w:bidi w:val="0"/>
              <w:ind w:left="0" w:leftChars="0" w:firstLine="0" w:firstLineChars="0"/>
              <w:jc w:val="both"/>
              <w:rPr>
                <w:rFonts w:hint="eastAsia" w:eastAsia="宋体"/>
                <w:lang w:eastAsia="zh-CN"/>
              </w:rPr>
            </w:pPr>
            <w:r>
              <w:rPr>
                <w:rFonts w:hint="eastAsia" w:eastAsia="宋体"/>
                <w:lang w:eastAsia="zh-CN"/>
              </w:rPr>
              <w:drawing>
                <wp:inline distT="0" distB="0" distL="114300" distR="114300">
                  <wp:extent cx="5774055" cy="3829685"/>
                  <wp:effectExtent l="0" t="0" r="17145" b="18415"/>
                  <wp:docPr id="8" name="图片 8" descr="微信图片_20260205122816_106_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微信图片_20260205122816_106_1073"/>
                          <pic:cNvPicPr>
                            <a:picLocks noChangeAspect="1"/>
                          </pic:cNvPicPr>
                        </pic:nvPicPr>
                        <pic:blipFill>
                          <a:blip r:embed="rId30"/>
                          <a:stretch>
                            <a:fillRect/>
                          </a:stretch>
                        </pic:blipFill>
                        <pic:spPr>
                          <a:xfrm>
                            <a:off x="0" y="0"/>
                            <a:ext cx="5774055" cy="3829685"/>
                          </a:xfrm>
                          <a:prstGeom prst="rect">
                            <a:avLst/>
                          </a:prstGeom>
                        </pic:spPr>
                      </pic:pic>
                    </a:graphicData>
                  </a:graphic>
                </wp:inline>
              </w:drawing>
            </w:r>
          </w:p>
          <w:p w14:paraId="0BE8209B">
            <w:pPr>
              <w:bidi w:val="0"/>
              <w:jc w:val="center"/>
              <w:rPr>
                <w:rFonts w:hint="default"/>
                <w:lang w:val="en-US"/>
              </w:rPr>
            </w:pPr>
            <w:r>
              <w:rPr>
                <w:rFonts w:hint="eastAsia"/>
                <w:lang w:val="en-US" w:eastAsia="zh-CN"/>
              </w:rPr>
              <w:t>图2.9-8  变压器</w:t>
            </w:r>
          </w:p>
        </w:tc>
      </w:tr>
      <w:tr w14:paraId="566774F6">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9571" w:type="dxa"/>
            <w:tcBorders>
              <w:tl2br w:val="nil"/>
              <w:tr2bl w:val="nil"/>
            </w:tcBorders>
            <w:vAlign w:val="top"/>
          </w:tcPr>
          <w:p w14:paraId="6042476C">
            <w:pPr>
              <w:pStyle w:val="29"/>
              <w:keepNext w:val="0"/>
              <w:keepLines w:val="0"/>
              <w:widowControl/>
              <w:suppressLineNumbers w:val="0"/>
              <w:tabs>
                <w:tab w:val="left" w:pos="328"/>
              </w:tabs>
              <w:spacing w:beforeAutospacing="1" w:afterAutospacing="1"/>
              <w:ind w:left="0" w:leftChars="0" w:firstLine="0" w:firstLineChars="0"/>
              <w:jc w:val="center"/>
              <w:rPr>
                <w:rFonts w:hint="default"/>
                <w:lang w:val="en-US"/>
              </w:rPr>
            </w:pPr>
            <w:r>
              <w:rPr>
                <w:rFonts w:hint="eastAsia" w:eastAsia="宋体"/>
                <w:lang w:eastAsia="zh-CN"/>
              </w:rPr>
              <w:drawing>
                <wp:inline distT="0" distB="0" distL="114300" distR="114300">
                  <wp:extent cx="5930265" cy="3985260"/>
                  <wp:effectExtent l="0" t="0" r="13335" b="15240"/>
                  <wp:docPr id="32" name="图片 32" descr="微信图片_20260205122832_110_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微信图片_20260205122832_110_1073"/>
                          <pic:cNvPicPr>
                            <a:picLocks noChangeAspect="1"/>
                          </pic:cNvPicPr>
                        </pic:nvPicPr>
                        <pic:blipFill>
                          <a:blip r:embed="rId31"/>
                          <a:stretch>
                            <a:fillRect/>
                          </a:stretch>
                        </pic:blipFill>
                        <pic:spPr>
                          <a:xfrm>
                            <a:off x="0" y="0"/>
                            <a:ext cx="5930265" cy="3985260"/>
                          </a:xfrm>
                          <a:prstGeom prst="rect">
                            <a:avLst/>
                          </a:prstGeom>
                        </pic:spPr>
                      </pic:pic>
                    </a:graphicData>
                  </a:graphic>
                </wp:inline>
              </w:drawing>
            </w:r>
            <w:r>
              <w:rPr>
                <w:rFonts w:hint="eastAsia"/>
                <w:lang w:val="en-US" w:eastAsia="zh-CN"/>
              </w:rPr>
              <w:t>图2.9-9配电室</w:t>
            </w:r>
          </w:p>
        </w:tc>
      </w:tr>
      <w:tr w14:paraId="10425F8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83" w:hRule="atLeast"/>
        </w:trPr>
        <w:tc>
          <w:tcPr>
            <w:tcW w:w="9571" w:type="dxa"/>
            <w:tcBorders>
              <w:tl2br w:val="nil"/>
              <w:tr2bl w:val="nil"/>
            </w:tcBorders>
            <w:vAlign w:val="top"/>
          </w:tcPr>
          <w:p w14:paraId="76908307">
            <w:pPr>
              <w:bidi w:val="0"/>
              <w:ind w:firstLine="0" w:firstLineChars="0"/>
              <w:jc w:val="both"/>
              <w:rPr>
                <w:rFonts w:hint="default"/>
                <w:lang w:val="en-US" w:eastAsia="zh-CN"/>
              </w:rPr>
            </w:pPr>
            <w:r>
              <w:rPr>
                <w:rFonts w:hint="eastAsia"/>
                <w:lang w:val="en-US" w:eastAsia="zh-CN"/>
              </w:rPr>
              <w:t>5、破碎站</w:t>
            </w:r>
          </w:p>
        </w:tc>
      </w:tr>
      <w:tr w14:paraId="4B699D4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9571" w:type="dxa"/>
            <w:tcBorders>
              <w:tl2br w:val="nil"/>
              <w:tr2bl w:val="nil"/>
            </w:tcBorders>
            <w:vAlign w:val="top"/>
          </w:tcPr>
          <w:p w14:paraId="12078568">
            <w:pPr>
              <w:pStyle w:val="29"/>
              <w:keepNext w:val="0"/>
              <w:keepLines w:val="0"/>
              <w:widowControl/>
              <w:suppressLineNumbers w:val="0"/>
              <w:spacing w:beforeAutospacing="1" w:afterAutospacing="1"/>
              <w:ind w:left="0" w:leftChars="0" w:firstLine="0" w:firstLineChars="0"/>
              <w:jc w:val="center"/>
              <w:rPr>
                <w:rFonts w:hint="eastAsia" w:eastAsia="宋体"/>
                <w:lang w:eastAsia="zh-CN"/>
              </w:rPr>
            </w:pPr>
            <w:r>
              <w:rPr>
                <w:rFonts w:hint="eastAsia" w:eastAsia="宋体"/>
                <w:lang w:eastAsia="zh-CN"/>
              </w:rPr>
              <w:drawing>
                <wp:inline distT="0" distB="0" distL="114300" distR="114300">
                  <wp:extent cx="5793740" cy="3706495"/>
                  <wp:effectExtent l="0" t="0" r="16510" b="8255"/>
                  <wp:docPr id="17" name="图片 17" descr="CIMG27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CIMG2774"/>
                          <pic:cNvPicPr>
                            <a:picLocks noChangeAspect="1"/>
                          </pic:cNvPicPr>
                        </pic:nvPicPr>
                        <pic:blipFill>
                          <a:blip r:embed="rId32"/>
                          <a:stretch>
                            <a:fillRect/>
                          </a:stretch>
                        </pic:blipFill>
                        <pic:spPr>
                          <a:xfrm>
                            <a:off x="0" y="0"/>
                            <a:ext cx="5793740" cy="3706495"/>
                          </a:xfrm>
                          <a:prstGeom prst="rect">
                            <a:avLst/>
                          </a:prstGeom>
                        </pic:spPr>
                      </pic:pic>
                    </a:graphicData>
                  </a:graphic>
                </wp:inline>
              </w:drawing>
            </w:r>
          </w:p>
          <w:p w14:paraId="1422DE95">
            <w:pPr>
              <w:pStyle w:val="29"/>
              <w:keepNext w:val="0"/>
              <w:keepLines w:val="0"/>
              <w:widowControl/>
              <w:suppressLineNumbers w:val="0"/>
              <w:spacing w:beforeAutospacing="1" w:afterAutospacing="1"/>
              <w:ind w:left="0" w:leftChars="0" w:firstLine="0" w:firstLineChars="0"/>
              <w:jc w:val="center"/>
              <w:rPr>
                <w:rFonts w:hint="default"/>
                <w:lang w:val="en-US" w:eastAsia="zh-CN"/>
              </w:rPr>
            </w:pPr>
            <w:r>
              <w:rPr>
                <w:rFonts w:hint="eastAsia"/>
                <w:lang w:val="en-US" w:eastAsia="zh-CN"/>
              </w:rPr>
              <w:t>图2.9-10破碎站喂料口</w:t>
            </w:r>
          </w:p>
        </w:tc>
      </w:tr>
      <w:tr w14:paraId="7EECD408">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6004" w:hRule="atLeast"/>
        </w:trPr>
        <w:tc>
          <w:tcPr>
            <w:tcW w:w="9571" w:type="dxa"/>
            <w:tcBorders>
              <w:tl2br w:val="nil"/>
              <w:tr2bl w:val="nil"/>
            </w:tcBorders>
            <w:vAlign w:val="top"/>
          </w:tcPr>
          <w:p w14:paraId="773C8169">
            <w:pPr>
              <w:pStyle w:val="29"/>
              <w:keepNext w:val="0"/>
              <w:keepLines w:val="0"/>
              <w:widowControl/>
              <w:suppressLineNumbers w:val="0"/>
              <w:spacing w:beforeAutospacing="1" w:afterAutospacing="1"/>
              <w:ind w:left="0" w:leftChars="0" w:firstLine="0" w:firstLineChars="0"/>
              <w:jc w:val="center"/>
              <w:rPr>
                <w:rFonts w:hint="eastAsia" w:eastAsia="宋体"/>
                <w:lang w:eastAsia="zh-CN"/>
              </w:rPr>
            </w:pPr>
            <w:r>
              <w:rPr>
                <w:rFonts w:hint="eastAsia" w:eastAsia="宋体"/>
                <w:lang w:eastAsia="zh-CN"/>
              </w:rPr>
              <w:drawing>
                <wp:inline distT="0" distB="0" distL="114300" distR="114300">
                  <wp:extent cx="5774055" cy="3918585"/>
                  <wp:effectExtent l="0" t="0" r="17145" b="5715"/>
                  <wp:docPr id="11" name="图片 11" descr="微信图片_20260205122932_117_10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260205122932_117_1073"/>
                          <pic:cNvPicPr>
                            <a:picLocks noChangeAspect="1"/>
                          </pic:cNvPicPr>
                        </pic:nvPicPr>
                        <pic:blipFill>
                          <a:blip r:embed="rId33"/>
                          <a:stretch>
                            <a:fillRect/>
                          </a:stretch>
                        </pic:blipFill>
                        <pic:spPr>
                          <a:xfrm>
                            <a:off x="0" y="0"/>
                            <a:ext cx="5774055" cy="3918585"/>
                          </a:xfrm>
                          <a:prstGeom prst="rect">
                            <a:avLst/>
                          </a:prstGeom>
                        </pic:spPr>
                      </pic:pic>
                    </a:graphicData>
                  </a:graphic>
                </wp:inline>
              </w:drawing>
            </w:r>
          </w:p>
          <w:p w14:paraId="1C07F788">
            <w:pPr>
              <w:pStyle w:val="29"/>
              <w:keepNext w:val="0"/>
              <w:keepLines w:val="0"/>
              <w:widowControl/>
              <w:suppressLineNumbers w:val="0"/>
              <w:spacing w:beforeAutospacing="1" w:afterAutospacing="1"/>
              <w:ind w:left="0" w:leftChars="0" w:firstLine="0" w:firstLineChars="0"/>
              <w:jc w:val="center"/>
              <w:rPr>
                <w:rFonts w:hint="default"/>
                <w:lang w:val="en-US" w:eastAsia="zh-CN"/>
              </w:rPr>
            </w:pPr>
            <w:r>
              <w:rPr>
                <w:rFonts w:hint="eastAsia"/>
                <w:lang w:val="en-US" w:eastAsia="zh-CN"/>
              </w:rPr>
              <w:t>图2.9-11破碎站设施</w:t>
            </w:r>
          </w:p>
        </w:tc>
      </w:tr>
      <w:tr w14:paraId="537AFB6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531" w:hRule="atLeast"/>
        </w:trPr>
        <w:tc>
          <w:tcPr>
            <w:tcW w:w="9571" w:type="dxa"/>
            <w:tcBorders>
              <w:tl2br w:val="nil"/>
              <w:tr2bl w:val="nil"/>
            </w:tcBorders>
            <w:vAlign w:val="top"/>
          </w:tcPr>
          <w:p w14:paraId="57E44036">
            <w:pPr>
              <w:bidi w:val="0"/>
              <w:ind w:firstLine="0" w:firstLineChars="0"/>
              <w:jc w:val="both"/>
            </w:pPr>
            <w:r>
              <w:rPr>
                <w:rFonts w:hint="eastAsia"/>
                <w:lang w:val="en-US" w:eastAsia="zh-CN"/>
              </w:rPr>
              <w:t>6、穿孔设备</w:t>
            </w:r>
          </w:p>
        </w:tc>
      </w:tr>
      <w:tr w14:paraId="443D2A3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9571" w:type="dxa"/>
            <w:tcBorders>
              <w:tl2br w:val="nil"/>
              <w:tr2bl w:val="nil"/>
            </w:tcBorders>
            <w:vAlign w:val="top"/>
          </w:tcPr>
          <w:p w14:paraId="0CD1F4EF">
            <w:pPr>
              <w:bidi w:val="0"/>
              <w:ind w:firstLine="0" w:firstLineChars="0"/>
              <w:jc w:val="center"/>
              <w:rPr>
                <w:rFonts w:hint="eastAsia"/>
                <w:lang w:val="en-US" w:eastAsia="zh-CN"/>
              </w:rPr>
            </w:pPr>
            <w:r>
              <w:rPr>
                <w:rFonts w:hint="eastAsia"/>
                <w:lang w:val="en-US" w:eastAsia="zh-CN"/>
              </w:rPr>
              <w:drawing>
                <wp:inline distT="0" distB="0" distL="114300" distR="114300">
                  <wp:extent cx="5832475" cy="4143375"/>
                  <wp:effectExtent l="0" t="0" r="0" b="9525"/>
                  <wp:docPr id="16" name="图片 16" descr="fb6218f51a1d798a89363ef70d80496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fb6218f51a1d798a89363ef70d80496c"/>
                          <pic:cNvPicPr>
                            <a:picLocks noChangeAspect="1"/>
                          </pic:cNvPicPr>
                        </pic:nvPicPr>
                        <pic:blipFill>
                          <a:blip r:embed="rId34"/>
                          <a:srcRect l="-1650" t="31525" r="-3117" b="31195"/>
                          <a:stretch>
                            <a:fillRect/>
                          </a:stretch>
                        </pic:blipFill>
                        <pic:spPr>
                          <a:xfrm>
                            <a:off x="0" y="0"/>
                            <a:ext cx="5832475" cy="4143375"/>
                          </a:xfrm>
                          <a:prstGeom prst="rect">
                            <a:avLst/>
                          </a:prstGeom>
                        </pic:spPr>
                      </pic:pic>
                    </a:graphicData>
                  </a:graphic>
                </wp:inline>
              </w:drawing>
            </w:r>
          </w:p>
          <w:p w14:paraId="4DE5833C">
            <w:pPr>
              <w:bidi w:val="0"/>
              <w:ind w:firstLine="0" w:firstLineChars="0"/>
              <w:jc w:val="center"/>
              <w:rPr>
                <w:rFonts w:hint="default"/>
                <w:lang w:val="en-US"/>
              </w:rPr>
            </w:pPr>
            <w:r>
              <w:rPr>
                <w:rFonts w:hint="eastAsia" w:ascii="Times New Roman" w:hAnsi="Times New Roman" w:eastAsia="宋体" w:cs="Times New Roman"/>
                <w:spacing w:val="0"/>
                <w:sz w:val="28"/>
                <w:szCs w:val="24"/>
                <w:lang w:val="en-US" w:eastAsia="zh-CN" w:bidi="ar-SA"/>
              </w:rPr>
              <w:t>图2.9-1</w:t>
            </w:r>
            <w:r>
              <w:rPr>
                <w:rFonts w:hint="eastAsia" w:ascii="Times New Roman" w:hAnsi="Times New Roman" w:cs="Times New Roman"/>
                <w:spacing w:val="0"/>
                <w:sz w:val="28"/>
                <w:szCs w:val="24"/>
                <w:lang w:val="en-US" w:eastAsia="zh-CN" w:bidi="ar-SA"/>
              </w:rPr>
              <w:t>2</w:t>
            </w:r>
            <w:r>
              <w:rPr>
                <w:rFonts w:hint="eastAsia" w:ascii="Times New Roman" w:hAnsi="Times New Roman" w:eastAsia="宋体" w:cs="Times New Roman"/>
                <w:spacing w:val="0"/>
                <w:sz w:val="28"/>
                <w:szCs w:val="24"/>
                <w:lang w:val="en-US" w:eastAsia="zh-CN" w:bidi="ar-SA"/>
              </w:rPr>
              <w:t xml:space="preserve">  钻机</w:t>
            </w:r>
          </w:p>
        </w:tc>
      </w:tr>
      <w:tr w14:paraId="26AF7E1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811" w:hRule="atLeast"/>
        </w:trPr>
        <w:tc>
          <w:tcPr>
            <w:tcW w:w="9571" w:type="dxa"/>
            <w:tcBorders>
              <w:tl2br w:val="nil"/>
              <w:tr2bl w:val="nil"/>
            </w:tcBorders>
            <w:vAlign w:val="top"/>
          </w:tcPr>
          <w:p w14:paraId="79564E53">
            <w:pPr>
              <w:pStyle w:val="29"/>
              <w:keepNext w:val="0"/>
              <w:keepLines w:val="0"/>
              <w:widowControl/>
              <w:suppressLineNumbers w:val="0"/>
              <w:spacing w:beforeAutospacing="1" w:afterAutospacing="1"/>
              <w:ind w:left="0" w:leftChars="0" w:firstLine="0" w:firstLineChars="0"/>
              <w:rPr>
                <w:rFonts w:hint="eastAsia" w:eastAsia="宋体"/>
                <w:lang w:eastAsia="zh-CN"/>
              </w:rPr>
            </w:pPr>
            <w:r>
              <w:rPr>
                <w:rFonts w:hint="eastAsia" w:eastAsia="宋体"/>
                <w:lang w:eastAsia="zh-CN"/>
              </w:rPr>
              <w:drawing>
                <wp:inline distT="0" distB="0" distL="114300" distR="114300">
                  <wp:extent cx="3521075" cy="5888355"/>
                  <wp:effectExtent l="0" t="0" r="17145" b="3175"/>
                  <wp:docPr id="12" name="图片 12" descr="c742264ed2fd77ec9b2a0fc799410ec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c742264ed2fd77ec9b2a0fc799410ec5"/>
                          <pic:cNvPicPr>
                            <a:picLocks noChangeAspect="1"/>
                          </pic:cNvPicPr>
                        </pic:nvPicPr>
                        <pic:blipFill>
                          <a:blip r:embed="rId35"/>
                          <a:srcRect l="20501" t="-923" r="3670" b="1406"/>
                          <a:stretch>
                            <a:fillRect/>
                          </a:stretch>
                        </pic:blipFill>
                        <pic:spPr>
                          <a:xfrm rot="5400000">
                            <a:off x="0" y="0"/>
                            <a:ext cx="3521075" cy="5888355"/>
                          </a:xfrm>
                          <a:prstGeom prst="rect">
                            <a:avLst/>
                          </a:prstGeom>
                        </pic:spPr>
                      </pic:pic>
                    </a:graphicData>
                  </a:graphic>
                </wp:inline>
              </w:drawing>
            </w:r>
          </w:p>
          <w:p w14:paraId="5DAA9236">
            <w:pPr>
              <w:bidi w:val="0"/>
              <w:ind w:firstLine="0" w:firstLineChars="0"/>
              <w:jc w:val="center"/>
              <w:rPr>
                <w:rFonts w:hint="default"/>
                <w:lang w:val="en-US"/>
              </w:rPr>
            </w:pPr>
            <w:r>
              <w:rPr>
                <w:rFonts w:hint="eastAsia"/>
                <w:lang w:val="en-US" w:eastAsia="zh-CN"/>
              </w:rPr>
              <w:t>图2.9-13空压机</w:t>
            </w:r>
          </w:p>
        </w:tc>
      </w:tr>
      <w:tr w14:paraId="673E0A35">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21" w:hRule="atLeast"/>
        </w:trPr>
        <w:tc>
          <w:tcPr>
            <w:tcW w:w="9571" w:type="dxa"/>
            <w:tcBorders>
              <w:tl2br w:val="nil"/>
              <w:tr2bl w:val="nil"/>
            </w:tcBorders>
            <w:vAlign w:val="top"/>
          </w:tcPr>
          <w:p w14:paraId="1E51974C">
            <w:pPr>
              <w:bidi w:val="0"/>
              <w:jc w:val="both"/>
            </w:pPr>
            <w:r>
              <w:rPr>
                <w:rFonts w:hint="eastAsia"/>
                <w:lang w:val="en-US" w:eastAsia="zh-CN"/>
              </w:rPr>
              <w:t>9、除尘防尘</w:t>
            </w:r>
          </w:p>
        </w:tc>
      </w:tr>
      <w:tr w14:paraId="6AC208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36" w:hRule="atLeast"/>
        </w:trPr>
        <w:tc>
          <w:tcPr>
            <w:tcW w:w="9571" w:type="dxa"/>
            <w:tcBorders>
              <w:tl2br w:val="nil"/>
              <w:tr2bl w:val="nil"/>
            </w:tcBorders>
            <w:vAlign w:val="top"/>
          </w:tcPr>
          <w:p w14:paraId="49B07F78">
            <w:pPr>
              <w:pStyle w:val="29"/>
              <w:keepNext w:val="0"/>
              <w:keepLines w:val="0"/>
              <w:widowControl/>
              <w:suppressLineNumbers w:val="0"/>
              <w:spacing w:beforeAutospacing="1" w:afterAutospacing="1"/>
              <w:ind w:left="0" w:leftChars="0" w:firstLine="0" w:firstLineChars="0"/>
              <w:jc w:val="center"/>
              <w:rPr>
                <w:rFonts w:hint="default"/>
                <w:lang w:val="en-US"/>
              </w:rPr>
            </w:pPr>
            <w:r>
              <w:rPr>
                <w:rFonts w:hint="eastAsia" w:eastAsia="宋体"/>
                <w:lang w:eastAsia="zh-CN"/>
              </w:rPr>
              <w:drawing>
                <wp:inline distT="0" distB="0" distL="114300" distR="114300">
                  <wp:extent cx="5793740" cy="3747135"/>
                  <wp:effectExtent l="0" t="0" r="16510" b="5715"/>
                  <wp:docPr id="15" name="图片 15" descr="CIMG278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CIMG2782"/>
                          <pic:cNvPicPr>
                            <a:picLocks noChangeAspect="1"/>
                          </pic:cNvPicPr>
                        </pic:nvPicPr>
                        <pic:blipFill>
                          <a:blip r:embed="rId36"/>
                          <a:stretch>
                            <a:fillRect/>
                          </a:stretch>
                        </pic:blipFill>
                        <pic:spPr>
                          <a:xfrm>
                            <a:off x="0" y="0"/>
                            <a:ext cx="5793740" cy="3747135"/>
                          </a:xfrm>
                          <a:prstGeom prst="rect">
                            <a:avLst/>
                          </a:prstGeom>
                        </pic:spPr>
                      </pic:pic>
                    </a:graphicData>
                  </a:graphic>
                </wp:inline>
              </w:drawing>
            </w:r>
            <w:r>
              <w:rPr>
                <w:rFonts w:hint="eastAsia"/>
                <w:lang w:val="en-US" w:eastAsia="zh-CN"/>
              </w:rPr>
              <w:t>图2.9-14  防尘用储水箱</w:t>
            </w:r>
          </w:p>
        </w:tc>
      </w:tr>
      <w:tr w14:paraId="7AFB54EE">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trPr>
        <w:tc>
          <w:tcPr>
            <w:tcW w:w="9571" w:type="dxa"/>
            <w:tcBorders>
              <w:tl2br w:val="nil"/>
              <w:tr2bl w:val="nil"/>
            </w:tcBorders>
            <w:vAlign w:val="top"/>
          </w:tcPr>
          <w:p w14:paraId="2ECE30BF">
            <w:pPr>
              <w:bidi w:val="0"/>
              <w:jc w:val="both"/>
            </w:pPr>
            <w:r>
              <w:rPr>
                <w:rFonts w:hint="eastAsia"/>
                <w:lang w:val="en-US" w:eastAsia="zh-CN"/>
              </w:rPr>
              <w:t>10、安全护栏与安全标牌</w:t>
            </w:r>
          </w:p>
        </w:tc>
      </w:tr>
      <w:tr w14:paraId="651EFE2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451" w:hRule="atLeast"/>
        </w:trPr>
        <w:tc>
          <w:tcPr>
            <w:tcW w:w="9571" w:type="dxa"/>
            <w:tcBorders>
              <w:tl2br w:val="nil"/>
              <w:tr2bl w:val="nil"/>
            </w:tcBorders>
            <w:vAlign w:val="top"/>
          </w:tcPr>
          <w:p w14:paraId="20B82D4E">
            <w:pPr>
              <w:bidi w:val="0"/>
              <w:ind w:left="0" w:leftChars="0" w:firstLine="0" w:firstLineChars="0"/>
              <w:rPr>
                <w:rFonts w:hint="eastAsia"/>
                <w:lang w:val="en-US" w:eastAsia="zh-CN"/>
              </w:rPr>
            </w:pPr>
            <w:r>
              <w:rPr>
                <w:rFonts w:hint="eastAsia"/>
                <w:lang w:val="en-US" w:eastAsia="zh-CN"/>
              </w:rPr>
              <w:drawing>
                <wp:inline distT="0" distB="0" distL="114300" distR="114300">
                  <wp:extent cx="5897880" cy="3916045"/>
                  <wp:effectExtent l="0" t="0" r="7620" b="8255"/>
                  <wp:docPr id="4" name="图片 4" descr="2a41d194-a1df-4742-9fcf-0a43d235b4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2a41d194-a1df-4742-9fcf-0a43d235b403"/>
                          <pic:cNvPicPr>
                            <a:picLocks noChangeAspect="1"/>
                          </pic:cNvPicPr>
                        </pic:nvPicPr>
                        <pic:blipFill>
                          <a:blip r:embed="rId37"/>
                          <a:stretch>
                            <a:fillRect/>
                          </a:stretch>
                        </pic:blipFill>
                        <pic:spPr>
                          <a:xfrm>
                            <a:off x="0" y="0"/>
                            <a:ext cx="5897880" cy="3916045"/>
                          </a:xfrm>
                          <a:prstGeom prst="rect">
                            <a:avLst/>
                          </a:prstGeom>
                        </pic:spPr>
                      </pic:pic>
                    </a:graphicData>
                  </a:graphic>
                </wp:inline>
              </w:drawing>
            </w:r>
          </w:p>
          <w:p w14:paraId="1CB3C530">
            <w:pPr>
              <w:bidi w:val="0"/>
              <w:jc w:val="center"/>
              <w:rPr>
                <w:rFonts w:hint="default" w:eastAsia="宋体"/>
                <w:lang w:val="en-US" w:eastAsia="zh-CN"/>
              </w:rPr>
            </w:pPr>
            <w:r>
              <w:rPr>
                <w:rFonts w:hint="eastAsia"/>
                <w:lang w:val="en-US" w:eastAsia="zh-CN"/>
              </w:rPr>
              <w:t>图2.9-15矿界护栏</w:t>
            </w:r>
          </w:p>
        </w:tc>
      </w:tr>
      <w:tr w14:paraId="46F886B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746" w:hRule="atLeast"/>
        </w:trPr>
        <w:tc>
          <w:tcPr>
            <w:tcW w:w="9571" w:type="dxa"/>
            <w:tcBorders>
              <w:tl2br w:val="nil"/>
              <w:tr2bl w:val="nil"/>
            </w:tcBorders>
            <w:vAlign w:val="top"/>
          </w:tcPr>
          <w:p w14:paraId="383FAB2E">
            <w:pPr>
              <w:bidi w:val="0"/>
              <w:ind w:left="0" w:leftChars="0" w:firstLine="0" w:firstLineChars="0"/>
              <w:rPr>
                <w:rFonts w:hint="eastAsia"/>
                <w:lang w:val="en-US" w:eastAsia="zh-CN"/>
              </w:rPr>
            </w:pPr>
            <w:r>
              <w:rPr>
                <w:rFonts w:hint="eastAsia"/>
                <w:lang w:val="en-US" w:eastAsia="zh-CN"/>
              </w:rPr>
              <w:drawing>
                <wp:inline distT="0" distB="0" distL="114300" distR="114300">
                  <wp:extent cx="5910580" cy="3834765"/>
                  <wp:effectExtent l="0" t="0" r="13970" b="13335"/>
                  <wp:docPr id="6" name="图片 6" descr="CIMG2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CIMG2784"/>
                          <pic:cNvPicPr>
                            <a:picLocks noChangeAspect="1"/>
                          </pic:cNvPicPr>
                        </pic:nvPicPr>
                        <pic:blipFill>
                          <a:blip r:embed="rId38"/>
                          <a:stretch>
                            <a:fillRect/>
                          </a:stretch>
                        </pic:blipFill>
                        <pic:spPr>
                          <a:xfrm>
                            <a:off x="0" y="0"/>
                            <a:ext cx="5910580" cy="3834765"/>
                          </a:xfrm>
                          <a:prstGeom prst="rect">
                            <a:avLst/>
                          </a:prstGeom>
                        </pic:spPr>
                      </pic:pic>
                    </a:graphicData>
                  </a:graphic>
                </wp:inline>
              </w:drawing>
            </w:r>
          </w:p>
          <w:p w14:paraId="115341C5">
            <w:pPr>
              <w:bidi w:val="0"/>
              <w:jc w:val="center"/>
            </w:pPr>
            <w:r>
              <w:rPr>
                <w:rFonts w:hint="eastAsia"/>
                <w:lang w:val="en-US" w:eastAsia="zh-CN"/>
              </w:rPr>
              <w:t>图2.9-16安全标牌</w:t>
            </w:r>
          </w:p>
        </w:tc>
      </w:tr>
      <w:tr w14:paraId="2D7AE48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trPr>
        <w:tc>
          <w:tcPr>
            <w:tcW w:w="9571" w:type="dxa"/>
            <w:tcBorders>
              <w:tl2br w:val="nil"/>
              <w:tr2bl w:val="nil"/>
            </w:tcBorders>
            <w:vAlign w:val="top"/>
          </w:tcPr>
          <w:p w14:paraId="3333A993">
            <w:pPr>
              <w:pStyle w:val="15"/>
              <w:spacing w:before="44" w:line="221" w:lineRule="auto"/>
              <w:ind w:left="0" w:leftChars="0" w:firstLine="0" w:firstLineChars="0"/>
              <w:rPr>
                <w:rFonts w:hint="eastAsia"/>
                <w:lang w:val="en-US" w:eastAsia="zh-CN"/>
              </w:rPr>
            </w:pPr>
            <w:r>
              <w:rPr>
                <w:rFonts w:hint="eastAsia"/>
                <w:lang w:val="en-US" w:eastAsia="zh-CN"/>
              </w:rPr>
              <w:t>11、</w:t>
            </w:r>
            <w:r>
              <w:rPr>
                <w:rFonts w:hint="eastAsia"/>
                <w:b/>
                <w:bCs/>
                <w:spacing w:val="-8"/>
                <w:sz w:val="21"/>
                <w:szCs w:val="21"/>
                <w:lang w:val="en-US" w:eastAsia="zh-CN"/>
              </w:rPr>
              <w:t>地</w:t>
            </w:r>
            <w:r>
              <w:rPr>
                <w:b/>
                <w:bCs/>
                <w:spacing w:val="-8"/>
                <w:sz w:val="21"/>
                <w:szCs w:val="21"/>
              </w:rPr>
              <w:t>磅房</w:t>
            </w:r>
          </w:p>
        </w:tc>
      </w:tr>
      <w:tr w14:paraId="7C12F2A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trPr>
        <w:tc>
          <w:tcPr>
            <w:tcW w:w="9571" w:type="dxa"/>
            <w:tcBorders>
              <w:tl2br w:val="nil"/>
              <w:tr2bl w:val="nil"/>
            </w:tcBorders>
            <w:vAlign w:val="top"/>
          </w:tcPr>
          <w:p w14:paraId="1261244C">
            <w:pPr>
              <w:bidi w:val="0"/>
              <w:ind w:left="0" w:leftChars="0" w:firstLine="0" w:firstLineChars="0"/>
              <w:jc w:val="both"/>
              <w:rPr>
                <w:rFonts w:hint="eastAsia"/>
                <w:b/>
                <w:bCs/>
                <w:spacing w:val="-8"/>
                <w:sz w:val="21"/>
                <w:szCs w:val="21"/>
                <w:lang w:val="en-US" w:eastAsia="zh-CN"/>
              </w:rPr>
            </w:pPr>
            <w:r>
              <w:rPr>
                <w:rFonts w:hint="eastAsia"/>
                <w:b/>
                <w:bCs/>
                <w:spacing w:val="-8"/>
                <w:sz w:val="21"/>
                <w:szCs w:val="21"/>
                <w:lang w:val="en-US" w:eastAsia="zh-CN"/>
              </w:rPr>
              <w:drawing>
                <wp:inline distT="0" distB="0" distL="114300" distR="114300">
                  <wp:extent cx="5793740" cy="3725545"/>
                  <wp:effectExtent l="0" t="0" r="16510" b="8255"/>
                  <wp:docPr id="13" name="图片 13" descr="CIMG27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13" descr="CIMG2785"/>
                          <pic:cNvPicPr>
                            <a:picLocks noChangeAspect="1"/>
                          </pic:cNvPicPr>
                        </pic:nvPicPr>
                        <pic:blipFill>
                          <a:blip r:embed="rId39"/>
                          <a:stretch>
                            <a:fillRect/>
                          </a:stretch>
                        </pic:blipFill>
                        <pic:spPr>
                          <a:xfrm>
                            <a:off x="0" y="0"/>
                            <a:ext cx="5793740" cy="3725545"/>
                          </a:xfrm>
                          <a:prstGeom prst="rect">
                            <a:avLst/>
                          </a:prstGeom>
                        </pic:spPr>
                      </pic:pic>
                    </a:graphicData>
                  </a:graphic>
                </wp:inline>
              </w:drawing>
            </w:r>
          </w:p>
          <w:p w14:paraId="0BB0487A">
            <w:pPr>
              <w:bidi w:val="0"/>
              <w:jc w:val="center"/>
            </w:pPr>
            <w:r>
              <w:rPr>
                <w:rFonts w:hint="eastAsia"/>
                <w:lang w:val="en-US" w:eastAsia="zh-CN"/>
              </w:rPr>
              <w:t>图2.9-17值班室、地</w:t>
            </w:r>
            <w:r>
              <w:t>磅房</w:t>
            </w:r>
            <w:r>
              <w:rPr>
                <w:rFonts w:hint="eastAsia"/>
                <w:lang w:val="en-US" w:eastAsia="zh-CN"/>
              </w:rPr>
              <w:t>（图2.8-13）</w:t>
            </w:r>
          </w:p>
        </w:tc>
      </w:tr>
      <w:tr w14:paraId="3EB76831">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71" w:hRule="atLeast"/>
        </w:trPr>
        <w:tc>
          <w:tcPr>
            <w:tcW w:w="9571" w:type="dxa"/>
            <w:tcBorders>
              <w:tl2br w:val="nil"/>
              <w:tr2bl w:val="nil"/>
            </w:tcBorders>
            <w:vAlign w:val="top"/>
          </w:tcPr>
          <w:p w14:paraId="663E8758">
            <w:pPr>
              <w:bidi w:val="0"/>
              <w:jc w:val="center"/>
              <w:rPr>
                <w:rFonts w:hint="default"/>
                <w:lang w:val="en-US" w:eastAsia="zh-CN"/>
              </w:rPr>
            </w:pPr>
            <w:r>
              <w:rPr>
                <w:rFonts w:hint="eastAsia"/>
                <w:lang w:val="en-US" w:eastAsia="zh-CN"/>
              </w:rPr>
              <w:drawing>
                <wp:inline distT="0" distB="0" distL="114300" distR="114300">
                  <wp:extent cx="5930900" cy="4446905"/>
                  <wp:effectExtent l="0" t="0" r="12700" b="10795"/>
                  <wp:docPr id="14" name="图片 14" descr="a10ff28ba88564daa097d27e1f5b83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a10ff28ba88564daa097d27e1f5b8380"/>
                          <pic:cNvPicPr>
                            <a:picLocks noChangeAspect="1"/>
                          </pic:cNvPicPr>
                        </pic:nvPicPr>
                        <pic:blipFill>
                          <a:blip r:embed="rId40"/>
                          <a:stretch>
                            <a:fillRect/>
                          </a:stretch>
                        </pic:blipFill>
                        <pic:spPr>
                          <a:xfrm>
                            <a:off x="0" y="0"/>
                            <a:ext cx="5930900" cy="4446905"/>
                          </a:xfrm>
                          <a:prstGeom prst="rect">
                            <a:avLst/>
                          </a:prstGeom>
                        </pic:spPr>
                      </pic:pic>
                    </a:graphicData>
                  </a:graphic>
                </wp:inline>
              </w:drawing>
            </w:r>
            <w:r>
              <w:rPr>
                <w:rFonts w:hint="eastAsia"/>
                <w:lang w:val="en-US" w:eastAsia="zh-CN"/>
              </w:rPr>
              <w:t>图2.9-18办公 生活区</w:t>
            </w:r>
          </w:p>
        </w:tc>
      </w:tr>
    </w:tbl>
    <w:p w14:paraId="76118A7B"/>
    <w:p w14:paraId="0C128440">
      <w:pPr>
        <w:pStyle w:val="3"/>
        <w:bidi w:val="0"/>
        <w:rPr>
          <w:color w:val="auto"/>
        </w:rPr>
      </w:pPr>
      <w:bookmarkStart w:id="272" w:name="_Toc24079"/>
      <w:r>
        <w:rPr>
          <w:rFonts w:hint="eastAsia"/>
          <w:color w:val="auto"/>
          <w:lang w:val="en-US" w:eastAsia="zh-CN"/>
        </w:rPr>
        <w:t>2.10</w:t>
      </w:r>
      <w:r>
        <w:rPr>
          <w:color w:val="auto"/>
          <w:lang w:val="en-US" w:eastAsia="zh-CN"/>
        </w:rPr>
        <w:t>隐蔽致灾因素</w:t>
      </w:r>
      <w:r>
        <w:rPr>
          <w:color w:val="auto"/>
        </w:rPr>
        <w:t>防控对策与建议</w:t>
      </w:r>
      <w:bookmarkEnd w:id="272"/>
    </w:p>
    <w:p w14:paraId="0A9BAF63">
      <w:pPr>
        <w:bidi w:val="0"/>
        <w:rPr>
          <w:color w:val="auto"/>
        </w:rPr>
      </w:pPr>
      <w:r>
        <w:rPr>
          <w:color w:val="auto"/>
          <w:lang w:val="en-US" w:eastAsia="zh-CN"/>
        </w:rPr>
        <w:t>金属非金属露天矿山隐蔽致灾因素具有潜伏性强、探测难度大、致灾后果严重的特点，其中以隐伏断层与破碎带、历史遗留采空区、爆破累积损伤为主要风险源。矿山企业需树立</w:t>
      </w:r>
      <w:r>
        <w:rPr>
          <w:rFonts w:hint="eastAsia"/>
          <w:color w:val="auto"/>
          <w:lang w:val="en-US" w:eastAsia="zh-CN"/>
        </w:rPr>
        <w:t>“</w:t>
      </w:r>
      <w:r>
        <w:rPr>
          <w:color w:val="auto"/>
          <w:lang w:val="en-US" w:eastAsia="zh-CN"/>
        </w:rPr>
        <w:t>预防为主、探测先行</w:t>
      </w:r>
      <w:r>
        <w:rPr>
          <w:rFonts w:hint="eastAsia"/>
          <w:color w:val="auto"/>
          <w:lang w:val="en-US" w:eastAsia="zh-CN"/>
        </w:rPr>
        <w:t>”</w:t>
      </w:r>
      <w:r>
        <w:rPr>
          <w:color w:val="auto"/>
          <w:lang w:val="en-US" w:eastAsia="zh-CN"/>
        </w:rPr>
        <w:t>理念，通过技术升级、管理强化、监测预警三措并举，构建隐蔽致灾因素全生命周期防控体系。</w:t>
      </w:r>
    </w:p>
    <w:p w14:paraId="09DD6010">
      <w:pPr>
        <w:rPr>
          <w:color w:val="auto"/>
        </w:rPr>
      </w:pPr>
      <w:r>
        <w:rPr>
          <w:color w:val="auto"/>
          <w:lang w:val="en-US" w:eastAsia="zh-CN"/>
        </w:rPr>
        <w:t>当前露天矿山应优先完成采空区普查与边坡微震监测系统建设，</w:t>
      </w:r>
      <w:r>
        <w:rPr>
          <w:rFonts w:hint="eastAsia"/>
          <w:color w:val="auto"/>
          <w:lang w:val="en-US" w:eastAsia="zh-CN"/>
        </w:rPr>
        <w:t>根据矿山现状，矿山存在爆破作业和历史采空区，矿山应该</w:t>
      </w:r>
      <w:r>
        <w:rPr>
          <w:color w:val="auto"/>
          <w:lang w:val="en-US" w:eastAsia="zh-CN"/>
        </w:rPr>
        <w:t>重点整治爆破振动累积损伤</w:t>
      </w:r>
      <w:r>
        <w:rPr>
          <w:rFonts w:hint="eastAsia"/>
          <w:color w:val="auto"/>
          <w:lang w:val="en-US" w:eastAsia="zh-CN"/>
        </w:rPr>
        <w:t>及</w:t>
      </w:r>
      <w:r>
        <w:rPr>
          <w:color w:val="auto"/>
          <w:lang w:val="en-US" w:eastAsia="zh-CN"/>
        </w:rPr>
        <w:t>历史遗留采空区</w:t>
      </w:r>
      <w:r>
        <w:rPr>
          <w:rFonts w:hint="eastAsia"/>
          <w:color w:val="auto"/>
          <w:lang w:val="en-US" w:eastAsia="zh-CN"/>
        </w:rPr>
        <w:t>安全隐患的治理</w:t>
      </w:r>
      <w:r>
        <w:rPr>
          <w:color w:val="auto"/>
          <w:lang w:val="en-US" w:eastAsia="zh-CN"/>
        </w:rPr>
        <w:t>等高风险隐患，切实提升矿山本质安全水平。</w:t>
      </w:r>
    </w:p>
    <w:p w14:paraId="0D747153"/>
    <w:p w14:paraId="3DBA23F6">
      <w:pPr>
        <w:sectPr>
          <w:footerReference r:id="rId14" w:type="default"/>
          <w:pgSz w:w="11906" w:h="16838"/>
          <w:pgMar w:top="1134" w:right="1134" w:bottom="1134" w:left="1417" w:header="794" w:footer="794" w:gutter="0"/>
          <w:pgBorders>
            <w:top w:val="none" w:sz="0" w:space="0"/>
            <w:left w:val="none" w:sz="0" w:space="0"/>
            <w:bottom w:val="none" w:sz="0" w:space="0"/>
            <w:right w:val="none" w:sz="0" w:space="0"/>
          </w:pgBorders>
          <w:pgNumType w:fmt="decimal" w:start="1"/>
          <w:cols w:space="720" w:num="1"/>
          <w:docGrid w:type="lines" w:linePitch="312" w:charSpace="0"/>
        </w:sectPr>
      </w:pPr>
    </w:p>
    <w:p w14:paraId="2097D733">
      <w:pPr>
        <w:pStyle w:val="2"/>
        <w:rPr>
          <w:color w:val="000000" w:themeColor="text1"/>
          <w14:textFill>
            <w14:solidFill>
              <w14:schemeClr w14:val="tx1"/>
            </w14:solidFill>
          </w14:textFill>
        </w:rPr>
      </w:pPr>
      <w:bookmarkStart w:id="273" w:name="_Toc17692"/>
      <w:bookmarkStart w:id="274" w:name="_Toc24105"/>
      <w:bookmarkStart w:id="275" w:name="_Toc214284028"/>
      <w:r>
        <w:rPr>
          <w:rFonts w:hint="eastAsia"/>
          <w:color w:val="000000" w:themeColor="text1"/>
          <w:lang w:val="en-US" w:eastAsia="zh-CN"/>
          <w14:textFill>
            <w14:solidFill>
              <w14:schemeClr w14:val="tx1"/>
            </w14:solidFill>
          </w14:textFill>
        </w:rPr>
        <w:t>3</w:t>
      </w:r>
      <w:r>
        <w:rPr>
          <w:color w:val="000000" w:themeColor="text1"/>
          <w14:textFill>
            <w14:solidFill>
              <w14:schemeClr w14:val="tx1"/>
            </w14:solidFill>
          </w14:textFill>
        </w:rPr>
        <w:t>安全设施符合性评价</w:t>
      </w:r>
      <w:bookmarkEnd w:id="273"/>
      <w:bookmarkEnd w:id="274"/>
      <w:bookmarkEnd w:id="275"/>
    </w:p>
    <w:p w14:paraId="05585D53">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highlight w:val="none"/>
        </w:rPr>
      </w:pPr>
      <w:bookmarkStart w:id="276" w:name="_Toc214284029"/>
      <w:bookmarkStart w:id="277" w:name="_Toc6445"/>
      <w:r>
        <w:rPr>
          <w:rFonts w:hint="eastAsia" w:ascii="宋体" w:hAnsi="宋体" w:eastAsia="宋体" w:cs="宋体"/>
          <w:color w:val="auto"/>
          <w:highlight w:val="none"/>
        </w:rPr>
        <w:t>对照建设项目的《安全设施设计》，结合现场实际检查及项目建设的竣工验收资料，采用安全检查表的方法检查基本安全设施、专用安全设施和安全管理的符合性，以《安全设施设计》中相关参数作为检查依据评价其符合性；如果没有提出具体的参数要求，则应以相关的法律法规、标准作为检查依据来评价其符合性。</w:t>
      </w:r>
    </w:p>
    <w:p w14:paraId="53CDB1F7">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highlight w:val="none"/>
        </w:rPr>
        <w:t>该项目的验收评价单元划分</w:t>
      </w:r>
      <w:r>
        <w:rPr>
          <w:rFonts w:hint="eastAsia" w:ascii="宋体" w:hAnsi="宋体" w:eastAsia="宋体" w:cs="宋体"/>
          <w:color w:val="auto"/>
          <w:spacing w:val="-2"/>
          <w:sz w:val="28"/>
          <w:szCs w:val="28"/>
          <w:highlight w:val="none"/>
          <w:lang w:val="en-US" w:eastAsia="zh-CN"/>
        </w:rPr>
        <w:t>主要依据《国家安全监管总局关于印发金属非金属矿山建设项目安全评价报告编写提纲的通知》（安监总管一〔</w:t>
      </w:r>
      <w:r>
        <w:rPr>
          <w:rFonts w:hint="eastAsia" w:ascii="Times New Roman" w:hAnsi="Times New Roman" w:eastAsia="宋体" w:cs="宋体"/>
          <w:color w:val="auto"/>
          <w:spacing w:val="-2"/>
          <w:sz w:val="28"/>
          <w:szCs w:val="28"/>
          <w:highlight w:val="none"/>
          <w:lang w:val="en-US" w:eastAsia="zh-CN"/>
        </w:rPr>
        <w:t>2016</w:t>
      </w:r>
      <w:r>
        <w:rPr>
          <w:rFonts w:hint="eastAsia" w:ascii="宋体" w:hAnsi="宋体" w:eastAsia="宋体" w:cs="宋体"/>
          <w:color w:val="auto"/>
          <w:spacing w:val="-2"/>
          <w:sz w:val="28"/>
          <w:szCs w:val="28"/>
          <w:highlight w:val="none"/>
          <w:lang w:val="en-US" w:eastAsia="zh-CN"/>
        </w:rPr>
        <w:t>〕</w:t>
      </w:r>
      <w:r>
        <w:rPr>
          <w:rFonts w:hint="eastAsia" w:ascii="Times New Roman" w:hAnsi="Times New Roman" w:eastAsia="宋体" w:cs="宋体"/>
          <w:color w:val="auto"/>
          <w:spacing w:val="-2"/>
          <w:sz w:val="28"/>
          <w:szCs w:val="28"/>
          <w:highlight w:val="none"/>
          <w:lang w:val="en-US" w:eastAsia="zh-CN"/>
        </w:rPr>
        <w:t>49</w:t>
      </w:r>
      <w:r>
        <w:rPr>
          <w:rFonts w:hint="eastAsia" w:ascii="宋体" w:hAnsi="宋体" w:eastAsia="宋体" w:cs="宋体"/>
          <w:color w:val="auto"/>
          <w:spacing w:val="-2"/>
          <w:sz w:val="28"/>
          <w:szCs w:val="28"/>
          <w:highlight w:val="none"/>
          <w:lang w:val="en-US" w:eastAsia="zh-CN"/>
        </w:rPr>
        <w:t>号）的要求进行划分，检查表主要依据</w:t>
      </w:r>
      <w:r>
        <w:rPr>
          <w:rFonts w:hint="eastAsia" w:ascii="宋体" w:hAnsi="宋体" w:eastAsia="宋体" w:cs="宋体"/>
          <w:color w:val="auto"/>
          <w:kern w:val="0"/>
          <w:sz w:val="28"/>
          <w:szCs w:val="28"/>
          <w:highlight w:val="none"/>
        </w:rPr>
        <w:t>《国家安全监管总局关于规范金属非金属矿山建设项目安全设施竣工验收工作的通知》（</w:t>
      </w:r>
      <w:r>
        <w:rPr>
          <w:rFonts w:hint="eastAsia" w:ascii="宋体" w:hAnsi="宋体" w:eastAsia="宋体" w:cs="宋体"/>
          <w:color w:val="auto"/>
          <w:kern w:val="0"/>
          <w:sz w:val="28"/>
          <w:szCs w:val="28"/>
          <w:highlight w:val="none"/>
          <w:lang w:eastAsia="zh-CN"/>
        </w:rPr>
        <w:t>安监</w:t>
      </w:r>
      <w:r>
        <w:rPr>
          <w:rFonts w:hint="eastAsia" w:ascii="宋体" w:hAnsi="宋体" w:eastAsia="宋体" w:cs="宋体"/>
          <w:color w:val="auto"/>
          <w:kern w:val="0"/>
          <w:sz w:val="28"/>
          <w:szCs w:val="28"/>
          <w:highlight w:val="none"/>
        </w:rPr>
        <w:t>总管一〔</w:t>
      </w:r>
      <w:r>
        <w:rPr>
          <w:rFonts w:hint="eastAsia" w:ascii="Times New Roman" w:hAnsi="Times New Roman" w:eastAsia="宋体" w:cs="宋体"/>
          <w:color w:val="auto"/>
          <w:kern w:val="0"/>
          <w:sz w:val="28"/>
          <w:szCs w:val="28"/>
          <w:highlight w:val="none"/>
        </w:rPr>
        <w:t>2016</w:t>
      </w:r>
      <w:r>
        <w:rPr>
          <w:rFonts w:hint="eastAsia" w:ascii="宋体" w:hAnsi="宋体" w:eastAsia="宋体" w:cs="宋体"/>
          <w:color w:val="auto"/>
          <w:kern w:val="0"/>
          <w:sz w:val="28"/>
          <w:szCs w:val="28"/>
          <w:highlight w:val="none"/>
        </w:rPr>
        <w:t>〕</w:t>
      </w:r>
      <w:r>
        <w:rPr>
          <w:rFonts w:hint="eastAsia" w:ascii="Times New Roman" w:hAnsi="Times New Roman" w:eastAsia="宋体" w:cs="宋体"/>
          <w:color w:val="auto"/>
          <w:kern w:val="0"/>
          <w:sz w:val="28"/>
          <w:szCs w:val="28"/>
          <w:highlight w:val="none"/>
        </w:rPr>
        <w:t>14</w:t>
      </w:r>
      <w:r>
        <w:rPr>
          <w:rFonts w:hint="eastAsia" w:ascii="宋体" w:hAnsi="宋体" w:eastAsia="宋体" w:cs="宋体"/>
          <w:color w:val="auto"/>
          <w:kern w:val="0"/>
          <w:sz w:val="28"/>
          <w:szCs w:val="28"/>
          <w:highlight w:val="none"/>
        </w:rPr>
        <w:t>号）</w:t>
      </w:r>
      <w:r>
        <w:rPr>
          <w:rFonts w:hint="eastAsia" w:ascii="宋体" w:hAnsi="宋体" w:eastAsia="宋体" w:cs="宋体"/>
          <w:color w:val="auto"/>
          <w:kern w:val="0"/>
          <w:sz w:val="28"/>
          <w:szCs w:val="28"/>
          <w:highlight w:val="none"/>
          <w:lang w:val="en-US" w:eastAsia="zh-CN"/>
        </w:rPr>
        <w:t>进行制定，对《提纲》中有要求而《验收表》中没有的检查项，则主要依据《安全设施设计》及有关规定进行制定</w:t>
      </w:r>
      <w:r>
        <w:rPr>
          <w:rFonts w:hint="eastAsia" w:ascii="宋体" w:hAnsi="宋体" w:cs="宋体"/>
          <w:color w:val="auto"/>
          <w:kern w:val="0"/>
          <w:sz w:val="28"/>
          <w:szCs w:val="28"/>
          <w:highlight w:val="none"/>
          <w:lang w:val="en-US" w:eastAsia="zh-CN"/>
        </w:rPr>
        <w:t>补充</w:t>
      </w:r>
      <w:r>
        <w:rPr>
          <w:rFonts w:hint="eastAsia" w:ascii="宋体" w:hAnsi="宋体" w:eastAsia="宋体" w:cs="宋体"/>
          <w:color w:val="auto"/>
          <w:kern w:val="0"/>
          <w:sz w:val="28"/>
          <w:szCs w:val="28"/>
          <w:highlight w:val="none"/>
          <w:lang w:val="en-US" w:eastAsia="zh-CN"/>
        </w:rPr>
        <w:t>检查项。</w:t>
      </w:r>
    </w:p>
    <w:p w14:paraId="6CE92AF5">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0"/>
          <w:sz w:val="28"/>
          <w:szCs w:val="28"/>
          <w:highlight w:val="none"/>
          <w:lang w:val="en-US" w:eastAsia="zh-CN"/>
        </w:rPr>
      </w:pPr>
      <w:r>
        <w:rPr>
          <w:rFonts w:hint="eastAsia" w:ascii="宋体" w:hAnsi="宋体" w:eastAsia="宋体" w:cs="宋体"/>
          <w:color w:val="auto"/>
          <w:highlight w:val="none"/>
          <w:lang w:val="en-US" w:eastAsia="zh-CN"/>
        </w:rPr>
        <w:t>本项目共划分为</w:t>
      </w:r>
      <w:r>
        <w:rPr>
          <w:rFonts w:hint="eastAsia" w:ascii="Times New Roman" w:hAnsi="Times New Roman" w:eastAsia="宋体" w:cs="宋体"/>
          <w:color w:val="auto"/>
          <w:highlight w:val="none"/>
          <w:lang w:val="en-US" w:eastAsia="zh-CN"/>
        </w:rPr>
        <w:t>1</w:t>
      </w:r>
      <w:r>
        <w:rPr>
          <w:rFonts w:hint="eastAsia" w:ascii="Times New Roman" w:hAnsi="Times New Roman" w:cs="宋体"/>
          <w:color w:val="auto"/>
          <w:highlight w:val="none"/>
          <w:lang w:val="en-US" w:eastAsia="zh-CN"/>
        </w:rPr>
        <w:t>2</w:t>
      </w:r>
      <w:r>
        <w:rPr>
          <w:rFonts w:hint="eastAsia" w:ascii="宋体" w:hAnsi="宋体" w:eastAsia="宋体" w:cs="宋体"/>
          <w:color w:val="auto"/>
          <w:highlight w:val="none"/>
          <w:lang w:val="en-US" w:eastAsia="zh-CN"/>
        </w:rPr>
        <w:t>个评价单元</w:t>
      </w:r>
      <w:r>
        <w:rPr>
          <w:rFonts w:hint="eastAsia" w:ascii="宋体" w:hAnsi="宋体" w:eastAsia="宋体" w:cs="宋体"/>
          <w:color w:val="auto"/>
          <w:highlight w:val="none"/>
          <w:lang w:eastAsia="zh-CN"/>
        </w:rPr>
        <w:t>：</w:t>
      </w:r>
    </w:p>
    <w:p w14:paraId="0677C7A9">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default" w:ascii="宋体" w:hAnsi="宋体" w:eastAsia="宋体" w:cs="宋体"/>
          <w:color w:val="auto"/>
          <w:highlight w:val="none"/>
          <w:lang w:val="en-US" w:eastAsia="zh-CN"/>
        </w:rPr>
      </w:pPr>
      <w:r>
        <w:rPr>
          <w:rFonts w:hint="eastAsia" w:ascii="宋体" w:hAnsi="宋体" w:eastAsia="宋体" w:cs="宋体"/>
          <w:color w:val="auto"/>
          <w:spacing w:val="-2"/>
          <w:sz w:val="28"/>
          <w:szCs w:val="28"/>
          <w:highlight w:val="none"/>
          <w:lang w:val="en-US" w:eastAsia="zh-CN"/>
        </w:rPr>
        <w:t>1、依据《国家安全监管总局关于印发金属非金属矿山建设项目安全评价报告编写提纲的通知》（安监总管一〔</w:t>
      </w:r>
      <w:r>
        <w:rPr>
          <w:rFonts w:hint="eastAsia" w:ascii="Times New Roman" w:hAnsi="Times New Roman" w:eastAsia="宋体" w:cs="宋体"/>
          <w:color w:val="auto"/>
          <w:spacing w:val="-2"/>
          <w:sz w:val="28"/>
          <w:szCs w:val="28"/>
          <w:highlight w:val="none"/>
          <w:lang w:val="en-US" w:eastAsia="zh-CN"/>
        </w:rPr>
        <w:t>2016</w:t>
      </w:r>
      <w:r>
        <w:rPr>
          <w:rFonts w:hint="eastAsia" w:ascii="宋体" w:hAnsi="宋体" w:eastAsia="宋体" w:cs="宋体"/>
          <w:color w:val="auto"/>
          <w:spacing w:val="-2"/>
          <w:sz w:val="28"/>
          <w:szCs w:val="28"/>
          <w:highlight w:val="none"/>
          <w:lang w:val="en-US" w:eastAsia="zh-CN"/>
        </w:rPr>
        <w:t>〕</w:t>
      </w:r>
      <w:r>
        <w:rPr>
          <w:rFonts w:hint="eastAsia" w:ascii="Times New Roman" w:hAnsi="Times New Roman" w:eastAsia="宋体" w:cs="宋体"/>
          <w:color w:val="auto"/>
          <w:spacing w:val="-2"/>
          <w:sz w:val="28"/>
          <w:szCs w:val="28"/>
          <w:highlight w:val="none"/>
          <w:lang w:val="en-US" w:eastAsia="zh-CN"/>
        </w:rPr>
        <w:t>49</w:t>
      </w:r>
      <w:r>
        <w:rPr>
          <w:rFonts w:hint="eastAsia" w:ascii="宋体" w:hAnsi="宋体" w:eastAsia="宋体" w:cs="宋体"/>
          <w:color w:val="auto"/>
          <w:spacing w:val="-2"/>
          <w:sz w:val="28"/>
          <w:szCs w:val="28"/>
          <w:highlight w:val="none"/>
          <w:lang w:val="en-US" w:eastAsia="zh-CN"/>
        </w:rPr>
        <w:t>号）格式要求，</w:t>
      </w:r>
      <w:r>
        <w:rPr>
          <w:rFonts w:hint="eastAsia" w:ascii="宋体" w:hAnsi="宋体" w:eastAsia="宋体" w:cs="宋体"/>
          <w:color w:val="auto"/>
          <w:highlight w:val="none"/>
          <w:lang w:val="en-US" w:eastAsia="zh-CN"/>
        </w:rPr>
        <w:t>本项目</w:t>
      </w:r>
      <w:r>
        <w:rPr>
          <w:rFonts w:hint="eastAsia" w:ascii="宋体" w:hAnsi="宋体" w:cs="宋体"/>
          <w:color w:val="auto"/>
          <w:highlight w:val="none"/>
          <w:lang w:val="en-US" w:eastAsia="zh-CN"/>
        </w:rPr>
        <w:t>划分</w:t>
      </w:r>
      <w:r>
        <w:rPr>
          <w:rFonts w:hint="eastAsia" w:ascii="宋体" w:hAnsi="宋体" w:eastAsia="宋体" w:cs="宋体"/>
          <w:color w:val="auto"/>
          <w:highlight w:val="none"/>
          <w:lang w:val="en-US" w:eastAsia="zh-CN"/>
        </w:rPr>
        <w:t>评价单</w:t>
      </w:r>
      <w:r>
        <w:rPr>
          <w:rFonts w:hint="eastAsia" w:ascii="宋体" w:hAnsi="宋体" w:cs="宋体"/>
          <w:color w:val="auto"/>
          <w:highlight w:val="none"/>
          <w:lang w:val="en-US" w:eastAsia="zh-CN"/>
        </w:rPr>
        <w:t>元</w:t>
      </w:r>
      <w:r>
        <w:rPr>
          <w:rFonts w:hint="eastAsia" w:ascii="宋体" w:hAnsi="宋体" w:cs="宋体"/>
          <w:color w:val="auto"/>
          <w:highlight w:val="none"/>
          <w:lang w:eastAsia="zh-CN"/>
        </w:rPr>
        <w:t>有</w:t>
      </w:r>
      <w:r>
        <w:rPr>
          <w:rFonts w:hint="eastAsia" w:ascii="宋体" w:hAnsi="宋体" w:cs="宋体"/>
          <w:color w:val="auto"/>
          <w:highlight w:val="none"/>
          <w:lang w:val="en-US" w:eastAsia="zh-CN"/>
        </w:rPr>
        <w:t>11个</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安全设施</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三同时</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程序评价单元、露天采场评价单元、</w:t>
      </w:r>
      <w:r>
        <w:rPr>
          <w:rFonts w:hint="eastAsia" w:ascii="宋体" w:hAnsi="宋体" w:eastAsia="宋体" w:cs="宋体"/>
          <w:color w:val="auto"/>
          <w:highlight w:val="none"/>
          <w:lang w:val="en-US" w:eastAsia="zh-CN"/>
        </w:rPr>
        <w:t>采场</w:t>
      </w:r>
      <w:r>
        <w:rPr>
          <w:rFonts w:hint="eastAsia" w:ascii="宋体" w:hAnsi="宋体" w:eastAsia="宋体" w:cs="宋体"/>
          <w:color w:val="auto"/>
          <w:highlight w:val="none"/>
        </w:rPr>
        <w:t>防排水评价单元、</w:t>
      </w:r>
      <w:r>
        <w:rPr>
          <w:rFonts w:hint="eastAsia" w:ascii="宋体" w:hAnsi="宋体" w:eastAsia="宋体" w:cs="宋体"/>
          <w:color w:val="auto"/>
          <w:highlight w:val="none"/>
          <w:lang w:val="en-US" w:eastAsia="zh-CN"/>
        </w:rPr>
        <w:t>矿岩运输系统</w:t>
      </w:r>
      <w:r>
        <w:rPr>
          <w:rFonts w:hint="eastAsia" w:ascii="宋体" w:hAnsi="宋体" w:eastAsia="宋体" w:cs="宋体"/>
          <w:color w:val="auto"/>
          <w:highlight w:val="none"/>
        </w:rPr>
        <w:t>评价单元、供配电</w:t>
      </w:r>
      <w:r>
        <w:rPr>
          <w:rFonts w:hint="eastAsia" w:ascii="宋体" w:hAnsi="宋体" w:eastAsia="宋体" w:cs="宋体"/>
          <w:color w:val="auto"/>
          <w:highlight w:val="none"/>
          <w:lang w:val="en-US" w:eastAsia="zh-CN"/>
        </w:rPr>
        <w:t>系统</w:t>
      </w:r>
      <w:r>
        <w:rPr>
          <w:rFonts w:hint="eastAsia" w:ascii="宋体" w:hAnsi="宋体" w:eastAsia="宋体" w:cs="宋体"/>
          <w:color w:val="auto"/>
          <w:highlight w:val="none"/>
        </w:rPr>
        <w:t>评价单元、总平面布置评价单元</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通信系统评价单元、破碎系统</w:t>
      </w:r>
      <w:r>
        <w:rPr>
          <w:rFonts w:hint="eastAsia" w:ascii="宋体" w:hAnsi="宋体" w:eastAsia="宋体" w:cs="宋体"/>
          <w:color w:val="auto"/>
          <w:highlight w:val="none"/>
        </w:rPr>
        <w:t>评价单元</w:t>
      </w:r>
      <w:r>
        <w:rPr>
          <w:rFonts w:hint="eastAsia" w:ascii="宋体" w:hAnsi="宋体" w:eastAsia="宋体" w:cs="宋体"/>
          <w:color w:val="auto"/>
          <w:highlight w:val="none"/>
          <w:lang w:eastAsia="zh-CN"/>
        </w:rPr>
        <w:t>、</w:t>
      </w:r>
      <w:r>
        <w:rPr>
          <w:rFonts w:hint="eastAsia" w:ascii="宋体" w:hAnsi="宋体" w:eastAsia="宋体" w:cs="宋体"/>
          <w:color w:val="auto"/>
          <w:highlight w:val="none"/>
        </w:rPr>
        <w:t>个人安全防护</w:t>
      </w:r>
      <w:r>
        <w:rPr>
          <w:rFonts w:hint="eastAsia" w:ascii="宋体" w:hAnsi="宋体" w:cs="宋体"/>
          <w:color w:val="auto"/>
          <w:highlight w:val="none"/>
          <w:lang w:eastAsia="zh-CN"/>
        </w:rPr>
        <w:t>与防尘</w:t>
      </w:r>
      <w:r>
        <w:rPr>
          <w:rFonts w:hint="eastAsia" w:ascii="宋体" w:hAnsi="宋体" w:eastAsia="宋体" w:cs="宋体"/>
          <w:color w:val="auto"/>
          <w:highlight w:val="none"/>
          <w:lang w:val="en-US" w:eastAsia="zh-CN"/>
        </w:rPr>
        <w:t>评价单元、</w:t>
      </w:r>
      <w:r>
        <w:rPr>
          <w:rFonts w:hint="eastAsia" w:ascii="宋体" w:hAnsi="宋体" w:eastAsia="宋体" w:cs="宋体"/>
          <w:color w:val="auto"/>
          <w:highlight w:val="none"/>
        </w:rPr>
        <w:t>安全标志</w:t>
      </w:r>
      <w:r>
        <w:rPr>
          <w:rFonts w:hint="eastAsia" w:ascii="宋体" w:hAnsi="宋体" w:cs="宋体"/>
          <w:color w:val="auto"/>
          <w:highlight w:val="none"/>
          <w:lang w:val="en-US" w:eastAsia="zh-CN"/>
        </w:rPr>
        <w:t>现安全围栏</w:t>
      </w:r>
      <w:r>
        <w:rPr>
          <w:rFonts w:hint="eastAsia" w:ascii="宋体" w:hAnsi="宋体" w:eastAsia="宋体" w:cs="宋体"/>
          <w:color w:val="auto"/>
          <w:highlight w:val="none"/>
        </w:rPr>
        <w:t>评价</w:t>
      </w:r>
      <w:r>
        <w:rPr>
          <w:rFonts w:hint="eastAsia" w:ascii="宋体" w:hAnsi="宋体" w:eastAsia="宋体" w:cs="宋体"/>
          <w:color w:val="auto"/>
          <w:highlight w:val="none"/>
          <w:lang w:val="en-US" w:eastAsia="zh-CN"/>
        </w:rPr>
        <w:t>单元以及</w:t>
      </w:r>
      <w:r>
        <w:rPr>
          <w:rFonts w:hint="eastAsia" w:ascii="宋体" w:hAnsi="宋体" w:eastAsia="宋体" w:cs="宋体"/>
          <w:color w:val="auto"/>
          <w:highlight w:val="none"/>
        </w:rPr>
        <w:t>安全管理单元评价单元。</w:t>
      </w:r>
      <w:r>
        <w:rPr>
          <w:rFonts w:hint="eastAsia" w:ascii="宋体" w:hAnsi="宋体" w:cs="宋体"/>
          <w:color w:val="auto"/>
          <w:highlight w:val="none"/>
          <w:lang w:val="en-US" w:eastAsia="zh-CN"/>
        </w:rPr>
        <w:t>评价结论为“符合（不涉及）”、“不符合”。</w:t>
      </w:r>
    </w:p>
    <w:p w14:paraId="1275673E">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cs="宋体"/>
          <w:color w:val="auto"/>
          <w:highlight w:val="none"/>
          <w:lang w:val="en-US" w:eastAsia="zh-CN"/>
        </w:rPr>
      </w:pPr>
      <w:r>
        <w:rPr>
          <w:rFonts w:hint="eastAsia" w:ascii="宋体" w:hAnsi="宋体" w:cs="宋体"/>
          <w:bCs/>
          <w:color w:val="auto"/>
          <w:sz w:val="28"/>
          <w:szCs w:val="28"/>
          <w:highlight w:val="none"/>
          <w:lang w:val="en-US" w:eastAsia="zh-CN"/>
        </w:rPr>
        <w:t>2、</w:t>
      </w:r>
      <w:r>
        <w:rPr>
          <w:rFonts w:hint="eastAsia" w:ascii="宋体" w:hAnsi="宋体" w:eastAsia="宋体" w:cs="宋体"/>
          <w:bCs/>
          <w:color w:val="auto"/>
          <w:sz w:val="28"/>
          <w:szCs w:val="28"/>
          <w:highlight w:val="none"/>
          <w:lang w:val="en-US" w:eastAsia="zh-CN"/>
        </w:rPr>
        <w:t>按《国家矿山安全监察局关于印发</w:t>
      </w:r>
      <w:r>
        <w:rPr>
          <w:rFonts w:hint="eastAsia" w:ascii="宋体" w:hAnsi="宋体" w:eastAsia="宋体" w:cs="宋体"/>
          <w:color w:val="auto"/>
          <w:sz w:val="28"/>
          <w:szCs w:val="21"/>
          <w:highlight w:val="none"/>
          <w:lang w:val="en-US" w:eastAsia="zh-CN"/>
        </w:rPr>
        <w:t>&lt;</w:t>
      </w:r>
      <w:r>
        <w:rPr>
          <w:rFonts w:hint="eastAsia" w:ascii="宋体" w:hAnsi="宋体" w:eastAsia="宋体" w:cs="宋体"/>
          <w:bCs/>
          <w:color w:val="auto"/>
          <w:sz w:val="28"/>
          <w:szCs w:val="28"/>
          <w:highlight w:val="none"/>
          <w:lang w:val="en-US" w:eastAsia="zh-CN"/>
        </w:rPr>
        <w:t>金属非金属矿山重大事故隐患判定标准</w:t>
      </w:r>
      <w:r>
        <w:rPr>
          <w:rFonts w:hint="eastAsia" w:ascii="宋体" w:hAnsi="宋体" w:eastAsia="宋体" w:cs="宋体"/>
          <w:color w:val="auto"/>
          <w:sz w:val="28"/>
          <w:szCs w:val="21"/>
          <w:highlight w:val="none"/>
          <w:lang w:val="en-US" w:eastAsia="zh-CN"/>
        </w:rPr>
        <w:t>&gt;</w:t>
      </w:r>
      <w:r>
        <w:rPr>
          <w:rFonts w:hint="eastAsia" w:ascii="宋体" w:hAnsi="宋体" w:eastAsia="宋体" w:cs="宋体"/>
          <w:bCs/>
          <w:color w:val="auto"/>
          <w:sz w:val="28"/>
          <w:szCs w:val="28"/>
          <w:highlight w:val="none"/>
          <w:lang w:val="en-US" w:eastAsia="zh-CN"/>
        </w:rPr>
        <w:t>的通知》（矿安〔</w:t>
      </w:r>
      <w:r>
        <w:rPr>
          <w:rFonts w:hint="eastAsia" w:ascii="Times New Roman" w:hAnsi="Times New Roman" w:eastAsia="宋体" w:cs="宋体"/>
          <w:bCs/>
          <w:color w:val="auto"/>
          <w:sz w:val="28"/>
          <w:szCs w:val="28"/>
          <w:highlight w:val="none"/>
          <w:lang w:val="en-US" w:eastAsia="zh-CN"/>
        </w:rPr>
        <w:t>2022</w:t>
      </w:r>
      <w:r>
        <w:rPr>
          <w:rFonts w:hint="eastAsia" w:ascii="宋体" w:hAnsi="宋体" w:eastAsia="宋体" w:cs="宋体"/>
          <w:bCs/>
          <w:color w:val="auto"/>
          <w:sz w:val="28"/>
          <w:szCs w:val="28"/>
          <w:highlight w:val="none"/>
          <w:lang w:val="en-US" w:eastAsia="zh-CN"/>
        </w:rPr>
        <w:t>〕</w:t>
      </w:r>
      <w:r>
        <w:rPr>
          <w:rFonts w:hint="eastAsia" w:ascii="Times New Roman" w:hAnsi="Times New Roman" w:eastAsia="宋体" w:cs="宋体"/>
          <w:bCs/>
          <w:color w:val="auto"/>
          <w:sz w:val="28"/>
          <w:szCs w:val="28"/>
          <w:highlight w:val="none"/>
          <w:lang w:val="en-US" w:eastAsia="zh-CN"/>
        </w:rPr>
        <w:t>88</w:t>
      </w:r>
      <w:r>
        <w:rPr>
          <w:rFonts w:hint="eastAsia" w:ascii="宋体" w:hAnsi="宋体" w:eastAsia="宋体" w:cs="宋体"/>
          <w:bCs/>
          <w:color w:val="auto"/>
          <w:sz w:val="28"/>
          <w:szCs w:val="28"/>
          <w:highlight w:val="none"/>
          <w:lang w:val="en-US" w:eastAsia="zh-CN"/>
        </w:rPr>
        <w:t>号）与</w:t>
      </w:r>
      <w:r>
        <w:rPr>
          <w:rFonts w:hint="eastAsia" w:ascii="Times New Roman" w:hAnsi="Times New Roman" w:eastAsia="宋体" w:cs="宋体"/>
          <w:color w:val="auto"/>
          <w:kern w:val="2"/>
          <w:sz w:val="28"/>
          <w:szCs w:val="28"/>
          <w:highlight w:val="none"/>
          <w:lang w:val="en-US" w:eastAsia="zh-CN" w:bidi="ar-SA"/>
        </w:rPr>
        <w:t>《国家矿山安全监察局关于印发&lt;金属非金属矿山重大事故隐患判定标准补充情形&gt;的通知》（矿安〔2024〕41号）的</w:t>
      </w:r>
      <w:r>
        <w:rPr>
          <w:rFonts w:hint="eastAsia" w:ascii="宋体" w:hAnsi="宋体" w:eastAsia="宋体" w:cs="宋体"/>
          <w:bCs/>
          <w:color w:val="auto"/>
          <w:sz w:val="28"/>
          <w:szCs w:val="28"/>
          <w:highlight w:val="none"/>
          <w:lang w:val="en-US" w:eastAsia="zh-CN"/>
        </w:rPr>
        <w:t>要求进行重大事故隐患判定</w:t>
      </w:r>
      <w:r>
        <w:rPr>
          <w:rFonts w:hint="eastAsia" w:ascii="宋体" w:hAnsi="宋体" w:cs="宋体"/>
          <w:bCs/>
          <w:color w:val="auto"/>
          <w:sz w:val="28"/>
          <w:szCs w:val="28"/>
          <w:highlight w:val="none"/>
          <w:lang w:val="en-US" w:eastAsia="zh-CN"/>
        </w:rPr>
        <w:t>，将</w:t>
      </w:r>
      <w:r>
        <w:rPr>
          <w:rFonts w:hint="eastAsia" w:ascii="宋体" w:hAnsi="宋体" w:eastAsia="宋体" w:cs="宋体"/>
          <w:bCs/>
          <w:color w:val="auto"/>
          <w:sz w:val="28"/>
          <w:szCs w:val="28"/>
          <w:highlight w:val="none"/>
          <w:lang w:val="en-US" w:eastAsia="zh-CN"/>
        </w:rPr>
        <w:t>重大事故隐患判定作为一个评价单元。</w:t>
      </w:r>
      <w:r>
        <w:rPr>
          <w:rFonts w:hint="eastAsia" w:ascii="宋体" w:hAnsi="宋体" w:cs="宋体"/>
          <w:color w:val="auto"/>
          <w:highlight w:val="none"/>
          <w:lang w:val="en-US" w:eastAsia="zh-CN"/>
        </w:rPr>
        <w:t>评价结论为“不构成（符合、不涉及）”、“构成（不符合）”。</w:t>
      </w:r>
    </w:p>
    <w:p w14:paraId="73FED0E5">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default" w:ascii="宋体" w:hAnsi="宋体" w:cs="宋体"/>
          <w:color w:val="auto"/>
          <w:highlight w:val="none"/>
          <w:lang w:val="en-US" w:eastAsia="zh-CN"/>
        </w:rPr>
      </w:pPr>
      <w:r>
        <w:rPr>
          <w:rFonts w:hint="eastAsia" w:ascii="宋体" w:hAnsi="宋体" w:cs="宋体"/>
          <w:color w:val="auto"/>
          <w:highlight w:val="none"/>
          <w:lang w:val="en-US" w:eastAsia="zh-CN"/>
        </w:rPr>
        <w:t>3、按照</w:t>
      </w:r>
      <w:r>
        <w:rPr>
          <w:rFonts w:hint="eastAsia" w:ascii="宋体" w:hAnsi="宋体" w:eastAsia="宋体" w:cs="宋体"/>
          <w:color w:val="auto"/>
          <w:kern w:val="0"/>
          <w:sz w:val="28"/>
          <w:szCs w:val="28"/>
          <w:highlight w:val="none"/>
        </w:rPr>
        <w:t>《国家安全监管总局关于规范金属非金属矿山建设项目安全设施竣工验收工作的通知》（</w:t>
      </w:r>
      <w:r>
        <w:rPr>
          <w:rFonts w:hint="eastAsia" w:ascii="宋体" w:hAnsi="宋体" w:eastAsia="宋体" w:cs="宋体"/>
          <w:color w:val="auto"/>
          <w:kern w:val="0"/>
          <w:sz w:val="28"/>
          <w:szCs w:val="28"/>
          <w:highlight w:val="none"/>
          <w:lang w:eastAsia="zh-CN"/>
        </w:rPr>
        <w:t>安监</w:t>
      </w:r>
      <w:r>
        <w:rPr>
          <w:rFonts w:hint="eastAsia" w:ascii="宋体" w:hAnsi="宋体" w:eastAsia="宋体" w:cs="宋体"/>
          <w:color w:val="auto"/>
          <w:kern w:val="0"/>
          <w:sz w:val="28"/>
          <w:szCs w:val="28"/>
          <w:highlight w:val="none"/>
        </w:rPr>
        <w:t>总管一〔</w:t>
      </w:r>
      <w:r>
        <w:rPr>
          <w:rFonts w:hint="eastAsia" w:ascii="Times New Roman" w:hAnsi="Times New Roman" w:eastAsia="宋体" w:cs="宋体"/>
          <w:color w:val="auto"/>
          <w:kern w:val="0"/>
          <w:sz w:val="28"/>
          <w:szCs w:val="28"/>
          <w:highlight w:val="none"/>
        </w:rPr>
        <w:t>2016</w:t>
      </w:r>
      <w:r>
        <w:rPr>
          <w:rFonts w:hint="eastAsia" w:ascii="宋体" w:hAnsi="宋体" w:eastAsia="宋体" w:cs="宋体"/>
          <w:color w:val="auto"/>
          <w:kern w:val="0"/>
          <w:sz w:val="28"/>
          <w:szCs w:val="28"/>
          <w:highlight w:val="none"/>
        </w:rPr>
        <w:t>〕</w:t>
      </w:r>
      <w:r>
        <w:rPr>
          <w:rFonts w:hint="eastAsia" w:ascii="Times New Roman" w:hAnsi="Times New Roman" w:eastAsia="宋体" w:cs="宋体"/>
          <w:color w:val="auto"/>
          <w:kern w:val="0"/>
          <w:sz w:val="28"/>
          <w:szCs w:val="28"/>
          <w:highlight w:val="none"/>
        </w:rPr>
        <w:t>14</w:t>
      </w:r>
      <w:r>
        <w:rPr>
          <w:rFonts w:hint="eastAsia" w:ascii="宋体" w:hAnsi="宋体" w:eastAsia="宋体" w:cs="宋体"/>
          <w:color w:val="auto"/>
          <w:kern w:val="0"/>
          <w:sz w:val="28"/>
          <w:szCs w:val="28"/>
          <w:highlight w:val="none"/>
        </w:rPr>
        <w:t>号）</w:t>
      </w:r>
      <w:r>
        <w:rPr>
          <w:rFonts w:hint="eastAsia" w:ascii="宋体" w:hAnsi="宋体" w:eastAsia="宋体" w:cs="宋体"/>
          <w:color w:val="auto"/>
          <w:kern w:val="0"/>
          <w:sz w:val="28"/>
          <w:szCs w:val="28"/>
          <w:highlight w:val="none"/>
          <w:lang w:val="en-US" w:eastAsia="zh-CN"/>
        </w:rPr>
        <w:t>《验收表》表中排土场单元不涉及。</w:t>
      </w:r>
    </w:p>
    <w:p w14:paraId="2C21492F">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default" w:ascii="宋体" w:hAnsi="宋体" w:eastAsia="宋体" w:cs="宋体"/>
          <w:color w:val="auto"/>
          <w:highlight w:val="none"/>
          <w:lang w:val="en-US" w:eastAsia="zh-CN"/>
        </w:rPr>
      </w:pPr>
      <w:r>
        <w:rPr>
          <w:rFonts w:hint="eastAsia" w:ascii="宋体" w:hAnsi="宋体" w:cs="宋体"/>
          <w:bCs/>
          <w:color w:val="auto"/>
          <w:sz w:val="28"/>
          <w:szCs w:val="28"/>
          <w:highlight w:val="none"/>
          <w:lang w:val="en-US" w:eastAsia="zh-CN"/>
        </w:rPr>
        <w:t>4、另外，</w:t>
      </w:r>
      <w:r>
        <w:rPr>
          <w:rFonts w:hint="eastAsia"/>
          <w:color w:val="auto"/>
          <w:lang w:val="en-US" w:eastAsia="zh-CN"/>
        </w:rPr>
        <w:t>按照《</w:t>
      </w:r>
      <w:r>
        <w:rPr>
          <w:rFonts w:hint="eastAsia"/>
          <w:color w:val="auto"/>
          <w:lang w:eastAsia="zh-CN"/>
        </w:rPr>
        <w:t>国家矿山安全监察局综合司关于进一步加强矿山隐蔽致灾因素普查工作的通知》（矿安综函</w:t>
      </w:r>
      <w:r>
        <w:rPr>
          <w:color w:val="auto"/>
        </w:rPr>
        <w:t>〔202</w:t>
      </w:r>
      <w:r>
        <w:rPr>
          <w:rFonts w:hint="eastAsia"/>
          <w:color w:val="auto"/>
          <w:lang w:val="en-US" w:eastAsia="zh-CN"/>
        </w:rPr>
        <w:t>4</w:t>
      </w:r>
      <w:r>
        <w:rPr>
          <w:color w:val="auto"/>
        </w:rPr>
        <w:t>〕</w:t>
      </w:r>
      <w:r>
        <w:rPr>
          <w:rFonts w:hint="eastAsia"/>
          <w:color w:val="auto"/>
          <w:lang w:eastAsia="zh-CN"/>
        </w:rPr>
        <w:t>259号，</w:t>
      </w:r>
      <w:r>
        <w:rPr>
          <w:rFonts w:hint="eastAsia"/>
          <w:color w:val="auto"/>
        </w:rPr>
        <w:t>2024年11月1日起实施</w:t>
      </w:r>
      <w:r>
        <w:rPr>
          <w:rFonts w:hint="eastAsia"/>
          <w:color w:val="auto"/>
          <w:lang w:eastAsia="zh-CN"/>
        </w:rPr>
        <w:t>）</w:t>
      </w:r>
      <w:r>
        <w:rPr>
          <w:rFonts w:hint="eastAsia"/>
          <w:color w:val="auto"/>
          <w:lang w:val="en-US" w:eastAsia="zh-CN"/>
        </w:rPr>
        <w:t>要求，</w:t>
      </w:r>
      <w:r>
        <w:rPr>
          <w:rFonts w:hint="eastAsia" w:ascii="宋体" w:hAnsi="宋体" w:eastAsia="宋体" w:cs="宋体"/>
          <w:bCs/>
          <w:color w:val="auto"/>
          <w:sz w:val="28"/>
          <w:szCs w:val="28"/>
          <w:highlight w:val="none"/>
          <w:lang w:val="en-US" w:eastAsia="zh-CN"/>
        </w:rPr>
        <w:t>进行</w:t>
      </w:r>
      <w:r>
        <w:rPr>
          <w:rFonts w:hint="eastAsia"/>
          <w:color w:val="auto"/>
          <w:lang w:eastAsia="zh-CN"/>
        </w:rPr>
        <w:t>矿山隐蔽致灾因素</w:t>
      </w:r>
      <w:r>
        <w:rPr>
          <w:rFonts w:hint="eastAsia" w:ascii="宋体" w:hAnsi="宋体" w:eastAsia="宋体" w:cs="宋体"/>
          <w:bCs/>
          <w:color w:val="auto"/>
          <w:sz w:val="28"/>
          <w:szCs w:val="28"/>
          <w:highlight w:val="none"/>
          <w:lang w:val="en-US" w:eastAsia="zh-CN"/>
        </w:rPr>
        <w:t>评估</w:t>
      </w:r>
      <w:r>
        <w:rPr>
          <w:rFonts w:hint="eastAsia" w:ascii="宋体" w:hAnsi="宋体" w:cs="宋体"/>
          <w:bCs/>
          <w:color w:val="auto"/>
          <w:sz w:val="28"/>
          <w:szCs w:val="28"/>
          <w:highlight w:val="none"/>
          <w:lang w:val="en-US" w:eastAsia="zh-CN"/>
        </w:rPr>
        <w:t>，提出了开展</w:t>
      </w:r>
      <w:r>
        <w:rPr>
          <w:rFonts w:hint="eastAsia"/>
          <w:color w:val="auto"/>
          <w:lang w:eastAsia="zh-CN"/>
        </w:rPr>
        <w:t>矿山隐蔽致灾因素普查</w:t>
      </w:r>
      <w:r>
        <w:rPr>
          <w:rFonts w:hint="eastAsia"/>
          <w:color w:val="auto"/>
          <w:lang w:val="en-US" w:eastAsia="zh-CN"/>
        </w:rPr>
        <w:t>的建议</w:t>
      </w:r>
      <w:r>
        <w:rPr>
          <w:rFonts w:hint="eastAsia" w:ascii="宋体" w:hAnsi="宋体" w:cs="宋体"/>
          <w:color w:val="auto"/>
          <w:highlight w:val="none"/>
          <w:lang w:val="en-US" w:eastAsia="zh-CN"/>
        </w:rPr>
        <w:t>。</w:t>
      </w:r>
    </w:p>
    <w:p w14:paraId="7C27759F">
      <w:pPr>
        <w:pStyle w:val="3"/>
      </w:pPr>
      <w:bookmarkStart w:id="278" w:name="_Toc30248"/>
      <w:r>
        <w:t>3.1安全设施</w:t>
      </w:r>
      <w:r>
        <w:rPr>
          <w:rFonts w:hint="eastAsia"/>
          <w:lang w:eastAsia="zh-CN"/>
        </w:rPr>
        <w:t>“</w:t>
      </w:r>
      <w:r>
        <w:t>三同时</w:t>
      </w:r>
      <w:r>
        <w:rPr>
          <w:rFonts w:hint="eastAsia"/>
          <w:lang w:eastAsia="zh-CN"/>
        </w:rPr>
        <w:t>”</w:t>
      </w:r>
      <w:r>
        <w:t>程序</w:t>
      </w:r>
      <w:bookmarkEnd w:id="276"/>
      <w:bookmarkEnd w:id="277"/>
      <w:bookmarkEnd w:id="278"/>
    </w:p>
    <w:p w14:paraId="10D85A83">
      <w:pPr>
        <w:pStyle w:val="4"/>
      </w:pPr>
      <w:bookmarkStart w:id="279" w:name="_Toc30599"/>
      <w:bookmarkStart w:id="280" w:name="_Toc214284030"/>
      <w:bookmarkStart w:id="281" w:name="_Toc18783"/>
      <w:r>
        <w:t>3.1.1安全设施三同时程序符合性评价</w:t>
      </w:r>
      <w:bookmarkEnd w:id="279"/>
      <w:bookmarkEnd w:id="280"/>
      <w:bookmarkEnd w:id="281"/>
    </w:p>
    <w:p w14:paraId="5AD0A58B">
      <w:pPr>
        <w:bidi w:val="0"/>
        <w:rPr>
          <w:rFonts w:hint="eastAsia"/>
          <w:lang w:val="en-US" w:eastAsia="zh-CN"/>
        </w:rPr>
      </w:pPr>
      <w:r>
        <w:rPr>
          <w:rFonts w:hint="eastAsia"/>
          <w:lang w:val="en-US" w:eastAsia="zh-CN"/>
        </w:rPr>
        <w:t>1、按</w:t>
      </w:r>
      <w:r>
        <w:rPr>
          <w:rFonts w:hint="eastAsia"/>
          <w:lang w:eastAsia="zh-CN"/>
        </w:rPr>
        <w:t>安监</w:t>
      </w:r>
      <w:r>
        <w:rPr>
          <w:rFonts w:hint="eastAsia"/>
        </w:rPr>
        <w:t>总管一〔2016〕14号</w:t>
      </w:r>
      <w:r>
        <w:rPr>
          <w:rFonts w:hint="eastAsia"/>
          <w:lang w:val="en-US" w:eastAsia="zh-CN"/>
        </w:rPr>
        <w:t>设置的检查项评价</w:t>
      </w:r>
    </w:p>
    <w:p w14:paraId="29721972">
      <w:pPr>
        <w:bidi w:val="0"/>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《金属非金属露天矿山建设项目安全设施竣工验收表》，采用检查表对矿山建设企业的程序符合性进行检查，对项目安全设施“三同时”程序及实施情况的合法性进行评价。</w:t>
      </w:r>
    </w:p>
    <w:tbl>
      <w:tblPr>
        <w:tblStyle w:val="35"/>
        <w:tblW w:w="513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9"/>
        <w:gridCol w:w="1123"/>
        <w:gridCol w:w="679"/>
        <w:gridCol w:w="630"/>
        <w:gridCol w:w="3055"/>
        <w:gridCol w:w="2963"/>
        <w:gridCol w:w="685"/>
      </w:tblGrid>
      <w:tr w14:paraId="3B9434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50" w:type="pct"/>
            <w:vMerge w:val="restart"/>
            <w:noWrap w:val="0"/>
            <w:vAlign w:val="center"/>
          </w:tcPr>
          <w:p w14:paraId="1153CD4B">
            <w:pPr>
              <w:pStyle w:val="56"/>
              <w:bidi w:val="0"/>
            </w:pPr>
            <w:r>
              <w:t>序号</w:t>
            </w:r>
          </w:p>
        </w:tc>
        <w:tc>
          <w:tcPr>
            <w:tcW w:w="571" w:type="pct"/>
            <w:vMerge w:val="restart"/>
            <w:noWrap w:val="0"/>
            <w:vAlign w:val="center"/>
          </w:tcPr>
          <w:p w14:paraId="18B2FB72">
            <w:pPr>
              <w:pStyle w:val="56"/>
              <w:bidi w:val="0"/>
            </w:pPr>
            <w:r>
              <w:t>检查项目</w:t>
            </w:r>
          </w:p>
        </w:tc>
        <w:tc>
          <w:tcPr>
            <w:tcW w:w="345" w:type="pct"/>
            <w:vMerge w:val="restart"/>
            <w:noWrap w:val="0"/>
            <w:vAlign w:val="center"/>
          </w:tcPr>
          <w:p w14:paraId="07510960">
            <w:pPr>
              <w:pStyle w:val="56"/>
              <w:bidi w:val="0"/>
            </w:pPr>
            <w:r>
              <w:t>安全设施类别</w:t>
            </w:r>
          </w:p>
        </w:tc>
        <w:tc>
          <w:tcPr>
            <w:tcW w:w="320" w:type="pct"/>
            <w:vMerge w:val="restart"/>
            <w:noWrap w:val="0"/>
            <w:vAlign w:val="center"/>
          </w:tcPr>
          <w:p w14:paraId="07192B97">
            <w:pPr>
              <w:pStyle w:val="56"/>
              <w:bidi w:val="0"/>
            </w:pPr>
            <w:r>
              <w:t>检查类别</w:t>
            </w:r>
          </w:p>
        </w:tc>
        <w:tc>
          <w:tcPr>
            <w:tcW w:w="1555" w:type="pct"/>
            <w:vMerge w:val="restart"/>
            <w:noWrap w:val="0"/>
            <w:vAlign w:val="center"/>
          </w:tcPr>
          <w:p w14:paraId="7328F3E0">
            <w:pPr>
              <w:pStyle w:val="56"/>
              <w:bidi w:val="0"/>
            </w:pPr>
            <w:r>
              <w:t>检查内容、检查方法</w:t>
            </w:r>
          </w:p>
        </w:tc>
        <w:tc>
          <w:tcPr>
            <w:tcW w:w="1507" w:type="pct"/>
            <w:vMerge w:val="restart"/>
            <w:noWrap w:val="0"/>
            <w:vAlign w:val="center"/>
          </w:tcPr>
          <w:p w14:paraId="5A3FBE5A">
            <w:pPr>
              <w:pStyle w:val="56"/>
              <w:bidi w:val="0"/>
            </w:pPr>
            <w:r>
              <w:t>存在问题</w:t>
            </w:r>
          </w:p>
        </w:tc>
        <w:tc>
          <w:tcPr>
            <w:tcW w:w="348" w:type="pct"/>
            <w:vMerge w:val="restart"/>
            <w:noWrap w:val="0"/>
            <w:vAlign w:val="center"/>
          </w:tcPr>
          <w:p w14:paraId="44411FE2">
            <w:pPr>
              <w:pStyle w:val="56"/>
              <w:bidi w:val="0"/>
            </w:pPr>
            <w:r>
              <w:t>检查结果</w:t>
            </w:r>
          </w:p>
        </w:tc>
      </w:tr>
      <w:tr w14:paraId="2DFCF6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8" w:hRule="atLeast"/>
          <w:tblHeader/>
          <w:jc w:val="center"/>
        </w:trPr>
        <w:tc>
          <w:tcPr>
            <w:tcW w:w="350" w:type="pct"/>
            <w:vMerge w:val="continue"/>
            <w:noWrap w:val="0"/>
            <w:vAlign w:val="center"/>
          </w:tcPr>
          <w:p w14:paraId="4895901B">
            <w:pPr>
              <w:spacing w:line="240" w:lineRule="atLeast"/>
              <w:jc w:val="center"/>
              <w:rPr>
                <w:b/>
                <w:sz w:val="24"/>
              </w:rPr>
            </w:pPr>
          </w:p>
        </w:tc>
        <w:tc>
          <w:tcPr>
            <w:tcW w:w="571" w:type="pct"/>
            <w:vMerge w:val="continue"/>
            <w:noWrap w:val="0"/>
            <w:vAlign w:val="center"/>
          </w:tcPr>
          <w:p w14:paraId="23B0EA2E">
            <w:pPr>
              <w:spacing w:line="240" w:lineRule="atLeast"/>
              <w:jc w:val="center"/>
              <w:rPr>
                <w:b/>
                <w:sz w:val="24"/>
              </w:rPr>
            </w:pPr>
          </w:p>
        </w:tc>
        <w:tc>
          <w:tcPr>
            <w:tcW w:w="345" w:type="pct"/>
            <w:vMerge w:val="continue"/>
            <w:noWrap w:val="0"/>
            <w:vAlign w:val="top"/>
          </w:tcPr>
          <w:p w14:paraId="78352D52">
            <w:pPr>
              <w:spacing w:line="240" w:lineRule="atLeast"/>
              <w:jc w:val="center"/>
              <w:rPr>
                <w:b/>
                <w:sz w:val="24"/>
              </w:rPr>
            </w:pPr>
          </w:p>
        </w:tc>
        <w:tc>
          <w:tcPr>
            <w:tcW w:w="320" w:type="pct"/>
            <w:vMerge w:val="continue"/>
            <w:noWrap w:val="0"/>
            <w:vAlign w:val="center"/>
          </w:tcPr>
          <w:p w14:paraId="738B4EFE">
            <w:pPr>
              <w:spacing w:line="240" w:lineRule="atLeast"/>
              <w:jc w:val="center"/>
              <w:rPr>
                <w:b/>
                <w:sz w:val="24"/>
              </w:rPr>
            </w:pPr>
          </w:p>
        </w:tc>
        <w:tc>
          <w:tcPr>
            <w:tcW w:w="1555" w:type="pct"/>
            <w:vMerge w:val="continue"/>
            <w:noWrap w:val="0"/>
            <w:vAlign w:val="center"/>
          </w:tcPr>
          <w:p w14:paraId="05BC44AC">
            <w:pPr>
              <w:spacing w:line="240" w:lineRule="atLeast"/>
              <w:jc w:val="center"/>
              <w:rPr>
                <w:b/>
                <w:sz w:val="24"/>
              </w:rPr>
            </w:pPr>
          </w:p>
        </w:tc>
        <w:tc>
          <w:tcPr>
            <w:tcW w:w="1507" w:type="pct"/>
            <w:vMerge w:val="continue"/>
            <w:noWrap w:val="0"/>
            <w:vAlign w:val="center"/>
          </w:tcPr>
          <w:p w14:paraId="514513DD">
            <w:pPr>
              <w:spacing w:line="240" w:lineRule="atLeast"/>
              <w:jc w:val="center"/>
              <w:rPr>
                <w:b/>
                <w:sz w:val="24"/>
              </w:rPr>
            </w:pPr>
          </w:p>
        </w:tc>
        <w:tc>
          <w:tcPr>
            <w:tcW w:w="348" w:type="pct"/>
            <w:vMerge w:val="continue"/>
            <w:noWrap w:val="0"/>
            <w:vAlign w:val="center"/>
          </w:tcPr>
          <w:p w14:paraId="7F0981DD">
            <w:pPr>
              <w:spacing w:line="240" w:lineRule="atLeast"/>
              <w:jc w:val="center"/>
              <w:rPr>
                <w:b/>
                <w:sz w:val="24"/>
              </w:rPr>
            </w:pPr>
          </w:p>
        </w:tc>
      </w:tr>
      <w:tr w14:paraId="178B70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0" w:type="pct"/>
            <w:noWrap w:val="0"/>
            <w:vAlign w:val="center"/>
          </w:tcPr>
          <w:p w14:paraId="6476BD74">
            <w:pPr>
              <w:pStyle w:val="55"/>
              <w:bidi w:val="0"/>
            </w:pPr>
            <w:r>
              <w:t>1</w:t>
            </w:r>
          </w:p>
        </w:tc>
        <w:tc>
          <w:tcPr>
            <w:tcW w:w="571" w:type="pct"/>
            <w:noWrap w:val="0"/>
            <w:vAlign w:val="center"/>
          </w:tcPr>
          <w:p w14:paraId="777A5EAA">
            <w:pPr>
              <w:pStyle w:val="55"/>
              <w:bidi w:val="0"/>
            </w:pPr>
            <w:r>
              <w:rPr>
                <w:rFonts w:hint="eastAsia"/>
              </w:rPr>
              <w:t>“</w:t>
            </w:r>
            <w:r>
              <w:t>三同时</w:t>
            </w:r>
            <w:r>
              <w:rPr>
                <w:rFonts w:hint="eastAsia"/>
              </w:rPr>
              <w:t>”</w:t>
            </w:r>
            <w:r>
              <w:t>情况</w:t>
            </w:r>
          </w:p>
        </w:tc>
        <w:tc>
          <w:tcPr>
            <w:tcW w:w="345" w:type="pct"/>
            <w:noWrap w:val="0"/>
            <w:vAlign w:val="center"/>
          </w:tcPr>
          <w:p w14:paraId="028A9E01">
            <w:pPr>
              <w:pStyle w:val="55"/>
              <w:bidi w:val="0"/>
            </w:pPr>
          </w:p>
        </w:tc>
        <w:tc>
          <w:tcPr>
            <w:tcW w:w="320" w:type="pct"/>
            <w:noWrap w:val="0"/>
            <w:vAlign w:val="center"/>
          </w:tcPr>
          <w:p w14:paraId="01EA7BB6">
            <w:pPr>
              <w:pStyle w:val="55"/>
              <w:bidi w:val="0"/>
            </w:pPr>
          </w:p>
        </w:tc>
        <w:tc>
          <w:tcPr>
            <w:tcW w:w="1555" w:type="pct"/>
            <w:noWrap w:val="0"/>
            <w:vAlign w:val="center"/>
          </w:tcPr>
          <w:p w14:paraId="25184FE3">
            <w:pPr>
              <w:pStyle w:val="55"/>
              <w:bidi w:val="0"/>
            </w:pPr>
          </w:p>
        </w:tc>
        <w:tc>
          <w:tcPr>
            <w:tcW w:w="1507" w:type="pct"/>
            <w:noWrap w:val="0"/>
            <w:vAlign w:val="center"/>
          </w:tcPr>
          <w:p w14:paraId="4198D9AF">
            <w:pPr>
              <w:pStyle w:val="55"/>
              <w:bidi w:val="0"/>
            </w:pPr>
          </w:p>
        </w:tc>
        <w:tc>
          <w:tcPr>
            <w:tcW w:w="348" w:type="pct"/>
            <w:noWrap w:val="0"/>
            <w:vAlign w:val="center"/>
          </w:tcPr>
          <w:p w14:paraId="225493D6">
            <w:pPr>
              <w:pStyle w:val="55"/>
              <w:bidi w:val="0"/>
            </w:pPr>
          </w:p>
        </w:tc>
      </w:tr>
      <w:tr w14:paraId="6D4F8B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80" w:hRule="atLeast"/>
          <w:jc w:val="center"/>
        </w:trPr>
        <w:tc>
          <w:tcPr>
            <w:tcW w:w="350" w:type="pct"/>
            <w:noWrap w:val="0"/>
            <w:vAlign w:val="center"/>
          </w:tcPr>
          <w:p w14:paraId="268A3579">
            <w:pPr>
              <w:pStyle w:val="55"/>
              <w:bidi w:val="0"/>
            </w:pPr>
            <w:r>
              <w:t>1.1</w:t>
            </w:r>
          </w:p>
        </w:tc>
        <w:tc>
          <w:tcPr>
            <w:tcW w:w="571" w:type="pct"/>
            <w:noWrap w:val="0"/>
            <w:vAlign w:val="center"/>
          </w:tcPr>
          <w:p w14:paraId="3FE437CB">
            <w:pPr>
              <w:pStyle w:val="55"/>
              <w:bidi w:val="0"/>
            </w:pPr>
            <w:r>
              <w:t>安全设施设计</w:t>
            </w:r>
          </w:p>
        </w:tc>
        <w:tc>
          <w:tcPr>
            <w:tcW w:w="345" w:type="pct"/>
            <w:noWrap w:val="0"/>
            <w:vAlign w:val="center"/>
          </w:tcPr>
          <w:p w14:paraId="406DDC8B">
            <w:pPr>
              <w:pStyle w:val="55"/>
              <w:bidi w:val="0"/>
            </w:pPr>
          </w:p>
        </w:tc>
        <w:tc>
          <w:tcPr>
            <w:tcW w:w="320" w:type="pct"/>
            <w:noWrap w:val="0"/>
            <w:vAlign w:val="center"/>
          </w:tcPr>
          <w:p w14:paraId="54EBC8F1">
            <w:pPr>
              <w:pStyle w:val="55"/>
              <w:bidi w:val="0"/>
            </w:pPr>
            <w:r>
              <w:t>■</w:t>
            </w:r>
          </w:p>
        </w:tc>
        <w:tc>
          <w:tcPr>
            <w:tcW w:w="1555" w:type="pct"/>
            <w:noWrap w:val="0"/>
            <w:vAlign w:val="center"/>
          </w:tcPr>
          <w:p w14:paraId="578F7180">
            <w:pPr>
              <w:pStyle w:val="55"/>
              <w:bidi w:val="0"/>
            </w:pPr>
            <w:r>
              <w:t>检查内容：安全设施设计是否经过相应的安全监管部门审批，存在重大变更的，是否经原审查部门审查同意。</w:t>
            </w:r>
          </w:p>
          <w:p w14:paraId="28F59F72">
            <w:pPr>
              <w:pStyle w:val="55"/>
              <w:bidi w:val="0"/>
            </w:pPr>
            <w:r>
              <w:t>检查方法：查阅安全设施设计批复文件及重大设计变更批复文件。</w:t>
            </w:r>
          </w:p>
        </w:tc>
        <w:tc>
          <w:tcPr>
            <w:tcW w:w="1507" w:type="pct"/>
            <w:noWrap w:val="0"/>
            <w:vAlign w:val="center"/>
          </w:tcPr>
          <w:p w14:paraId="105128A3">
            <w:pPr>
              <w:pStyle w:val="55"/>
              <w:bidi w:val="0"/>
            </w:pPr>
            <w:r>
              <w:t>《安全设施设计》由云南增股工程勘察设计有限公司于202</w:t>
            </w:r>
            <w:r>
              <w:rPr>
                <w:rFonts w:hint="eastAsia"/>
                <w:lang w:val="en-US" w:eastAsia="zh-CN"/>
              </w:rPr>
              <w:t>5</w:t>
            </w:r>
            <w:r>
              <w:t>年</w:t>
            </w:r>
            <w:r>
              <w:rPr>
                <w:rFonts w:hint="eastAsia"/>
                <w:lang w:val="en-US" w:eastAsia="zh-CN"/>
              </w:rPr>
              <w:t>3</w:t>
            </w:r>
            <w:r>
              <w:t>月编制完成安全设施设计，并经过广南县应急管理局组织评审通过。202</w:t>
            </w:r>
            <w:r>
              <w:rPr>
                <w:rFonts w:hint="eastAsia"/>
                <w:lang w:val="en-US" w:eastAsia="zh-CN"/>
              </w:rPr>
              <w:t>5</w:t>
            </w:r>
            <w:r>
              <w:t>年</w:t>
            </w:r>
            <w:r>
              <w:rPr>
                <w:rFonts w:hint="eastAsia"/>
                <w:lang w:val="en-US" w:eastAsia="zh-CN"/>
              </w:rPr>
              <w:t>6</w:t>
            </w:r>
            <w:r>
              <w:t>月</w:t>
            </w:r>
            <w:r>
              <w:rPr>
                <w:rFonts w:hint="eastAsia"/>
                <w:lang w:val="en-US" w:eastAsia="zh-CN"/>
              </w:rPr>
              <w:t>19</w:t>
            </w:r>
            <w:r>
              <w:t>日，取得</w:t>
            </w:r>
            <w:r>
              <w:rPr>
                <w:rFonts w:hint="eastAsia"/>
                <w:lang w:val="en-US" w:eastAsia="zh-CN"/>
              </w:rPr>
              <w:t>文山州</w:t>
            </w:r>
            <w:r>
              <w:t>应急管理局批准的《云南省建设项目安全设施设计审批书》</w:t>
            </w:r>
          </w:p>
        </w:tc>
        <w:tc>
          <w:tcPr>
            <w:tcW w:w="348" w:type="pct"/>
            <w:noWrap w:val="0"/>
            <w:vAlign w:val="center"/>
          </w:tcPr>
          <w:p w14:paraId="30DC1EB1">
            <w:pPr>
              <w:pStyle w:val="55"/>
              <w:bidi w:val="0"/>
            </w:pPr>
            <w:r>
              <w:t>符合</w:t>
            </w:r>
          </w:p>
        </w:tc>
      </w:tr>
      <w:tr w14:paraId="1EF47B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69" w:hRule="atLeast"/>
          <w:jc w:val="center"/>
        </w:trPr>
        <w:tc>
          <w:tcPr>
            <w:tcW w:w="350" w:type="pct"/>
            <w:noWrap w:val="0"/>
            <w:vAlign w:val="center"/>
          </w:tcPr>
          <w:p w14:paraId="706E015E">
            <w:pPr>
              <w:pStyle w:val="55"/>
              <w:bidi w:val="0"/>
            </w:pPr>
            <w:r>
              <w:t>1.2</w:t>
            </w:r>
          </w:p>
        </w:tc>
        <w:tc>
          <w:tcPr>
            <w:tcW w:w="571" w:type="pct"/>
            <w:noWrap w:val="0"/>
            <w:vAlign w:val="center"/>
          </w:tcPr>
          <w:p w14:paraId="34F34AF5">
            <w:pPr>
              <w:pStyle w:val="55"/>
              <w:bidi w:val="0"/>
            </w:pPr>
            <w:r>
              <w:t>项目完工情况</w:t>
            </w:r>
          </w:p>
        </w:tc>
        <w:tc>
          <w:tcPr>
            <w:tcW w:w="345" w:type="pct"/>
            <w:noWrap w:val="0"/>
            <w:vAlign w:val="center"/>
          </w:tcPr>
          <w:p w14:paraId="300C1311">
            <w:pPr>
              <w:pStyle w:val="55"/>
              <w:bidi w:val="0"/>
            </w:pPr>
          </w:p>
        </w:tc>
        <w:tc>
          <w:tcPr>
            <w:tcW w:w="320" w:type="pct"/>
            <w:noWrap w:val="0"/>
            <w:vAlign w:val="center"/>
          </w:tcPr>
          <w:p w14:paraId="0110D4ED">
            <w:pPr>
              <w:pStyle w:val="55"/>
              <w:bidi w:val="0"/>
            </w:pPr>
            <w:r>
              <w:t>■</w:t>
            </w:r>
          </w:p>
        </w:tc>
        <w:tc>
          <w:tcPr>
            <w:tcW w:w="1555" w:type="pct"/>
            <w:noWrap w:val="0"/>
            <w:vAlign w:val="center"/>
          </w:tcPr>
          <w:p w14:paraId="2B4128F6">
            <w:pPr>
              <w:pStyle w:val="55"/>
              <w:bidi w:val="0"/>
            </w:pPr>
            <w:r>
              <w:t>检查内容：建设项目竣工验收前，是否按照批准的安全设施设计内容完成全部的安全设施，单项工程验收合格，具备安全生产条件，并提交自查报告。</w:t>
            </w:r>
          </w:p>
          <w:p w14:paraId="5D4B571E">
            <w:pPr>
              <w:pStyle w:val="55"/>
              <w:bidi w:val="0"/>
            </w:pPr>
            <w:r>
              <w:t>检查方法：查阅单项工程验收资料、自查报告。</w:t>
            </w:r>
          </w:p>
        </w:tc>
        <w:tc>
          <w:tcPr>
            <w:tcW w:w="1507" w:type="pct"/>
            <w:noWrap w:val="0"/>
            <w:vAlign w:val="center"/>
          </w:tcPr>
          <w:p w14:paraId="0E17CA6D">
            <w:pPr>
              <w:pStyle w:val="55"/>
              <w:bidi w:val="0"/>
            </w:pPr>
            <w:r>
              <w:rPr>
                <w:rFonts w:ascii="Times New Roman" w:hAnsi="Times New Roman"/>
                <w:color w:val="000000" w:themeColor="text1"/>
                <w:sz w:val="21"/>
                <w:szCs w:val="21"/>
                <w14:textFill>
                  <w14:solidFill>
                    <w14:schemeClr w14:val="tx1"/>
                  </w14:solidFill>
                </w14:textFill>
              </w:rPr>
              <w:t>企业已按照批准的安全设施设计内容完成全部的安全设施（开拓公路、基建平台、安全警示标志设置、建立台账等），单项工程验收合格，具备安全生产条件</w:t>
            </w:r>
          </w:p>
        </w:tc>
        <w:tc>
          <w:tcPr>
            <w:tcW w:w="348" w:type="pct"/>
            <w:noWrap w:val="0"/>
            <w:vAlign w:val="center"/>
          </w:tcPr>
          <w:p w14:paraId="7BC43652">
            <w:pPr>
              <w:pStyle w:val="55"/>
              <w:bidi w:val="0"/>
            </w:pPr>
            <w:r>
              <w:t>符合</w:t>
            </w:r>
          </w:p>
        </w:tc>
      </w:tr>
      <w:tr w14:paraId="0F997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29" w:hRule="atLeast"/>
          <w:jc w:val="center"/>
        </w:trPr>
        <w:tc>
          <w:tcPr>
            <w:tcW w:w="350" w:type="pct"/>
            <w:noWrap w:val="0"/>
            <w:vAlign w:val="center"/>
          </w:tcPr>
          <w:p w14:paraId="10EB4CD9">
            <w:pPr>
              <w:pStyle w:val="55"/>
              <w:bidi w:val="0"/>
            </w:pPr>
            <w:r>
              <w:t>1.3</w:t>
            </w:r>
          </w:p>
        </w:tc>
        <w:tc>
          <w:tcPr>
            <w:tcW w:w="571" w:type="pct"/>
            <w:noWrap w:val="0"/>
            <w:vAlign w:val="center"/>
          </w:tcPr>
          <w:p w14:paraId="39D9E3A5">
            <w:pPr>
              <w:pStyle w:val="55"/>
              <w:bidi w:val="0"/>
            </w:pPr>
            <w:r>
              <w:t>安全设施验收评价</w:t>
            </w:r>
          </w:p>
        </w:tc>
        <w:tc>
          <w:tcPr>
            <w:tcW w:w="345" w:type="pct"/>
            <w:noWrap w:val="0"/>
            <w:vAlign w:val="center"/>
          </w:tcPr>
          <w:p w14:paraId="30597E79">
            <w:pPr>
              <w:pStyle w:val="55"/>
              <w:bidi w:val="0"/>
            </w:pPr>
          </w:p>
        </w:tc>
        <w:tc>
          <w:tcPr>
            <w:tcW w:w="320" w:type="pct"/>
            <w:noWrap w:val="0"/>
            <w:vAlign w:val="center"/>
          </w:tcPr>
          <w:p w14:paraId="2EE92CA4">
            <w:pPr>
              <w:pStyle w:val="55"/>
              <w:bidi w:val="0"/>
            </w:pPr>
            <w:r>
              <w:t>■</w:t>
            </w:r>
          </w:p>
        </w:tc>
        <w:tc>
          <w:tcPr>
            <w:tcW w:w="1555" w:type="pct"/>
            <w:noWrap w:val="0"/>
            <w:vAlign w:val="center"/>
          </w:tcPr>
          <w:p w14:paraId="6EBEEA23">
            <w:pPr>
              <w:pStyle w:val="55"/>
              <w:bidi w:val="0"/>
            </w:pPr>
            <w:r>
              <w:t>检查内容：是否具有资质的安全评价机构进行安全设施验收评价，且评价结论为具备安全验收条件。</w:t>
            </w:r>
          </w:p>
          <w:p w14:paraId="7DAB74B7">
            <w:pPr>
              <w:pStyle w:val="55"/>
              <w:bidi w:val="0"/>
            </w:pPr>
            <w:r>
              <w:t>检查方法：查阅安全设施验收评价报告。</w:t>
            </w:r>
          </w:p>
        </w:tc>
        <w:tc>
          <w:tcPr>
            <w:tcW w:w="1507" w:type="pct"/>
            <w:noWrap w:val="0"/>
            <w:vAlign w:val="center"/>
          </w:tcPr>
          <w:p w14:paraId="7BF8BE2D">
            <w:pPr>
              <w:pStyle w:val="55"/>
              <w:bidi w:val="0"/>
            </w:pPr>
            <w:r>
              <w:rPr>
                <w:rFonts w:ascii="Times New Roman" w:hAnsi="Times New Roman"/>
                <w:color w:val="000000" w:themeColor="text1"/>
                <w:sz w:val="21"/>
                <w:szCs w:val="21"/>
                <w14:textFill>
                  <w14:solidFill>
                    <w14:schemeClr w14:val="tx1"/>
                  </w14:solidFill>
                </w14:textFill>
              </w:rPr>
              <w:t>建设单位委托江西赣安安全生产科学技术咨询服务中心编制《安全设施验收评价报告》。资质证书编号：APJ-</w:t>
            </w:r>
            <w:r>
              <w:rPr>
                <w:rFonts w:hint="eastAsia" w:ascii="Times New Roman" w:hAnsi="Times New Roman"/>
                <w:color w:val="000000" w:themeColor="text1"/>
                <w:sz w:val="21"/>
                <w:szCs w:val="21"/>
                <w:lang w:eastAsia="zh-CN"/>
                <w14:textFill>
                  <w14:solidFill>
                    <w14:schemeClr w14:val="tx1"/>
                  </w14:solidFill>
                </w14:textFill>
              </w:rPr>
              <w:t>（</w:t>
            </w:r>
            <w:r>
              <w:rPr>
                <w:rFonts w:ascii="Times New Roman" w:hAnsi="Times New Roman"/>
                <w:color w:val="000000" w:themeColor="text1"/>
                <w:sz w:val="21"/>
                <w:szCs w:val="21"/>
                <w14:textFill>
                  <w14:solidFill>
                    <w14:schemeClr w14:val="tx1"/>
                  </w14:solidFill>
                </w14:textFill>
              </w:rPr>
              <w:t>赣）-002，业务范围：金属、非金属矿及其他矿业采选业；陆上汽油管道运输业；石油加工业、化学原料、化学品及医药制造业；烟花爆竹制造业；金属冶炼。</w:t>
            </w:r>
          </w:p>
        </w:tc>
        <w:tc>
          <w:tcPr>
            <w:tcW w:w="348" w:type="pct"/>
            <w:noWrap w:val="0"/>
            <w:vAlign w:val="center"/>
          </w:tcPr>
          <w:p w14:paraId="5A2A5211">
            <w:pPr>
              <w:pStyle w:val="55"/>
              <w:bidi w:val="0"/>
            </w:pPr>
            <w:r>
              <w:t>符合</w:t>
            </w:r>
          </w:p>
        </w:tc>
      </w:tr>
      <w:tr w14:paraId="19496B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350" w:type="pct"/>
            <w:noWrap w:val="0"/>
            <w:vAlign w:val="center"/>
          </w:tcPr>
          <w:p w14:paraId="326FEF49">
            <w:pPr>
              <w:pStyle w:val="55"/>
              <w:bidi w:val="0"/>
            </w:pPr>
            <w:r>
              <w:rPr>
                <w:rFonts w:hint="eastAsia"/>
              </w:rPr>
              <w:t>2</w:t>
            </w:r>
          </w:p>
        </w:tc>
        <w:tc>
          <w:tcPr>
            <w:tcW w:w="571" w:type="pct"/>
            <w:noWrap w:val="0"/>
            <w:vAlign w:val="center"/>
          </w:tcPr>
          <w:p w14:paraId="13F1C5D5">
            <w:pPr>
              <w:pStyle w:val="55"/>
              <w:bidi w:val="0"/>
            </w:pPr>
            <w:r>
              <w:t>相关单位资质</w:t>
            </w:r>
          </w:p>
        </w:tc>
        <w:tc>
          <w:tcPr>
            <w:tcW w:w="345" w:type="pct"/>
            <w:noWrap w:val="0"/>
            <w:vAlign w:val="center"/>
          </w:tcPr>
          <w:p w14:paraId="7F683112">
            <w:pPr>
              <w:pStyle w:val="55"/>
              <w:bidi w:val="0"/>
            </w:pPr>
          </w:p>
        </w:tc>
        <w:tc>
          <w:tcPr>
            <w:tcW w:w="320" w:type="pct"/>
            <w:noWrap w:val="0"/>
            <w:vAlign w:val="center"/>
          </w:tcPr>
          <w:p w14:paraId="21092CB1">
            <w:pPr>
              <w:pStyle w:val="55"/>
              <w:bidi w:val="0"/>
            </w:pPr>
          </w:p>
        </w:tc>
        <w:tc>
          <w:tcPr>
            <w:tcW w:w="1555" w:type="pct"/>
            <w:noWrap w:val="0"/>
            <w:vAlign w:val="center"/>
          </w:tcPr>
          <w:p w14:paraId="295ABDA1">
            <w:pPr>
              <w:pStyle w:val="55"/>
              <w:bidi w:val="0"/>
            </w:pPr>
          </w:p>
        </w:tc>
        <w:tc>
          <w:tcPr>
            <w:tcW w:w="1507" w:type="pct"/>
            <w:noWrap w:val="0"/>
            <w:vAlign w:val="center"/>
          </w:tcPr>
          <w:p w14:paraId="4E33568E">
            <w:pPr>
              <w:pStyle w:val="55"/>
              <w:bidi w:val="0"/>
            </w:pPr>
          </w:p>
        </w:tc>
        <w:tc>
          <w:tcPr>
            <w:tcW w:w="348" w:type="pct"/>
            <w:noWrap w:val="0"/>
            <w:vAlign w:val="center"/>
          </w:tcPr>
          <w:p w14:paraId="13B7A7BF">
            <w:pPr>
              <w:pStyle w:val="55"/>
              <w:bidi w:val="0"/>
            </w:pPr>
          </w:p>
        </w:tc>
      </w:tr>
      <w:tr w14:paraId="504920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18" w:hRule="atLeast"/>
          <w:jc w:val="center"/>
        </w:trPr>
        <w:tc>
          <w:tcPr>
            <w:tcW w:w="350" w:type="pct"/>
            <w:noWrap w:val="0"/>
            <w:vAlign w:val="center"/>
          </w:tcPr>
          <w:p w14:paraId="4DF4C88B">
            <w:pPr>
              <w:pStyle w:val="55"/>
              <w:bidi w:val="0"/>
            </w:pPr>
            <w:r>
              <w:rPr>
                <w:rFonts w:hint="eastAsia"/>
              </w:rPr>
              <w:t>2</w:t>
            </w:r>
            <w:r>
              <w:t>.1</w:t>
            </w:r>
          </w:p>
        </w:tc>
        <w:tc>
          <w:tcPr>
            <w:tcW w:w="571" w:type="pct"/>
            <w:noWrap w:val="0"/>
            <w:vAlign w:val="center"/>
          </w:tcPr>
          <w:p w14:paraId="03D60C65">
            <w:pPr>
              <w:pStyle w:val="55"/>
              <w:bidi w:val="0"/>
            </w:pPr>
            <w:r>
              <w:t>施工单位</w:t>
            </w:r>
          </w:p>
        </w:tc>
        <w:tc>
          <w:tcPr>
            <w:tcW w:w="345" w:type="pct"/>
            <w:noWrap w:val="0"/>
            <w:vAlign w:val="center"/>
          </w:tcPr>
          <w:p w14:paraId="44932D4E">
            <w:pPr>
              <w:pStyle w:val="55"/>
              <w:bidi w:val="0"/>
            </w:pPr>
          </w:p>
        </w:tc>
        <w:tc>
          <w:tcPr>
            <w:tcW w:w="320" w:type="pct"/>
            <w:noWrap w:val="0"/>
            <w:vAlign w:val="center"/>
          </w:tcPr>
          <w:p w14:paraId="19931767">
            <w:pPr>
              <w:pStyle w:val="55"/>
              <w:bidi w:val="0"/>
            </w:pPr>
            <w:r>
              <w:t>■</w:t>
            </w:r>
          </w:p>
        </w:tc>
        <w:tc>
          <w:tcPr>
            <w:tcW w:w="1555" w:type="pct"/>
            <w:noWrap w:val="0"/>
            <w:vAlign w:val="center"/>
          </w:tcPr>
          <w:p w14:paraId="5B232268">
            <w:pPr>
              <w:pStyle w:val="55"/>
              <w:bidi w:val="0"/>
            </w:pPr>
            <w:r>
              <w:t>检查内容：安全设施是否由具有相应资质的施工单位施工。</w:t>
            </w:r>
          </w:p>
          <w:p w14:paraId="5FDCFE3D">
            <w:pPr>
              <w:pStyle w:val="55"/>
              <w:bidi w:val="0"/>
            </w:pPr>
            <w:r>
              <w:t>检查方法：查阅施工单位资质证书。</w:t>
            </w:r>
          </w:p>
        </w:tc>
        <w:tc>
          <w:tcPr>
            <w:tcW w:w="2963" w:type="dxa"/>
            <w:noWrap w:val="0"/>
            <w:vAlign w:val="center"/>
          </w:tcPr>
          <w:p w14:paraId="120EC8C9">
            <w:pPr>
              <w:pStyle w:val="50"/>
              <w:bidi w:val="0"/>
              <w:ind w:firstLine="0" w:firstLineChars="0"/>
            </w:pPr>
            <w:r>
              <w:rPr>
                <w:rFonts w:hint="eastAsia"/>
                <w:lang w:val="en-US" w:eastAsia="zh-CN"/>
              </w:rPr>
              <w:t>本次施工内容为采矿平台、部分运输道路及安全设施和安全警示标牌。由</w:t>
            </w:r>
            <w:r>
              <w:t>企业自主施工</w:t>
            </w:r>
            <w:r>
              <w:rPr>
                <w:rFonts w:hint="eastAsia"/>
                <w:lang w:val="en-US" w:eastAsia="zh-CN"/>
              </w:rPr>
              <w:t>建设，于2026年2月提供了施工总结报告</w:t>
            </w:r>
            <w:r>
              <w:t>。</w:t>
            </w:r>
          </w:p>
        </w:tc>
        <w:tc>
          <w:tcPr>
            <w:tcW w:w="348" w:type="pct"/>
            <w:noWrap w:val="0"/>
            <w:vAlign w:val="center"/>
          </w:tcPr>
          <w:p w14:paraId="77D90BAC">
            <w:pPr>
              <w:pStyle w:val="55"/>
              <w:bidi w:val="0"/>
            </w:pPr>
            <w:r>
              <w:t>符合</w:t>
            </w:r>
          </w:p>
        </w:tc>
      </w:tr>
      <w:tr w14:paraId="227121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12" w:hRule="atLeast"/>
          <w:jc w:val="center"/>
        </w:trPr>
        <w:tc>
          <w:tcPr>
            <w:tcW w:w="350" w:type="pct"/>
            <w:noWrap w:val="0"/>
            <w:vAlign w:val="center"/>
          </w:tcPr>
          <w:p w14:paraId="65A78C1F">
            <w:pPr>
              <w:pStyle w:val="55"/>
              <w:bidi w:val="0"/>
            </w:pPr>
            <w:r>
              <w:rPr>
                <w:rFonts w:hint="eastAsia"/>
              </w:rPr>
              <w:t>2</w:t>
            </w:r>
            <w:r>
              <w:t>.2</w:t>
            </w:r>
          </w:p>
        </w:tc>
        <w:tc>
          <w:tcPr>
            <w:tcW w:w="571" w:type="pct"/>
            <w:noWrap w:val="0"/>
            <w:vAlign w:val="center"/>
          </w:tcPr>
          <w:p w14:paraId="5037911C">
            <w:pPr>
              <w:pStyle w:val="55"/>
              <w:bidi w:val="0"/>
            </w:pPr>
            <w:r>
              <w:t>监理单位</w:t>
            </w:r>
          </w:p>
        </w:tc>
        <w:tc>
          <w:tcPr>
            <w:tcW w:w="345" w:type="pct"/>
            <w:noWrap w:val="0"/>
            <w:vAlign w:val="center"/>
          </w:tcPr>
          <w:p w14:paraId="2A014C21">
            <w:pPr>
              <w:pStyle w:val="55"/>
              <w:bidi w:val="0"/>
            </w:pPr>
          </w:p>
        </w:tc>
        <w:tc>
          <w:tcPr>
            <w:tcW w:w="320" w:type="pct"/>
            <w:noWrap w:val="0"/>
            <w:vAlign w:val="center"/>
          </w:tcPr>
          <w:p w14:paraId="73C51812">
            <w:pPr>
              <w:pStyle w:val="55"/>
              <w:bidi w:val="0"/>
            </w:pPr>
            <w:r>
              <w:t>△</w:t>
            </w:r>
          </w:p>
        </w:tc>
        <w:tc>
          <w:tcPr>
            <w:tcW w:w="1555" w:type="pct"/>
            <w:noWrap w:val="0"/>
            <w:vAlign w:val="center"/>
          </w:tcPr>
          <w:p w14:paraId="5C95F76D">
            <w:pPr>
              <w:pStyle w:val="55"/>
              <w:bidi w:val="0"/>
            </w:pPr>
            <w:r>
              <w:t>检查内容：施工过程是否由具有相应资质的监理单位进行监理。</w:t>
            </w:r>
          </w:p>
          <w:p w14:paraId="102D886F">
            <w:pPr>
              <w:pStyle w:val="55"/>
              <w:bidi w:val="0"/>
            </w:pPr>
            <w:r>
              <w:t>检查方法：查阅监理单位资质证书。</w:t>
            </w:r>
          </w:p>
        </w:tc>
        <w:tc>
          <w:tcPr>
            <w:tcW w:w="2963" w:type="dxa"/>
            <w:noWrap w:val="0"/>
            <w:vAlign w:val="center"/>
          </w:tcPr>
          <w:p w14:paraId="33A83049">
            <w:pPr>
              <w:pStyle w:val="50"/>
              <w:bidi w:val="0"/>
              <w:ind w:firstLine="0" w:firstLineChars="0"/>
            </w:pPr>
            <w:r>
              <w:rPr>
                <w:color w:val="auto"/>
                <w:lang w:val="en-US" w:eastAsia="en-US"/>
              </w:rPr>
              <w:t>矿山</w:t>
            </w:r>
            <w:r>
              <w:rPr>
                <w:rFonts w:hint="eastAsia"/>
                <w:color w:val="auto"/>
                <w:lang w:val="en-US" w:eastAsia="zh-CN"/>
              </w:rPr>
              <w:t>委托有矿山监理资质的监理单位</w:t>
            </w:r>
            <w:r>
              <w:rPr>
                <w:rFonts w:hint="default"/>
                <w:color w:val="auto"/>
                <w:lang w:val="sq-AL"/>
              </w:rPr>
              <w:t>云南增股工程勘察设计有限公司</w:t>
            </w:r>
            <w:r>
              <w:rPr>
                <w:color w:val="auto"/>
                <w:lang w:val="en-US" w:eastAsia="en-US"/>
              </w:rPr>
              <w:t>对矿山的基建工程进行监理。</w:t>
            </w:r>
            <w:r>
              <w:rPr>
                <w:rFonts w:hint="eastAsia"/>
                <w:color w:val="auto"/>
                <w:lang w:val="en-US" w:eastAsia="zh-CN"/>
              </w:rPr>
              <w:t>监理单位资质证书编号E253104713。业务范围包括矿山工程专业资质乙级(合格，有效期至:2028年02月06日)。</w:t>
            </w:r>
          </w:p>
        </w:tc>
        <w:tc>
          <w:tcPr>
            <w:tcW w:w="348" w:type="pct"/>
            <w:noWrap w:val="0"/>
            <w:vAlign w:val="center"/>
          </w:tcPr>
          <w:p w14:paraId="69958295">
            <w:pPr>
              <w:pStyle w:val="55"/>
              <w:bidi w:val="0"/>
            </w:pPr>
            <w:r>
              <w:t>符合</w:t>
            </w:r>
          </w:p>
        </w:tc>
      </w:tr>
    </w:tbl>
    <w:p w14:paraId="06C9786E">
      <w:pPr>
        <w:bidi w:val="0"/>
        <w:rPr>
          <w:rFonts w:ascii="Times New Roman" w:hAnsi="Times New Roman"/>
          <w:snapToGrid w:val="0"/>
          <w:color w:val="000000" w:themeColor="text1"/>
          <w:sz w:val="24"/>
          <w14:textFill>
            <w14:solidFill>
              <w14:schemeClr w14:val="tx1"/>
            </w14:solidFill>
          </w14:textFill>
        </w:rPr>
      </w:pPr>
      <w:r>
        <w:rPr>
          <w:rFonts w:ascii="Times New Roman" w:hAnsi="Times New Roman"/>
          <w:snapToGrid w:val="0"/>
          <w:color w:val="000000" w:themeColor="text1"/>
          <w:sz w:val="24"/>
          <w14:textFill>
            <w14:solidFill>
              <w14:schemeClr w14:val="tx1"/>
            </w14:solidFill>
          </w14:textFill>
        </w:rPr>
        <w:t>检查类别中，“■”表示该项为否决项，“</w:t>
      </w:r>
      <w:r>
        <w:rPr>
          <w:rFonts w:ascii="Cambria Math" w:hAnsi="Cambria Math" w:cs="Cambria Math"/>
          <w:snapToGrid w:val="0"/>
          <w:color w:val="000000" w:themeColor="text1"/>
          <w:sz w:val="24"/>
          <w14:textFill>
            <w14:solidFill>
              <w14:schemeClr w14:val="tx1"/>
            </w14:solidFill>
          </w14:textFill>
        </w:rPr>
        <w:t>△</w:t>
      </w:r>
      <w:r>
        <w:rPr>
          <w:rFonts w:ascii="Times New Roman" w:hAnsi="Times New Roman"/>
          <w:snapToGrid w:val="0"/>
          <w:color w:val="000000" w:themeColor="text1"/>
          <w:sz w:val="24"/>
          <w14:textFill>
            <w14:solidFill>
              <w14:schemeClr w14:val="tx1"/>
            </w14:solidFill>
          </w14:textFill>
        </w:rPr>
        <w:t>”表示为一般项。</w:t>
      </w:r>
    </w:p>
    <w:p w14:paraId="4A08C6AA">
      <w:pPr>
        <w:adjustRightInd w:val="0"/>
        <w:snapToGrid w:val="0"/>
        <w:ind w:firstLine="562"/>
        <w:rPr>
          <w:rFonts w:ascii="Times New Roman" w:hAnsi="Times New Roman"/>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针对</w:t>
      </w:r>
      <w:r>
        <w:t>安全设施</w:t>
      </w:r>
      <w:r>
        <w:rPr>
          <w:rFonts w:hint="eastAsia"/>
          <w:lang w:eastAsia="zh-CN"/>
        </w:rPr>
        <w:t>“</w:t>
      </w:r>
      <w:r>
        <w:t>三同时</w:t>
      </w:r>
      <w:r>
        <w:rPr>
          <w:rFonts w:hint="eastAsia"/>
          <w:lang w:eastAsia="zh-CN"/>
        </w:rPr>
        <w:t>”</w:t>
      </w:r>
      <w:r>
        <w:t>程序</w:t>
      </w:r>
      <w:r>
        <w:rPr>
          <w:rFonts w:ascii="Times New Roman" w:hAnsi="Times New Roman"/>
          <w:color w:val="000000" w:themeColor="text1"/>
          <w14:textFill>
            <w14:solidFill>
              <w14:schemeClr w14:val="tx1"/>
            </w14:solidFill>
          </w14:textFill>
        </w:rPr>
        <w:t>安全检查表内的</w:t>
      </w:r>
      <w:r>
        <w:rPr>
          <w:rFonts w:hint="eastAsia" w:ascii="Times New Roman" w:hAnsi="Times New Roman"/>
          <w:color w:val="000000" w:themeColor="text1"/>
          <w:lang w:val="en-US" w:eastAsia="zh-CN"/>
          <w14:textFill>
            <w14:solidFill>
              <w14:schemeClr w14:val="tx1"/>
            </w14:solidFill>
          </w14:textFill>
        </w:rPr>
        <w:t>5</w:t>
      </w:r>
      <w:r>
        <w:rPr>
          <w:rFonts w:ascii="Times New Roman" w:hAnsi="Times New Roman"/>
          <w:color w:val="000000" w:themeColor="text1"/>
          <w14:textFill>
            <w14:solidFill>
              <w14:schemeClr w14:val="tx1"/>
            </w14:solidFill>
          </w14:textFill>
        </w:rPr>
        <w:t>项内容，</w:t>
      </w:r>
      <w:r>
        <w:rPr>
          <w:rFonts w:hint="eastAsia" w:ascii="Times New Roman" w:hAnsi="Times New Roman"/>
          <w:color w:val="000000" w:themeColor="text1"/>
          <w:lang w:val="en-US" w:eastAsia="zh-CN"/>
          <w14:textFill>
            <w14:solidFill>
              <w14:schemeClr w14:val="tx1"/>
            </w14:solidFill>
          </w14:textFill>
        </w:rPr>
        <w:t>5</w:t>
      </w:r>
      <w:r>
        <w:rPr>
          <w:rFonts w:ascii="Times New Roman" w:hAnsi="Times New Roman"/>
          <w:color w:val="000000" w:themeColor="text1"/>
          <w14:textFill>
            <w14:solidFill>
              <w14:schemeClr w14:val="tx1"/>
            </w14:solidFill>
          </w14:textFill>
        </w:rPr>
        <w:t>项全部合格，</w:t>
      </w:r>
      <w:r>
        <w:rPr>
          <w:spacing w:val="-3"/>
        </w:rPr>
        <w:t>其中否决项</w:t>
      </w:r>
      <w:r>
        <w:rPr>
          <w:rFonts w:hint="eastAsia"/>
          <w:spacing w:val="-3"/>
          <w:lang w:val="en-US" w:eastAsia="zh-CN"/>
        </w:rPr>
        <w:t>4</w:t>
      </w:r>
      <w:r>
        <w:rPr>
          <w:spacing w:val="-3"/>
        </w:rPr>
        <w:t>项，符合</w:t>
      </w:r>
      <w:r>
        <w:rPr>
          <w:rFonts w:hint="eastAsia"/>
          <w:spacing w:val="-3"/>
          <w:lang w:val="en-US" w:eastAsia="zh-CN"/>
        </w:rPr>
        <w:t>4</w:t>
      </w:r>
      <w:r>
        <w:rPr>
          <w:spacing w:val="-3"/>
        </w:rPr>
        <w:t>项；一般项1项，符合</w:t>
      </w:r>
      <w:r>
        <w:rPr>
          <w:rFonts w:hint="eastAsia"/>
          <w:spacing w:val="-3"/>
          <w:lang w:val="en-US" w:eastAsia="zh-CN"/>
        </w:rPr>
        <w:t>1</w:t>
      </w:r>
      <w:r>
        <w:rPr>
          <w:spacing w:val="-3"/>
        </w:rPr>
        <w:t>项，不符合0</w:t>
      </w:r>
      <w:r>
        <w:rPr>
          <w:spacing w:val="-4"/>
        </w:rPr>
        <w:t>项，该单元评价为符合。</w:t>
      </w:r>
    </w:p>
    <w:p w14:paraId="35F1D393">
      <w:pPr>
        <w:bidi w:val="0"/>
        <w:rPr>
          <w:rFonts w:hint="eastAsia"/>
          <w:lang w:val="en-US" w:eastAsia="zh-CN"/>
        </w:rPr>
      </w:pPr>
      <w:r>
        <w:rPr>
          <w:rFonts w:hint="eastAsia"/>
          <w:lang w:val="en-US" w:eastAsia="zh-CN"/>
        </w:rPr>
        <w:t>2、</w:t>
      </w:r>
      <w:r>
        <w:rPr>
          <w:rFonts w:hint="eastAsia" w:ascii="宋体" w:hAnsi="宋体" w:eastAsia="宋体" w:cs="宋体"/>
          <w:color w:val="auto"/>
          <w:spacing w:val="-2"/>
          <w:sz w:val="28"/>
          <w:szCs w:val="28"/>
          <w:highlight w:val="none"/>
          <w:lang w:val="en-US" w:eastAsia="zh-CN"/>
        </w:rPr>
        <w:t>依据</w:t>
      </w:r>
      <w:r>
        <w:rPr>
          <w:rFonts w:hint="eastAsia"/>
          <w:lang w:eastAsia="zh-CN"/>
        </w:rPr>
        <w:t>安监</w:t>
      </w:r>
      <w:r>
        <w:rPr>
          <w:rFonts w:hint="eastAsia"/>
        </w:rPr>
        <w:t>总管一〔2016〕</w:t>
      </w:r>
      <w:r>
        <w:rPr>
          <w:rFonts w:hint="eastAsia"/>
          <w:lang w:val="en-US" w:eastAsia="zh-CN"/>
        </w:rPr>
        <w:t>49</w:t>
      </w:r>
      <w:r>
        <w:rPr>
          <w:rFonts w:hint="eastAsia"/>
        </w:rPr>
        <w:t>号</w:t>
      </w:r>
      <w:r>
        <w:rPr>
          <w:rFonts w:hint="eastAsia"/>
          <w:lang w:eastAsia="zh-CN"/>
        </w:rPr>
        <w:t>要求</w:t>
      </w:r>
      <w:r>
        <w:rPr>
          <w:rFonts w:hint="eastAsia"/>
          <w:lang w:val="en-US" w:eastAsia="zh-CN"/>
        </w:rPr>
        <w:t>检查</w:t>
      </w:r>
    </w:p>
    <w:p w14:paraId="398DA107">
      <w:pPr>
        <w:bidi w:val="0"/>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w:t>
      </w:r>
      <w:r>
        <w:t>《</w:t>
      </w:r>
      <w:r>
        <w:rPr>
          <w:rFonts w:hint="eastAsia"/>
          <w:lang w:val="en-US" w:eastAsia="zh-CN"/>
        </w:rPr>
        <w:t>安全设施设计</w:t>
      </w:r>
      <w:r>
        <w:t>》，采用检查表对项目安全设施</w:t>
      </w:r>
      <w:r>
        <w:rPr>
          <w:rFonts w:hint="eastAsia"/>
          <w:lang w:eastAsia="zh-CN"/>
        </w:rPr>
        <w:t>“</w:t>
      </w:r>
      <w:r>
        <w:t>三同时</w:t>
      </w:r>
      <w:r>
        <w:rPr>
          <w:rFonts w:hint="eastAsia"/>
          <w:lang w:eastAsia="zh-CN"/>
        </w:rPr>
        <w:t>”</w:t>
      </w:r>
      <w:r>
        <w:t>程序及实施情况的合法性进行评价。</w:t>
      </w:r>
    </w:p>
    <w:p w14:paraId="36BA5B6F">
      <w:pPr>
        <w:pStyle w:val="86"/>
        <w:bidi w:val="0"/>
      </w:pPr>
      <w:r>
        <w:t>表3</w:t>
      </w:r>
      <w:r>
        <w:rPr>
          <w:rFonts w:hint="eastAsia"/>
          <w:lang w:val="en-US" w:eastAsia="zh-CN"/>
        </w:rPr>
        <w:t>.1</w:t>
      </w:r>
      <w:r>
        <w:t>-</w:t>
      </w:r>
      <w:r>
        <w:fldChar w:fldCharType="begin"/>
      </w:r>
      <w:r>
        <w:instrText xml:space="preserve">SEQ 表3- \* ARABIC</w:instrText>
      </w:r>
      <w:r>
        <w:fldChar w:fldCharType="separate"/>
      </w:r>
      <w:r>
        <w:t>1</w:t>
      </w:r>
      <w:r>
        <w:fldChar w:fldCharType="end"/>
      </w:r>
      <w:r>
        <w:t>安全设施“三同时”程序及实施情况符合性安全检查表</w:t>
      </w:r>
    </w:p>
    <w:tbl>
      <w:tblPr>
        <w:tblStyle w:val="35"/>
        <w:tblW w:w="506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1"/>
        <w:gridCol w:w="682"/>
        <w:gridCol w:w="3323"/>
        <w:gridCol w:w="4498"/>
        <w:gridCol w:w="701"/>
      </w:tblGrid>
      <w:tr w14:paraId="31D4C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248" w:type="pct"/>
            <w:vMerge w:val="restart"/>
            <w:vAlign w:val="center"/>
          </w:tcPr>
          <w:p w14:paraId="3EEE7C42">
            <w:pPr>
              <w:spacing w:line="240" w:lineRule="auto"/>
              <w:ind w:left="-138" w:leftChars="-50" w:right="-138" w:rightChars="-50"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序号</w:t>
            </w:r>
          </w:p>
        </w:tc>
        <w:tc>
          <w:tcPr>
            <w:tcW w:w="352" w:type="pct"/>
            <w:vMerge w:val="restart"/>
            <w:vAlign w:val="center"/>
          </w:tcPr>
          <w:p w14:paraId="1886BD90">
            <w:pPr>
              <w:spacing w:line="240" w:lineRule="auto"/>
              <w:ind w:left="-138" w:leftChars="-50" w:right="-138" w:rightChars="-50"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检查项目</w:t>
            </w:r>
          </w:p>
        </w:tc>
        <w:tc>
          <w:tcPr>
            <w:tcW w:w="1715" w:type="pct"/>
            <w:vMerge w:val="restart"/>
            <w:vAlign w:val="center"/>
          </w:tcPr>
          <w:p w14:paraId="359C0208">
            <w:pPr>
              <w:spacing w:line="240" w:lineRule="auto"/>
              <w:ind w:left="-138" w:leftChars="-50" w:right="-138" w:rightChars="-50"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检查内容、检查方法</w:t>
            </w:r>
          </w:p>
        </w:tc>
        <w:tc>
          <w:tcPr>
            <w:tcW w:w="2321" w:type="pct"/>
            <w:vMerge w:val="restart"/>
            <w:vAlign w:val="center"/>
          </w:tcPr>
          <w:p w14:paraId="06EC7DFA">
            <w:pPr>
              <w:spacing w:line="240" w:lineRule="auto"/>
              <w:ind w:left="-138" w:leftChars="-50" w:right="-138" w:rightChars="-50"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检查情况</w:t>
            </w:r>
          </w:p>
        </w:tc>
        <w:tc>
          <w:tcPr>
            <w:tcW w:w="362" w:type="pct"/>
            <w:vMerge w:val="restart"/>
            <w:vAlign w:val="center"/>
          </w:tcPr>
          <w:p w14:paraId="1EF4EC6D">
            <w:pPr>
              <w:spacing w:line="240" w:lineRule="auto"/>
              <w:ind w:left="-138" w:leftChars="-50" w:right="-138" w:rightChars="-50"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w:t>
            </w:r>
          </w:p>
          <w:p w14:paraId="0D6DA365">
            <w:pPr>
              <w:spacing w:line="240" w:lineRule="auto"/>
              <w:ind w:left="-138" w:leftChars="-50" w:right="-138" w:rightChars="-50"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结果</w:t>
            </w:r>
          </w:p>
        </w:tc>
      </w:tr>
      <w:tr w14:paraId="45607B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tblHeader/>
          <w:jc w:val="center"/>
        </w:trPr>
        <w:tc>
          <w:tcPr>
            <w:tcW w:w="248" w:type="pct"/>
            <w:vMerge w:val="continue"/>
            <w:vAlign w:val="center"/>
          </w:tcPr>
          <w:p w14:paraId="45B9B396">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p>
        </w:tc>
        <w:tc>
          <w:tcPr>
            <w:tcW w:w="352" w:type="pct"/>
            <w:vMerge w:val="continue"/>
            <w:vAlign w:val="center"/>
          </w:tcPr>
          <w:p w14:paraId="45FECE61">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p>
        </w:tc>
        <w:tc>
          <w:tcPr>
            <w:tcW w:w="1715" w:type="pct"/>
            <w:vMerge w:val="continue"/>
            <w:vAlign w:val="center"/>
          </w:tcPr>
          <w:p w14:paraId="502FE9B1">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p>
        </w:tc>
        <w:tc>
          <w:tcPr>
            <w:tcW w:w="2321" w:type="pct"/>
            <w:vMerge w:val="continue"/>
            <w:vAlign w:val="center"/>
          </w:tcPr>
          <w:p w14:paraId="74C48D5A">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p>
        </w:tc>
        <w:tc>
          <w:tcPr>
            <w:tcW w:w="362" w:type="pct"/>
            <w:vMerge w:val="continue"/>
            <w:vAlign w:val="center"/>
          </w:tcPr>
          <w:p w14:paraId="24A2184F">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p>
        </w:tc>
      </w:tr>
      <w:tr w14:paraId="4491A5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3" w:hRule="atLeast"/>
          <w:jc w:val="center"/>
        </w:trPr>
        <w:tc>
          <w:tcPr>
            <w:tcW w:w="248" w:type="pct"/>
            <w:shd w:val="clear" w:color="auto" w:fill="auto"/>
            <w:vAlign w:val="center"/>
          </w:tcPr>
          <w:p w14:paraId="521812F1">
            <w:pPr>
              <w:spacing w:line="240" w:lineRule="auto"/>
              <w:ind w:firstLine="0" w:firstLineChars="0"/>
              <w:jc w:val="center"/>
              <w:rPr>
                <w:rFonts w:hint="eastAsia" w:ascii="Times New Roman" w:hAnsi="Times New Roman" w:eastAsia="宋体" w:cs="Times New Roman"/>
                <w:color w:val="000000" w:themeColor="text1"/>
                <w:spacing w:val="-2"/>
                <w:sz w:val="21"/>
                <w:szCs w:val="21"/>
                <w:lang w:val="en-US" w:eastAsia="zh-CN" w:bidi="ar-SA"/>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w:t>
            </w:r>
          </w:p>
        </w:tc>
        <w:tc>
          <w:tcPr>
            <w:tcW w:w="352" w:type="pct"/>
            <w:shd w:val="clear" w:color="auto" w:fill="auto"/>
            <w:vAlign w:val="center"/>
          </w:tcPr>
          <w:p w14:paraId="291BF157">
            <w:pPr>
              <w:spacing w:line="240" w:lineRule="auto"/>
              <w:ind w:firstLine="0" w:firstLineChars="0"/>
              <w:jc w:val="center"/>
              <w:rPr>
                <w:rFonts w:ascii="Times New Roman" w:hAnsi="Times New Roman" w:eastAsia="宋体" w:cs="Times New Roman"/>
                <w:color w:val="000000" w:themeColor="text1"/>
                <w:spacing w:val="-2"/>
                <w:sz w:val="21"/>
                <w:szCs w:val="21"/>
                <w:lang w:val="en-US" w:eastAsia="zh-CN" w:bidi="ar-SA"/>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安全预评价</w:t>
            </w:r>
          </w:p>
        </w:tc>
        <w:tc>
          <w:tcPr>
            <w:tcW w:w="1715" w:type="pct"/>
            <w:shd w:val="clear" w:color="auto" w:fill="auto"/>
            <w:vAlign w:val="center"/>
          </w:tcPr>
          <w:p w14:paraId="54E22601">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检查内容：是否具有资质的安全评价机构进行安全预评价，</w:t>
            </w:r>
            <w:r>
              <w:rPr>
                <w:rFonts w:ascii="宋体" w:hAnsi="宋体" w:eastAsia="宋体" w:cs="宋体"/>
                <w:spacing w:val="-1"/>
                <w:sz w:val="21"/>
                <w:szCs w:val="21"/>
              </w:rPr>
              <w:t>且评价结论为具备安全</w:t>
            </w:r>
            <w:r>
              <w:rPr>
                <w:rFonts w:ascii="宋体" w:hAnsi="宋体" w:eastAsia="宋体" w:cs="宋体"/>
                <w:spacing w:val="-4"/>
                <w:sz w:val="21"/>
                <w:szCs w:val="21"/>
              </w:rPr>
              <w:t>验收条件。</w:t>
            </w:r>
          </w:p>
          <w:p w14:paraId="45318F2B">
            <w:pPr>
              <w:spacing w:line="240" w:lineRule="auto"/>
              <w:ind w:firstLine="0" w:firstLineChars="0"/>
              <w:rPr>
                <w:rFonts w:ascii="Times New Roman" w:hAnsi="Times New Roman" w:eastAsia="宋体" w:cs="Times New Roman"/>
                <w:color w:val="000000" w:themeColor="text1"/>
                <w:spacing w:val="-2"/>
                <w:sz w:val="21"/>
                <w:szCs w:val="21"/>
                <w:lang w:val="en-US" w:eastAsia="zh-CN" w:bidi="ar-SA"/>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检查方法：查阅安全预评价报告及资质证书。</w:t>
            </w:r>
          </w:p>
        </w:tc>
        <w:tc>
          <w:tcPr>
            <w:tcW w:w="2321" w:type="pct"/>
            <w:shd w:val="clear" w:color="auto" w:fill="auto"/>
            <w:vAlign w:val="center"/>
          </w:tcPr>
          <w:p w14:paraId="5DF35F8F">
            <w:pPr>
              <w:pStyle w:val="55"/>
              <w:bidi w:val="0"/>
              <w:rPr>
                <w:rFonts w:ascii="Times New Roman" w:hAnsi="Times New Roman" w:eastAsia="宋体" w:cs="Times New Roman"/>
                <w:color w:val="000000" w:themeColor="text1"/>
                <w:spacing w:val="-2"/>
                <w:szCs w:val="21"/>
                <w:lang w:val="en-US" w:eastAsia="zh-CN" w:bidi="ar-SA"/>
                <w14:textFill>
                  <w14:solidFill>
                    <w14:schemeClr w14:val="tx1"/>
                  </w14:solidFill>
                </w14:textFill>
              </w:rPr>
            </w:pPr>
            <w:r>
              <w:t>《安全预评报告》由江西赣安安全生产科学技术咨询服务中心于202</w:t>
            </w:r>
            <w:r>
              <w:rPr>
                <w:rFonts w:hint="eastAsia"/>
                <w:lang w:val="en-US" w:eastAsia="zh-CN"/>
              </w:rPr>
              <w:t>5</w:t>
            </w:r>
            <w:r>
              <w:t>年</w:t>
            </w:r>
            <w:r>
              <w:rPr>
                <w:rFonts w:hint="eastAsia"/>
                <w:lang w:val="en-US" w:eastAsia="zh-CN"/>
              </w:rPr>
              <w:t>1</w:t>
            </w:r>
            <w:r>
              <w:t>月提交；资质证书编号：</w:t>
            </w:r>
            <w:r>
              <w:rPr>
                <w:lang w:val="en-GB"/>
              </w:rPr>
              <w:t>APJ-（赣）-002</w:t>
            </w:r>
            <w:r>
              <w:t>，业务范围：</w:t>
            </w:r>
            <w:r>
              <w:rPr>
                <w:rFonts w:hint="eastAsia"/>
              </w:rPr>
              <w:t>金属、非金属矿及其他矿采选业</w:t>
            </w:r>
            <w:r>
              <w:rPr>
                <w:rFonts w:hint="eastAsia"/>
                <w:lang w:eastAsia="zh-CN"/>
              </w:rPr>
              <w:t>；</w:t>
            </w:r>
            <w:r>
              <w:rPr>
                <w:rFonts w:hint="eastAsia"/>
              </w:rPr>
              <w:t>陆上油气管道运输业</w:t>
            </w:r>
            <w:r>
              <w:rPr>
                <w:rFonts w:hint="eastAsia"/>
                <w:lang w:eastAsia="zh-CN"/>
              </w:rPr>
              <w:t>；</w:t>
            </w:r>
            <w:r>
              <w:rPr>
                <w:rFonts w:hint="eastAsia"/>
              </w:rPr>
              <w:t>石油加工业</w:t>
            </w:r>
            <w:r>
              <w:rPr>
                <w:rFonts w:hint="eastAsia"/>
                <w:lang w:eastAsia="zh-CN"/>
              </w:rPr>
              <w:t>；</w:t>
            </w:r>
            <w:r>
              <w:rPr>
                <w:rFonts w:hint="eastAsia"/>
              </w:rPr>
              <w:t>化学原料化学品及医药制造业</w:t>
            </w:r>
            <w:r>
              <w:rPr>
                <w:rFonts w:hint="eastAsia"/>
                <w:lang w:eastAsia="zh-CN"/>
              </w:rPr>
              <w:t>；</w:t>
            </w:r>
            <w:r>
              <w:rPr>
                <w:rFonts w:hint="eastAsia"/>
              </w:rPr>
              <w:t>烟花爆竹制造业</w:t>
            </w:r>
            <w:r>
              <w:rPr>
                <w:rFonts w:hint="eastAsia"/>
                <w:lang w:eastAsia="zh-CN"/>
              </w:rPr>
              <w:t>；</w:t>
            </w:r>
            <w:r>
              <w:rPr>
                <w:rFonts w:hint="eastAsia"/>
              </w:rPr>
              <w:t>金属治炼</w:t>
            </w:r>
            <w:r>
              <w:t>。</w:t>
            </w:r>
          </w:p>
        </w:tc>
        <w:tc>
          <w:tcPr>
            <w:tcW w:w="362" w:type="pct"/>
            <w:shd w:val="clear" w:color="auto" w:fill="auto"/>
            <w:vAlign w:val="center"/>
          </w:tcPr>
          <w:p w14:paraId="61383D98">
            <w:pPr>
              <w:spacing w:line="240" w:lineRule="auto"/>
              <w:ind w:left="-138" w:leftChars="-50" w:right="-138" w:rightChars="-50" w:firstLine="0" w:firstLineChars="0"/>
              <w:jc w:val="center"/>
              <w:rPr>
                <w:rFonts w:ascii="Times New Roman" w:hAnsi="Times New Roman" w:eastAsia="宋体" w:cs="Times New Roman"/>
                <w:bCs/>
                <w:color w:val="000000" w:themeColor="text1"/>
                <w:spacing w:val="-2"/>
                <w:sz w:val="21"/>
                <w:szCs w:val="21"/>
                <w:lang w:val="en-US" w:eastAsia="zh-CN" w:bidi="ar-SA"/>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符合</w:t>
            </w:r>
          </w:p>
        </w:tc>
      </w:tr>
      <w:tr w14:paraId="1313A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3" w:hRule="atLeast"/>
          <w:jc w:val="center"/>
        </w:trPr>
        <w:tc>
          <w:tcPr>
            <w:tcW w:w="248" w:type="pct"/>
            <w:vAlign w:val="center"/>
          </w:tcPr>
          <w:p w14:paraId="5DA280A7">
            <w:pPr>
              <w:spacing w:line="240" w:lineRule="auto"/>
              <w:ind w:firstLine="0" w:firstLineChars="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w:t>
            </w:r>
          </w:p>
        </w:tc>
        <w:tc>
          <w:tcPr>
            <w:tcW w:w="352" w:type="pct"/>
            <w:vAlign w:val="center"/>
          </w:tcPr>
          <w:p w14:paraId="00CCE862">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初步设计</w:t>
            </w:r>
          </w:p>
        </w:tc>
        <w:tc>
          <w:tcPr>
            <w:tcW w:w="1715" w:type="pct"/>
            <w:vAlign w:val="center"/>
          </w:tcPr>
          <w:p w14:paraId="78760BB7">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检查内容：是否具有资质的设计单位对初步设计进行编制。</w:t>
            </w:r>
          </w:p>
          <w:p w14:paraId="606FB1C1">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检查方法：查阅初步设计及资质证书。</w:t>
            </w:r>
          </w:p>
        </w:tc>
        <w:tc>
          <w:tcPr>
            <w:tcW w:w="2321" w:type="pct"/>
            <w:vAlign w:val="center"/>
          </w:tcPr>
          <w:p w14:paraId="112798C1">
            <w:pPr>
              <w:pStyle w:val="55"/>
              <w:bidi w:val="0"/>
              <w:rPr>
                <w:rFonts w:ascii="Times New Roman" w:hAnsi="Times New Roman"/>
                <w:color w:val="000000" w:themeColor="text1"/>
                <w:szCs w:val="21"/>
                <w14:textFill>
                  <w14:solidFill>
                    <w14:schemeClr w14:val="tx1"/>
                  </w14:solidFill>
                </w14:textFill>
              </w:rPr>
            </w:pPr>
            <w:r>
              <w:t>《初步设计》由云南增股工程勘察设计有限公司于202</w:t>
            </w:r>
            <w:r>
              <w:rPr>
                <w:rFonts w:hint="eastAsia"/>
                <w:lang w:val="en-US" w:eastAsia="zh-CN"/>
              </w:rPr>
              <w:t>5</w:t>
            </w:r>
            <w:r>
              <w:t>年</w:t>
            </w:r>
            <w:r>
              <w:rPr>
                <w:rFonts w:hint="eastAsia"/>
                <w:lang w:val="en-US" w:eastAsia="zh-CN"/>
              </w:rPr>
              <w:t>3</w:t>
            </w:r>
            <w:r>
              <w:t>月提交；资质编号：</w:t>
            </w:r>
            <w:r>
              <w:rPr>
                <w:rFonts w:hint="eastAsia"/>
              </w:rPr>
              <w:t>A253016970</w:t>
            </w:r>
            <w:r>
              <w:t>，资质等级：</w:t>
            </w:r>
            <w:r>
              <w:rPr>
                <w:rFonts w:hint="eastAsia"/>
              </w:rPr>
              <w:t>化工石化医药行业（化工工程）乙级；治金行业（治金矿山工程）乙级；建筑行业（建筑工程）乙级</w:t>
            </w:r>
            <w:r>
              <w:t>。</w:t>
            </w:r>
          </w:p>
        </w:tc>
        <w:tc>
          <w:tcPr>
            <w:tcW w:w="362" w:type="pct"/>
            <w:vAlign w:val="center"/>
          </w:tcPr>
          <w:p w14:paraId="1963EA6A">
            <w:pPr>
              <w:spacing w:line="240" w:lineRule="auto"/>
              <w:ind w:left="-138" w:leftChars="-50" w:right="-138" w:rightChars="-50" w:firstLine="0" w:firstLineChars="0"/>
              <w:jc w:val="center"/>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符合</w:t>
            </w:r>
          </w:p>
        </w:tc>
      </w:tr>
    </w:tbl>
    <w:p w14:paraId="2DA3274F">
      <w:pPr>
        <w:adjustRightInd w:val="0"/>
        <w:snapToGrid w:val="0"/>
        <w:ind w:firstLine="562"/>
        <w:rPr>
          <w:spacing w:val="-4"/>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检查</w:t>
      </w: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14:textFill>
            <w14:solidFill>
              <w14:schemeClr w14:val="tx1"/>
            </w14:solidFill>
          </w14:textFill>
        </w:rPr>
        <w:t>项内容，</w:t>
      </w: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14:textFill>
            <w14:solidFill>
              <w14:schemeClr w14:val="tx1"/>
            </w14:solidFill>
          </w14:textFill>
        </w:rPr>
        <w:t>项全部合格，</w:t>
      </w:r>
      <w:r>
        <w:rPr>
          <w:spacing w:val="-3"/>
        </w:rPr>
        <w:t>不符合0</w:t>
      </w:r>
      <w:r>
        <w:rPr>
          <w:spacing w:val="-4"/>
        </w:rPr>
        <w:t>项，该单元评价为符合。</w:t>
      </w:r>
    </w:p>
    <w:p w14:paraId="07A8027B">
      <w:pPr>
        <w:pStyle w:val="4"/>
      </w:pPr>
      <w:bookmarkStart w:id="282" w:name="_Toc4565"/>
      <w:r>
        <w:t>3.1.2单元小结</w:t>
      </w:r>
      <w:bookmarkEnd w:id="282"/>
    </w:p>
    <w:p w14:paraId="5E01187B">
      <w:pPr>
        <w:bidi w:val="0"/>
        <w:rPr>
          <w:rFonts w:ascii="Times New Roman" w:hAnsi="Times New Roman"/>
          <w:color w:val="000000" w:themeColor="text1"/>
          <w14:textFill>
            <w14:solidFill>
              <w14:schemeClr w14:val="tx1"/>
            </w14:solidFill>
          </w14:textFill>
        </w:rPr>
      </w:pPr>
      <w:r>
        <w:t>按照国家有关矿山建设的安全生产法律法规的要求履行了建设程序，</w:t>
      </w:r>
      <w:r>
        <w:rPr>
          <w:rFonts w:hint="eastAsia"/>
          <w:lang w:val="en-US" w:eastAsia="zh-CN"/>
        </w:rPr>
        <w:t>企业</w:t>
      </w:r>
      <w:r>
        <w:t>取得了采矿许可证，</w:t>
      </w:r>
      <w:r>
        <w:rPr>
          <w:rFonts w:hint="eastAsia"/>
          <w:lang w:val="en-US" w:eastAsia="zh-CN"/>
        </w:rPr>
        <w:t>委托有资质的单位</w:t>
      </w:r>
      <w:r>
        <w:t>编制</w:t>
      </w:r>
      <w:r>
        <w:rPr>
          <w:rFonts w:hint="eastAsia"/>
          <w:lang w:val="en-US" w:eastAsia="zh-CN"/>
        </w:rPr>
        <w:t>完成</w:t>
      </w:r>
      <w:r>
        <w:t>《</w:t>
      </w:r>
      <w:r>
        <w:rPr>
          <w:rFonts w:hint="eastAsia"/>
          <w:lang w:eastAsia="zh-CN"/>
        </w:rPr>
        <w:t>广南县麦地大山建筑石料用石灰岩矿</w:t>
      </w:r>
      <w:r>
        <w:rPr>
          <w:rFonts w:hint="default"/>
          <w:lang w:eastAsia="zh-CN"/>
        </w:rPr>
        <w:t>50万t/a露天采矿工程</w:t>
      </w:r>
      <w:r>
        <w:t>可行性研究报告》</w:t>
      </w:r>
      <w:r>
        <w:rPr>
          <w:rFonts w:hint="eastAsia"/>
          <w:lang w:eastAsia="zh-CN"/>
        </w:rPr>
        <w:t>，</w:t>
      </w:r>
      <w:r>
        <w:rPr>
          <w:rFonts w:hint="eastAsia"/>
          <w:lang w:val="en-US" w:eastAsia="zh-CN"/>
        </w:rPr>
        <w:t>取得了</w:t>
      </w:r>
      <w:r>
        <w:t>《投资项目备案证》。</w:t>
      </w:r>
      <w:r>
        <w:rPr>
          <w:rFonts w:hint="eastAsia"/>
          <w:lang w:val="en-US" w:eastAsia="zh-CN"/>
        </w:rPr>
        <w:t>委托有资质的单位先后</w:t>
      </w:r>
      <w:r>
        <w:t>编制</w:t>
      </w:r>
      <w:r>
        <w:rPr>
          <w:rFonts w:hint="eastAsia"/>
          <w:lang w:val="en-US" w:eastAsia="zh-CN"/>
        </w:rPr>
        <w:t>完成</w:t>
      </w:r>
      <w:r>
        <w:rPr>
          <w:lang w:val="zh-TW"/>
        </w:rPr>
        <w:t>《</w:t>
      </w:r>
      <w:r>
        <w:rPr>
          <w:rFonts w:hint="eastAsia"/>
          <w:lang w:eastAsia="zh-CN"/>
        </w:rPr>
        <w:t>广南县麦地大山建筑石料用石灰岩矿</w:t>
      </w:r>
      <w:r>
        <w:rPr>
          <w:rFonts w:hint="default"/>
          <w:lang w:eastAsia="zh-CN"/>
        </w:rPr>
        <w:t>50万t/a露天采矿工程</w:t>
      </w:r>
      <w:r>
        <w:rPr>
          <w:rFonts w:hint="eastAsia"/>
          <w:lang w:val="en-US" w:eastAsia="zh-CN"/>
        </w:rPr>
        <w:t>安全预评价</w:t>
      </w:r>
      <w:r>
        <w:rPr>
          <w:lang w:val="zh-TW"/>
        </w:rPr>
        <w:t>》</w:t>
      </w:r>
      <w:r>
        <w:rPr>
          <w:rFonts w:hint="eastAsia"/>
          <w:lang w:eastAsia="zh-CN"/>
        </w:rPr>
        <w:t>、</w:t>
      </w:r>
      <w:r>
        <w:t>《</w:t>
      </w:r>
      <w:r>
        <w:rPr>
          <w:rFonts w:hint="eastAsia"/>
          <w:lang w:eastAsia="zh-CN"/>
        </w:rPr>
        <w:t>广南县麦地大山建筑石料用石灰岩矿</w:t>
      </w:r>
      <w:r>
        <w:rPr>
          <w:rFonts w:hint="default"/>
          <w:lang w:eastAsia="zh-CN"/>
        </w:rPr>
        <w:t>50万t/a露天采矿工程</w:t>
      </w:r>
      <w:r>
        <w:rPr>
          <w:rFonts w:hint="eastAsia"/>
          <w:lang w:val="en-US" w:eastAsia="zh-CN"/>
        </w:rPr>
        <w:t>初步</w:t>
      </w:r>
      <w:r>
        <w:t>设计》</w:t>
      </w:r>
      <w:r>
        <w:rPr>
          <w:rFonts w:hint="eastAsia"/>
          <w:lang w:eastAsia="zh-CN"/>
        </w:rPr>
        <w:t>、《广南县麦地大山建筑石料用石灰岩矿</w:t>
      </w:r>
      <w:r>
        <w:rPr>
          <w:rFonts w:hint="default"/>
          <w:lang w:eastAsia="zh-CN"/>
        </w:rPr>
        <w:t>50万t/a露天采矿工程</w:t>
      </w:r>
      <w:r>
        <w:t>安全设施设计》，并经过</w:t>
      </w:r>
      <w:r>
        <w:rPr>
          <w:rFonts w:hint="eastAsia"/>
          <w:lang w:val="en-US" w:eastAsia="zh-CN"/>
        </w:rPr>
        <w:t>文山州</w:t>
      </w:r>
      <w:r>
        <w:t>应急管理局组织</w:t>
      </w:r>
      <w:r>
        <w:rPr>
          <w:rFonts w:hint="eastAsia"/>
          <w:lang w:val="en-US" w:eastAsia="zh-CN"/>
        </w:rPr>
        <w:t>专家</w:t>
      </w:r>
      <w:r>
        <w:t>评审通过。202</w:t>
      </w:r>
      <w:r>
        <w:rPr>
          <w:rFonts w:hint="eastAsia"/>
          <w:lang w:val="en-US" w:eastAsia="zh-CN"/>
        </w:rPr>
        <w:t>6</w:t>
      </w:r>
      <w:r>
        <w:t>年</w:t>
      </w:r>
      <w:r>
        <w:rPr>
          <w:rFonts w:hint="eastAsia"/>
          <w:lang w:val="en-US" w:eastAsia="zh-CN"/>
        </w:rPr>
        <w:t>6</w:t>
      </w:r>
      <w:r>
        <w:t>月</w:t>
      </w:r>
      <w:r>
        <w:rPr>
          <w:rFonts w:hint="eastAsia"/>
          <w:lang w:val="en-US" w:eastAsia="zh-CN"/>
        </w:rPr>
        <w:t>19</w:t>
      </w:r>
      <w:r>
        <w:t>日，取得</w:t>
      </w:r>
      <w:r>
        <w:rPr>
          <w:rFonts w:hint="eastAsia"/>
          <w:lang w:val="en-US" w:eastAsia="zh-CN"/>
        </w:rPr>
        <w:t>文山州</w:t>
      </w:r>
      <w:r>
        <w:t>应急管理局批准的《云南省建设项目安全设施设计审批书》。矿山于202</w:t>
      </w:r>
      <w:r>
        <w:rPr>
          <w:rFonts w:hint="eastAsia"/>
          <w:lang w:val="en-US" w:eastAsia="zh-CN"/>
        </w:rPr>
        <w:t>6</w:t>
      </w:r>
      <w:r>
        <w:t>年</w:t>
      </w:r>
      <w:r>
        <w:rPr>
          <w:rFonts w:hint="eastAsia"/>
          <w:lang w:val="en-US" w:eastAsia="zh-CN"/>
        </w:rPr>
        <w:t>6</w:t>
      </w:r>
      <w:r>
        <w:t>月</w:t>
      </w:r>
      <w:r>
        <w:rPr>
          <w:rFonts w:hint="eastAsia"/>
          <w:lang w:val="en-US" w:eastAsia="zh-CN"/>
        </w:rPr>
        <w:t>19</w:t>
      </w:r>
      <w:r>
        <w:t>日</w:t>
      </w:r>
      <w:r>
        <w:rPr>
          <w:rFonts w:hint="eastAsia"/>
          <w:lang w:val="en-US" w:eastAsia="zh-CN"/>
        </w:rPr>
        <w:t>开始基建施工，</w:t>
      </w:r>
      <w:r>
        <w:t>202</w:t>
      </w:r>
      <w:r>
        <w:rPr>
          <w:rFonts w:hint="eastAsia"/>
          <w:lang w:val="en-US" w:eastAsia="zh-CN"/>
        </w:rPr>
        <w:t>6</w:t>
      </w:r>
      <w:r>
        <w:t>年</w:t>
      </w:r>
      <w:r>
        <w:rPr>
          <w:rFonts w:hint="eastAsia"/>
          <w:lang w:val="en-US" w:eastAsia="zh-CN"/>
        </w:rPr>
        <w:t>2</w:t>
      </w:r>
      <w:r>
        <w:t>月</w:t>
      </w:r>
      <w:r>
        <w:rPr>
          <w:rFonts w:hint="eastAsia"/>
          <w:lang w:val="en-US" w:eastAsia="zh-CN"/>
        </w:rPr>
        <w:t>14</w:t>
      </w:r>
      <w:r>
        <w:t>日完成了基建工程施工</w:t>
      </w:r>
      <w:r>
        <w:rPr>
          <w:rFonts w:hint="eastAsia"/>
          <w:lang w:eastAsia="zh-CN"/>
        </w:rPr>
        <w:t>，</w:t>
      </w:r>
      <w:r>
        <w:t>202</w:t>
      </w:r>
      <w:r>
        <w:rPr>
          <w:rFonts w:hint="eastAsia"/>
          <w:lang w:val="en-US" w:eastAsia="zh-CN"/>
        </w:rPr>
        <w:t>6</w:t>
      </w:r>
      <w:r>
        <w:t>年</w:t>
      </w:r>
      <w:r>
        <w:rPr>
          <w:rFonts w:hint="eastAsia"/>
          <w:lang w:val="en-US" w:eastAsia="zh-CN"/>
        </w:rPr>
        <w:t>2</w:t>
      </w:r>
      <w:r>
        <w:t>月</w:t>
      </w:r>
      <w:r>
        <w:rPr>
          <w:rFonts w:hint="eastAsia"/>
          <w:lang w:val="en-US" w:eastAsia="zh-CN"/>
        </w:rPr>
        <w:t>27</w:t>
      </w:r>
      <w:r>
        <w:t>日</w:t>
      </w:r>
      <w:r>
        <w:rPr>
          <w:rFonts w:hint="eastAsia"/>
          <w:lang w:val="en-US" w:eastAsia="zh-CN"/>
        </w:rPr>
        <w:t>至</w:t>
      </w:r>
      <w:r>
        <w:t>202</w:t>
      </w:r>
      <w:r>
        <w:rPr>
          <w:rFonts w:hint="eastAsia"/>
          <w:lang w:val="en-US" w:eastAsia="zh-CN"/>
        </w:rPr>
        <w:t>6</w:t>
      </w:r>
      <w:r>
        <w:t>年</w:t>
      </w:r>
      <w:r>
        <w:rPr>
          <w:rFonts w:hint="eastAsia"/>
          <w:lang w:val="en-US" w:eastAsia="zh-CN"/>
        </w:rPr>
        <w:t>3</w:t>
      </w:r>
      <w:r>
        <w:t>月</w:t>
      </w:r>
      <w:r>
        <w:rPr>
          <w:rFonts w:hint="eastAsia"/>
          <w:lang w:val="en-US" w:eastAsia="zh-CN"/>
        </w:rPr>
        <w:t>28</w:t>
      </w:r>
      <w:r>
        <w:t>日</w:t>
      </w:r>
      <w:r>
        <w:rPr>
          <w:rFonts w:hint="eastAsia"/>
          <w:lang w:val="en-US" w:eastAsia="zh-CN"/>
        </w:rPr>
        <w:t>完成试运行生产</w:t>
      </w:r>
      <w:r>
        <w:t>。安全设施“三同时”程序符合国家相关法规要求</w:t>
      </w:r>
      <w:r>
        <w:rPr>
          <w:rFonts w:hint="eastAsia"/>
          <w:lang w:eastAsia="zh-CN"/>
        </w:rPr>
        <w:t>，</w:t>
      </w:r>
      <w:r>
        <w:t>该项目安全设施做到了与主体工程同时设计、同时施工、同时投入生产和使用，建设程序符合要求。</w:t>
      </w:r>
    </w:p>
    <w:p w14:paraId="06F3474B">
      <w:pPr>
        <w:pStyle w:val="3"/>
      </w:pPr>
      <w:bookmarkStart w:id="283" w:name="_Toc214284032"/>
      <w:bookmarkStart w:id="284" w:name="_Toc25366"/>
      <w:bookmarkStart w:id="285" w:name="_Toc21132"/>
      <w:r>
        <w:t>3.2露天采场</w:t>
      </w:r>
      <w:bookmarkEnd w:id="283"/>
      <w:bookmarkEnd w:id="284"/>
      <w:bookmarkEnd w:id="285"/>
    </w:p>
    <w:p w14:paraId="3E02C96F">
      <w:pPr>
        <w:pStyle w:val="4"/>
      </w:pPr>
      <w:bookmarkStart w:id="286" w:name="_Toc476244156"/>
      <w:bookmarkStart w:id="287" w:name="_Toc454614315"/>
      <w:bookmarkStart w:id="288" w:name="_Toc214284033"/>
      <w:bookmarkStart w:id="289" w:name="_Toc20116"/>
      <w:bookmarkStart w:id="290" w:name="_Toc402444171"/>
      <w:bookmarkStart w:id="291" w:name="_Toc24785"/>
      <w:bookmarkStart w:id="292" w:name="_Toc483865729"/>
      <w:r>
        <w:t>3.2.1露天采场子单元符合性评价</w:t>
      </w:r>
      <w:bookmarkEnd w:id="286"/>
      <w:bookmarkEnd w:id="287"/>
      <w:bookmarkEnd w:id="288"/>
      <w:bookmarkEnd w:id="289"/>
      <w:bookmarkEnd w:id="290"/>
      <w:bookmarkEnd w:id="291"/>
      <w:bookmarkEnd w:id="292"/>
    </w:p>
    <w:p w14:paraId="0085902C">
      <w:pPr>
        <w:bidi w:val="0"/>
        <w:rPr>
          <w:rFonts w:hint="eastAsia"/>
          <w:lang w:val="en-US" w:eastAsia="zh-CN"/>
        </w:rPr>
      </w:pPr>
      <w:r>
        <w:rPr>
          <w:rFonts w:hint="eastAsia"/>
          <w:lang w:val="en-US" w:eastAsia="zh-CN"/>
        </w:rPr>
        <w:t>1、按</w:t>
      </w:r>
      <w:r>
        <w:rPr>
          <w:rFonts w:hint="eastAsia"/>
          <w:lang w:eastAsia="zh-CN"/>
        </w:rPr>
        <w:t>安监</w:t>
      </w:r>
      <w:r>
        <w:rPr>
          <w:rFonts w:hint="eastAsia"/>
        </w:rPr>
        <w:t>总管一〔2016〕14号</w:t>
      </w:r>
      <w:r>
        <w:rPr>
          <w:rFonts w:hint="eastAsia"/>
          <w:lang w:eastAsia="zh-CN"/>
        </w:rPr>
        <w:t>金属非金属</w:t>
      </w:r>
      <w:r>
        <w:rPr>
          <w:rFonts w:hint="eastAsia"/>
          <w:lang w:val="en-US" w:eastAsia="zh-CN"/>
        </w:rPr>
        <w:t>露天矿山验收表检查项评价</w:t>
      </w:r>
    </w:p>
    <w:p w14:paraId="6E95EE9D">
      <w:pPr>
        <w:bidi w:val="0"/>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金属非金属露天矿山建设项目安全设施竣工验收表检查</w:t>
      </w:r>
      <w:r>
        <w:rPr>
          <w:rFonts w:hint="eastAsia"/>
          <w:lang w:eastAsia="zh-CN"/>
        </w:rPr>
        <w:t>内容</w:t>
      </w:r>
      <w:r>
        <w:t>对矿山建设企业的程序符合性进行检查评价。</w:t>
      </w:r>
    </w:p>
    <w:p w14:paraId="40FE78F5">
      <w:pPr>
        <w:pStyle w:val="86"/>
        <w:bidi w:val="0"/>
      </w:pPr>
      <w:r>
        <w:t>表3</w:t>
      </w:r>
      <w:r>
        <w:rPr>
          <w:rFonts w:hint="eastAsia"/>
          <w:lang w:val="en-US" w:eastAsia="zh-CN"/>
        </w:rPr>
        <w:t>.2</w:t>
      </w:r>
      <w:r>
        <w:t>-</w:t>
      </w:r>
      <w:r>
        <w:rPr>
          <w:rFonts w:hint="eastAsia"/>
          <w:lang w:val="en-US" w:eastAsia="zh-CN"/>
        </w:rPr>
        <w:t>1</w:t>
      </w:r>
      <w:r>
        <w:t>露天采场</w:t>
      </w:r>
      <w:r>
        <w:rPr>
          <w:rFonts w:hint="eastAsia"/>
          <w:lang w:val="en-US" w:eastAsia="zh-CN"/>
        </w:rPr>
        <w:t>子单元</w:t>
      </w:r>
      <w:r>
        <w:t>符合性安全检查表</w:t>
      </w:r>
    </w:p>
    <w:tbl>
      <w:tblPr>
        <w:tblStyle w:val="35"/>
        <w:tblW w:w="499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33"/>
        <w:gridCol w:w="1807"/>
        <w:gridCol w:w="728"/>
        <w:gridCol w:w="653"/>
        <w:gridCol w:w="3053"/>
        <w:gridCol w:w="2015"/>
        <w:gridCol w:w="679"/>
      </w:tblGrid>
      <w:tr w14:paraId="42A5F9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tblHeader/>
          <w:jc w:val="center"/>
        </w:trPr>
        <w:tc>
          <w:tcPr>
            <w:tcW w:w="330" w:type="pct"/>
            <w:noWrap w:val="0"/>
            <w:vAlign w:val="center"/>
          </w:tcPr>
          <w:p w14:paraId="63654776">
            <w:pPr>
              <w:pStyle w:val="56"/>
              <w:bidi w:val="0"/>
            </w:pPr>
            <w:r>
              <w:t>序号</w:t>
            </w:r>
          </w:p>
        </w:tc>
        <w:tc>
          <w:tcPr>
            <w:tcW w:w="944" w:type="pct"/>
            <w:noWrap w:val="0"/>
            <w:vAlign w:val="center"/>
          </w:tcPr>
          <w:p w14:paraId="5A29901E">
            <w:pPr>
              <w:pStyle w:val="56"/>
              <w:bidi w:val="0"/>
            </w:pPr>
            <w:r>
              <w:t>检查项目</w:t>
            </w:r>
          </w:p>
        </w:tc>
        <w:tc>
          <w:tcPr>
            <w:tcW w:w="380" w:type="pct"/>
            <w:noWrap w:val="0"/>
            <w:vAlign w:val="center"/>
          </w:tcPr>
          <w:p w14:paraId="2236EA1C">
            <w:pPr>
              <w:pStyle w:val="56"/>
              <w:bidi w:val="0"/>
            </w:pPr>
            <w:r>
              <w:t>安全设施类别</w:t>
            </w:r>
          </w:p>
        </w:tc>
        <w:tc>
          <w:tcPr>
            <w:tcW w:w="341" w:type="pct"/>
            <w:noWrap w:val="0"/>
            <w:vAlign w:val="center"/>
          </w:tcPr>
          <w:p w14:paraId="5799D279">
            <w:pPr>
              <w:pStyle w:val="56"/>
              <w:bidi w:val="0"/>
            </w:pPr>
            <w:r>
              <w:t>检查</w:t>
            </w:r>
          </w:p>
          <w:p w14:paraId="79194E37">
            <w:pPr>
              <w:pStyle w:val="56"/>
              <w:bidi w:val="0"/>
            </w:pPr>
            <w:r>
              <w:t>类别</w:t>
            </w:r>
          </w:p>
        </w:tc>
        <w:tc>
          <w:tcPr>
            <w:tcW w:w="1595" w:type="pct"/>
            <w:noWrap w:val="0"/>
            <w:vAlign w:val="center"/>
          </w:tcPr>
          <w:p w14:paraId="09A0908A">
            <w:pPr>
              <w:pStyle w:val="56"/>
              <w:bidi w:val="0"/>
            </w:pPr>
            <w:r>
              <w:t>检查内容、检查方法</w:t>
            </w:r>
          </w:p>
        </w:tc>
        <w:tc>
          <w:tcPr>
            <w:tcW w:w="1052" w:type="pct"/>
            <w:noWrap w:val="0"/>
            <w:vAlign w:val="center"/>
          </w:tcPr>
          <w:p w14:paraId="77209A7A">
            <w:pPr>
              <w:pStyle w:val="56"/>
              <w:bidi w:val="0"/>
            </w:pPr>
            <w:r>
              <w:rPr>
                <w:rFonts w:hint="eastAsia"/>
                <w:lang w:val="en-US" w:eastAsia="zh-CN"/>
              </w:rPr>
              <w:t>检查情况</w:t>
            </w:r>
          </w:p>
        </w:tc>
        <w:tc>
          <w:tcPr>
            <w:tcW w:w="355" w:type="pct"/>
            <w:noWrap w:val="0"/>
            <w:vAlign w:val="center"/>
          </w:tcPr>
          <w:p w14:paraId="51F303A8">
            <w:pPr>
              <w:pStyle w:val="56"/>
              <w:bidi w:val="0"/>
            </w:pPr>
            <w:r>
              <w:t>检查结果</w:t>
            </w:r>
          </w:p>
        </w:tc>
      </w:tr>
      <w:tr w14:paraId="58A70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68" w:hRule="atLeast"/>
          <w:jc w:val="center"/>
        </w:trPr>
        <w:tc>
          <w:tcPr>
            <w:tcW w:w="330" w:type="pct"/>
            <w:noWrap w:val="0"/>
            <w:vAlign w:val="center"/>
          </w:tcPr>
          <w:p w14:paraId="6F761F0A">
            <w:pPr>
              <w:pStyle w:val="55"/>
              <w:bidi w:val="0"/>
            </w:pPr>
            <w:r>
              <w:t>1</w:t>
            </w:r>
          </w:p>
        </w:tc>
        <w:tc>
          <w:tcPr>
            <w:tcW w:w="944" w:type="pct"/>
            <w:noWrap w:val="0"/>
            <w:vAlign w:val="center"/>
          </w:tcPr>
          <w:p w14:paraId="486A235A">
            <w:pPr>
              <w:pStyle w:val="55"/>
              <w:bidi w:val="0"/>
            </w:pPr>
            <w:r>
              <w:t>安全平台、清扫平台、运输平台的宽度、台阶高度、台阶坡面角</w:t>
            </w:r>
          </w:p>
        </w:tc>
        <w:tc>
          <w:tcPr>
            <w:tcW w:w="380" w:type="pct"/>
            <w:noWrap w:val="0"/>
            <w:vAlign w:val="center"/>
          </w:tcPr>
          <w:p w14:paraId="63D193F3">
            <w:pPr>
              <w:pStyle w:val="55"/>
              <w:bidi w:val="0"/>
            </w:pPr>
            <w:r>
              <w:t>基本</w:t>
            </w:r>
          </w:p>
        </w:tc>
        <w:tc>
          <w:tcPr>
            <w:tcW w:w="341" w:type="pct"/>
            <w:noWrap w:val="0"/>
            <w:vAlign w:val="center"/>
          </w:tcPr>
          <w:p w14:paraId="7A94D120">
            <w:pPr>
              <w:pStyle w:val="55"/>
              <w:bidi w:val="0"/>
            </w:pPr>
            <w:r>
              <w:t>△</w:t>
            </w:r>
          </w:p>
        </w:tc>
        <w:tc>
          <w:tcPr>
            <w:tcW w:w="1595" w:type="pct"/>
            <w:noWrap w:val="0"/>
            <w:vAlign w:val="center"/>
          </w:tcPr>
          <w:p w14:paraId="7EFE7586">
            <w:pPr>
              <w:pStyle w:val="55"/>
              <w:bidi w:val="0"/>
            </w:pPr>
            <w:r>
              <w:t>检查内容：安全平台、清扫平台和运输平台的宽度，以及台阶高度、台阶坡面角大小是否与批复的安全设施设计一致。</w:t>
            </w:r>
          </w:p>
          <w:p w14:paraId="27811D8E">
            <w:pPr>
              <w:pStyle w:val="55"/>
              <w:bidi w:val="0"/>
            </w:pPr>
            <w:r>
              <w:t>检查方法：查阅安全设施验收评价报告、现场抽查。</w:t>
            </w:r>
          </w:p>
        </w:tc>
        <w:tc>
          <w:tcPr>
            <w:tcW w:w="1052" w:type="pct"/>
            <w:noWrap w:val="0"/>
            <w:vAlign w:val="top"/>
          </w:tcPr>
          <w:p w14:paraId="338CCE2A">
            <w:pPr>
              <w:pStyle w:val="55"/>
              <w:bidi w:val="0"/>
              <w:rPr>
                <w:rFonts w:hint="eastAsia" w:eastAsia="宋体"/>
                <w:lang w:val="en-US" w:eastAsia="zh-CN"/>
              </w:rPr>
            </w:pPr>
            <w:r>
              <w:rPr>
                <w:rFonts w:hint="eastAsia"/>
                <w:color w:val="auto"/>
                <w:lang w:val="en-US" w:eastAsia="zh-CN"/>
              </w:rPr>
              <w:t>现场检查：基建期形成1705m、1690m安全平台，宽5m，台阶高15m；1675m平台，宽8m，台阶高15m；1660m平台，宽60m，台阶高15m，坡面角60</w:t>
            </w:r>
            <w:r>
              <w:rPr>
                <w:rFonts w:hint="default" w:ascii="Times New Roman" w:hAnsi="Times New Roman" w:eastAsia="宋体" w:cs="Times New Roman"/>
                <w:color w:val="auto"/>
                <w:sz w:val="21"/>
                <w:szCs w:val="21"/>
                <w:highlight w:val="none"/>
              </w:rPr>
              <w:t>º</w:t>
            </w:r>
            <w:r>
              <w:rPr>
                <w:rFonts w:hint="eastAsia" w:ascii="Times New Roman" w:hAnsi="Times New Roman" w:eastAsia="宋体" w:cs="Times New Roman"/>
                <w:color w:val="auto"/>
                <w:sz w:val="21"/>
                <w:szCs w:val="21"/>
                <w:highlight w:val="none"/>
                <w:lang w:eastAsia="zh-CN"/>
              </w:rPr>
              <w:t>。</w:t>
            </w:r>
          </w:p>
        </w:tc>
        <w:tc>
          <w:tcPr>
            <w:tcW w:w="355" w:type="pct"/>
            <w:noWrap w:val="0"/>
            <w:vAlign w:val="center"/>
          </w:tcPr>
          <w:p w14:paraId="58578CB2">
            <w:pPr>
              <w:pStyle w:val="55"/>
              <w:bidi w:val="0"/>
              <w:rPr>
                <w:rFonts w:hint="eastAsia" w:eastAsia="宋体"/>
                <w:lang w:val="en-US" w:eastAsia="zh-CN"/>
              </w:rPr>
            </w:pPr>
            <w:r>
              <w:rPr>
                <w:rFonts w:hint="eastAsia"/>
                <w:lang w:val="en-US" w:eastAsia="zh-CN"/>
              </w:rPr>
              <w:t>符合</w:t>
            </w:r>
          </w:p>
        </w:tc>
      </w:tr>
      <w:tr w14:paraId="4957DD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7" w:hRule="atLeast"/>
          <w:jc w:val="center"/>
        </w:trPr>
        <w:tc>
          <w:tcPr>
            <w:tcW w:w="330" w:type="pct"/>
            <w:noWrap w:val="0"/>
            <w:vAlign w:val="center"/>
          </w:tcPr>
          <w:p w14:paraId="3DD8BBFB">
            <w:pPr>
              <w:pStyle w:val="55"/>
              <w:bidi w:val="0"/>
            </w:pPr>
            <w:r>
              <w:t>2</w:t>
            </w:r>
          </w:p>
        </w:tc>
        <w:tc>
          <w:tcPr>
            <w:tcW w:w="944" w:type="pct"/>
            <w:noWrap w:val="0"/>
            <w:vAlign w:val="center"/>
          </w:tcPr>
          <w:p w14:paraId="34D04570">
            <w:pPr>
              <w:pStyle w:val="55"/>
              <w:bidi w:val="0"/>
            </w:pPr>
            <w:r>
              <w:t>安全加固及防护</w:t>
            </w:r>
          </w:p>
        </w:tc>
        <w:tc>
          <w:tcPr>
            <w:tcW w:w="380" w:type="pct"/>
            <w:noWrap w:val="0"/>
            <w:vAlign w:val="center"/>
          </w:tcPr>
          <w:p w14:paraId="684096F9">
            <w:pPr>
              <w:pStyle w:val="55"/>
              <w:bidi w:val="0"/>
            </w:pPr>
          </w:p>
        </w:tc>
        <w:tc>
          <w:tcPr>
            <w:tcW w:w="341" w:type="pct"/>
            <w:noWrap w:val="0"/>
            <w:vAlign w:val="center"/>
          </w:tcPr>
          <w:p w14:paraId="5968E2CA">
            <w:pPr>
              <w:pStyle w:val="55"/>
              <w:bidi w:val="0"/>
            </w:pPr>
          </w:p>
        </w:tc>
        <w:tc>
          <w:tcPr>
            <w:tcW w:w="1595" w:type="pct"/>
            <w:noWrap w:val="0"/>
            <w:vAlign w:val="center"/>
          </w:tcPr>
          <w:p w14:paraId="285B3802">
            <w:pPr>
              <w:pStyle w:val="55"/>
              <w:bidi w:val="0"/>
            </w:pPr>
          </w:p>
        </w:tc>
        <w:tc>
          <w:tcPr>
            <w:tcW w:w="1052" w:type="pct"/>
            <w:noWrap w:val="0"/>
            <w:vAlign w:val="top"/>
          </w:tcPr>
          <w:p w14:paraId="597E695C">
            <w:pPr>
              <w:pStyle w:val="55"/>
              <w:bidi w:val="0"/>
            </w:pPr>
          </w:p>
        </w:tc>
        <w:tc>
          <w:tcPr>
            <w:tcW w:w="355" w:type="pct"/>
            <w:noWrap w:val="0"/>
            <w:vAlign w:val="center"/>
          </w:tcPr>
          <w:p w14:paraId="06259DA6">
            <w:pPr>
              <w:pStyle w:val="55"/>
              <w:bidi w:val="0"/>
            </w:pPr>
          </w:p>
        </w:tc>
      </w:tr>
      <w:tr w14:paraId="46BCF7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330" w:type="pct"/>
            <w:noWrap w:val="0"/>
            <w:vAlign w:val="center"/>
          </w:tcPr>
          <w:p w14:paraId="1C553A7E">
            <w:pPr>
              <w:pStyle w:val="55"/>
              <w:bidi w:val="0"/>
            </w:pPr>
            <w:r>
              <w:t>2.1</w:t>
            </w:r>
          </w:p>
        </w:tc>
        <w:tc>
          <w:tcPr>
            <w:tcW w:w="944" w:type="pct"/>
            <w:noWrap w:val="0"/>
            <w:vAlign w:val="center"/>
          </w:tcPr>
          <w:p w14:paraId="4514A91D">
            <w:pPr>
              <w:pStyle w:val="55"/>
              <w:bidi w:val="0"/>
            </w:pPr>
            <w:r>
              <w:t>露天采场边坡、道路边坡、破碎站和工业场地边坡的安全加固及防护措施</w:t>
            </w:r>
          </w:p>
        </w:tc>
        <w:tc>
          <w:tcPr>
            <w:tcW w:w="380" w:type="pct"/>
            <w:noWrap w:val="0"/>
            <w:vAlign w:val="center"/>
          </w:tcPr>
          <w:p w14:paraId="0B3D4EB6">
            <w:pPr>
              <w:pStyle w:val="55"/>
              <w:bidi w:val="0"/>
            </w:pPr>
            <w:r>
              <w:t>基本</w:t>
            </w:r>
          </w:p>
        </w:tc>
        <w:tc>
          <w:tcPr>
            <w:tcW w:w="341" w:type="pct"/>
            <w:noWrap w:val="0"/>
            <w:vAlign w:val="center"/>
          </w:tcPr>
          <w:p w14:paraId="497DDBCE">
            <w:pPr>
              <w:pStyle w:val="55"/>
              <w:bidi w:val="0"/>
            </w:pPr>
            <w:r>
              <w:t>△</w:t>
            </w:r>
          </w:p>
        </w:tc>
        <w:tc>
          <w:tcPr>
            <w:tcW w:w="1595" w:type="pct"/>
            <w:noWrap w:val="0"/>
            <w:vAlign w:val="center"/>
          </w:tcPr>
          <w:p w14:paraId="02FB82D6">
            <w:pPr>
              <w:pStyle w:val="55"/>
              <w:bidi w:val="0"/>
            </w:pPr>
            <w:r>
              <w:t>检查内容：边坡的安全加固及防护措施是否与批复的安全设施设计一致。</w:t>
            </w:r>
          </w:p>
          <w:p w14:paraId="442F5306">
            <w:pPr>
              <w:pStyle w:val="55"/>
              <w:bidi w:val="0"/>
            </w:pPr>
            <w:r>
              <w:t>检查方法：查阅安全设施验收评价报告、现场抽查。</w:t>
            </w:r>
          </w:p>
        </w:tc>
        <w:tc>
          <w:tcPr>
            <w:tcW w:w="1052" w:type="pct"/>
            <w:noWrap w:val="0"/>
            <w:vAlign w:val="top"/>
          </w:tcPr>
          <w:p w14:paraId="6899E27A">
            <w:pPr>
              <w:pStyle w:val="55"/>
              <w:bidi w:val="0"/>
              <w:rPr>
                <w:rFonts w:hint="default" w:eastAsia="宋体"/>
                <w:lang w:val="en-US" w:eastAsia="zh-CN"/>
              </w:rPr>
            </w:pPr>
            <w:r>
              <w:rPr>
                <w:rFonts w:hint="eastAsia"/>
                <w:lang w:val="en-US" w:eastAsia="zh-CN"/>
              </w:rPr>
              <w:t>采用降坡、分台等</w:t>
            </w:r>
            <w:r>
              <w:t>安全加固及防护措施</w:t>
            </w:r>
          </w:p>
        </w:tc>
        <w:tc>
          <w:tcPr>
            <w:tcW w:w="355" w:type="pct"/>
            <w:noWrap w:val="0"/>
            <w:vAlign w:val="center"/>
          </w:tcPr>
          <w:p w14:paraId="023EB0B9">
            <w:pPr>
              <w:pStyle w:val="55"/>
              <w:bidi w:val="0"/>
              <w:rPr>
                <w:rFonts w:hint="eastAsia" w:eastAsia="宋体"/>
                <w:lang w:val="en-US" w:eastAsia="zh-CN"/>
              </w:rPr>
            </w:pPr>
            <w:r>
              <w:rPr>
                <w:rFonts w:hint="eastAsia"/>
                <w:lang w:val="en-US" w:eastAsia="zh-CN"/>
              </w:rPr>
              <w:t>符合</w:t>
            </w:r>
          </w:p>
        </w:tc>
      </w:tr>
      <w:tr w14:paraId="717A9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4" w:hRule="atLeast"/>
          <w:jc w:val="center"/>
        </w:trPr>
        <w:tc>
          <w:tcPr>
            <w:tcW w:w="330" w:type="pct"/>
            <w:noWrap w:val="0"/>
            <w:vAlign w:val="center"/>
          </w:tcPr>
          <w:p w14:paraId="343564FD">
            <w:pPr>
              <w:pStyle w:val="55"/>
              <w:bidi w:val="0"/>
            </w:pPr>
            <w:r>
              <w:t>2.</w:t>
            </w:r>
            <w:r>
              <w:rPr>
                <w:rFonts w:hint="eastAsia"/>
              </w:rPr>
              <w:t>2</w:t>
            </w:r>
          </w:p>
        </w:tc>
        <w:tc>
          <w:tcPr>
            <w:tcW w:w="944" w:type="pct"/>
            <w:noWrap w:val="0"/>
            <w:vAlign w:val="center"/>
          </w:tcPr>
          <w:p w14:paraId="133FE5A0">
            <w:pPr>
              <w:pStyle w:val="55"/>
              <w:bidi w:val="0"/>
            </w:pPr>
            <w:r>
              <w:t>水溶开采时，有害有毒气体积聚处采取的措施</w:t>
            </w:r>
          </w:p>
        </w:tc>
        <w:tc>
          <w:tcPr>
            <w:tcW w:w="380" w:type="pct"/>
            <w:noWrap w:val="0"/>
            <w:vAlign w:val="center"/>
          </w:tcPr>
          <w:p w14:paraId="30E4325F">
            <w:pPr>
              <w:pStyle w:val="55"/>
              <w:bidi w:val="0"/>
            </w:pPr>
            <w:r>
              <w:rPr>
                <w:rFonts w:hint="eastAsia"/>
              </w:rPr>
              <w:t>专用</w:t>
            </w:r>
          </w:p>
        </w:tc>
        <w:tc>
          <w:tcPr>
            <w:tcW w:w="341" w:type="pct"/>
            <w:noWrap w:val="0"/>
            <w:vAlign w:val="center"/>
          </w:tcPr>
          <w:p w14:paraId="195F45DB">
            <w:pPr>
              <w:pStyle w:val="55"/>
              <w:bidi w:val="0"/>
            </w:pPr>
            <w:r>
              <w:t>△</w:t>
            </w:r>
          </w:p>
        </w:tc>
        <w:tc>
          <w:tcPr>
            <w:tcW w:w="1595" w:type="pct"/>
            <w:noWrap w:val="0"/>
            <w:vAlign w:val="center"/>
          </w:tcPr>
          <w:p w14:paraId="1FF5FD08">
            <w:pPr>
              <w:pStyle w:val="55"/>
              <w:bidi w:val="0"/>
            </w:pPr>
            <w:r>
              <w:t>检查内容：采取的措施是否与批复的安全设施设计一致。</w:t>
            </w:r>
          </w:p>
          <w:p w14:paraId="7DAB3C1B">
            <w:pPr>
              <w:pStyle w:val="55"/>
              <w:bidi w:val="0"/>
            </w:pPr>
            <w:r>
              <w:t>检查方法：查阅安全设施验收评价报告、现场抽查。</w:t>
            </w:r>
          </w:p>
        </w:tc>
        <w:tc>
          <w:tcPr>
            <w:tcW w:w="1052" w:type="pct"/>
            <w:noWrap w:val="0"/>
            <w:vAlign w:val="top"/>
          </w:tcPr>
          <w:p w14:paraId="2C9FD046">
            <w:pPr>
              <w:pStyle w:val="55"/>
              <w:bidi w:val="0"/>
            </w:pPr>
          </w:p>
        </w:tc>
        <w:tc>
          <w:tcPr>
            <w:tcW w:w="355" w:type="pct"/>
            <w:noWrap w:val="0"/>
            <w:vAlign w:val="center"/>
          </w:tcPr>
          <w:p w14:paraId="71C181B0">
            <w:pPr>
              <w:pStyle w:val="55"/>
              <w:bidi w:val="0"/>
              <w:rPr>
                <w:rFonts w:hint="default" w:eastAsia="宋体"/>
                <w:lang w:val="en-US" w:eastAsia="zh-CN"/>
              </w:rPr>
            </w:pPr>
            <w:r>
              <w:rPr>
                <w:rFonts w:hint="eastAsia"/>
                <w:lang w:val="en-US" w:eastAsia="zh-CN"/>
              </w:rPr>
              <w:t>不涉及</w:t>
            </w:r>
          </w:p>
        </w:tc>
      </w:tr>
      <w:tr w14:paraId="48AF6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19" w:hRule="atLeast"/>
          <w:jc w:val="center"/>
        </w:trPr>
        <w:tc>
          <w:tcPr>
            <w:tcW w:w="330" w:type="pct"/>
            <w:noWrap w:val="0"/>
            <w:vAlign w:val="center"/>
          </w:tcPr>
          <w:p w14:paraId="4EC78E40">
            <w:pPr>
              <w:pStyle w:val="55"/>
              <w:bidi w:val="0"/>
            </w:pPr>
            <w:r>
              <w:t>2.</w:t>
            </w:r>
            <w:r>
              <w:rPr>
                <w:rFonts w:hint="eastAsia"/>
              </w:rPr>
              <w:t>3</w:t>
            </w:r>
          </w:p>
        </w:tc>
        <w:tc>
          <w:tcPr>
            <w:tcW w:w="944" w:type="pct"/>
            <w:noWrap w:val="0"/>
            <w:vAlign w:val="center"/>
          </w:tcPr>
          <w:p w14:paraId="589BF85B">
            <w:pPr>
              <w:pStyle w:val="55"/>
              <w:bidi w:val="0"/>
            </w:pPr>
            <w:r>
              <w:t>水力开采运矿沟槽上的盖板或金属网</w:t>
            </w:r>
          </w:p>
        </w:tc>
        <w:tc>
          <w:tcPr>
            <w:tcW w:w="380" w:type="pct"/>
            <w:noWrap w:val="0"/>
            <w:vAlign w:val="center"/>
          </w:tcPr>
          <w:p w14:paraId="7193282D">
            <w:pPr>
              <w:pStyle w:val="55"/>
              <w:bidi w:val="0"/>
            </w:pPr>
            <w:r>
              <w:t>专用</w:t>
            </w:r>
          </w:p>
        </w:tc>
        <w:tc>
          <w:tcPr>
            <w:tcW w:w="341" w:type="pct"/>
            <w:noWrap w:val="0"/>
            <w:vAlign w:val="center"/>
          </w:tcPr>
          <w:p w14:paraId="587F5181">
            <w:pPr>
              <w:pStyle w:val="55"/>
              <w:bidi w:val="0"/>
            </w:pPr>
            <w:r>
              <w:t>△</w:t>
            </w:r>
          </w:p>
        </w:tc>
        <w:tc>
          <w:tcPr>
            <w:tcW w:w="1595" w:type="pct"/>
            <w:noWrap w:val="0"/>
            <w:vAlign w:val="center"/>
          </w:tcPr>
          <w:p w14:paraId="0F08179E">
            <w:pPr>
              <w:pStyle w:val="55"/>
              <w:bidi w:val="0"/>
            </w:pPr>
            <w:r>
              <w:t>检查内容：盖板或金属网设置是否与批复的安全设施设计一致。</w:t>
            </w:r>
          </w:p>
          <w:p w14:paraId="47954A33">
            <w:pPr>
              <w:pStyle w:val="55"/>
              <w:bidi w:val="0"/>
            </w:pPr>
            <w:r>
              <w:t>检查方法：查阅安全设施验收评价报告、现场抽查。</w:t>
            </w:r>
          </w:p>
        </w:tc>
        <w:tc>
          <w:tcPr>
            <w:tcW w:w="1052" w:type="pct"/>
            <w:noWrap w:val="0"/>
            <w:vAlign w:val="top"/>
          </w:tcPr>
          <w:p w14:paraId="1EEEBED7">
            <w:pPr>
              <w:pStyle w:val="55"/>
              <w:bidi w:val="0"/>
            </w:pPr>
          </w:p>
        </w:tc>
        <w:tc>
          <w:tcPr>
            <w:tcW w:w="355" w:type="pct"/>
            <w:noWrap w:val="0"/>
            <w:vAlign w:val="center"/>
          </w:tcPr>
          <w:p w14:paraId="01524209">
            <w:pPr>
              <w:pStyle w:val="55"/>
              <w:bidi w:val="0"/>
            </w:pPr>
            <w:r>
              <w:rPr>
                <w:rFonts w:hint="eastAsia"/>
                <w:lang w:val="en-US" w:eastAsia="zh-CN"/>
              </w:rPr>
              <w:t>不涉及</w:t>
            </w:r>
          </w:p>
        </w:tc>
      </w:tr>
      <w:tr w14:paraId="503F4C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9" w:hRule="atLeast"/>
          <w:jc w:val="center"/>
        </w:trPr>
        <w:tc>
          <w:tcPr>
            <w:tcW w:w="330" w:type="pct"/>
            <w:noWrap w:val="0"/>
            <w:vAlign w:val="center"/>
          </w:tcPr>
          <w:p w14:paraId="1CBA095C">
            <w:pPr>
              <w:pStyle w:val="55"/>
              <w:bidi w:val="0"/>
            </w:pPr>
            <w:r>
              <w:t>2.</w:t>
            </w:r>
            <w:r>
              <w:rPr>
                <w:rFonts w:hint="eastAsia"/>
              </w:rPr>
              <w:t>4</w:t>
            </w:r>
          </w:p>
        </w:tc>
        <w:tc>
          <w:tcPr>
            <w:tcW w:w="944" w:type="pct"/>
            <w:noWrap w:val="0"/>
            <w:vAlign w:val="center"/>
          </w:tcPr>
          <w:p w14:paraId="787E78DA">
            <w:pPr>
              <w:pStyle w:val="55"/>
              <w:bidi w:val="0"/>
            </w:pPr>
            <w:r>
              <w:t>挖掘船上的救护设备</w:t>
            </w:r>
          </w:p>
        </w:tc>
        <w:tc>
          <w:tcPr>
            <w:tcW w:w="380" w:type="pct"/>
            <w:noWrap w:val="0"/>
            <w:vAlign w:val="center"/>
          </w:tcPr>
          <w:p w14:paraId="722E73CA">
            <w:pPr>
              <w:pStyle w:val="55"/>
              <w:bidi w:val="0"/>
            </w:pPr>
            <w:r>
              <w:t>专用</w:t>
            </w:r>
          </w:p>
        </w:tc>
        <w:tc>
          <w:tcPr>
            <w:tcW w:w="341" w:type="pct"/>
            <w:noWrap w:val="0"/>
            <w:vAlign w:val="center"/>
          </w:tcPr>
          <w:p w14:paraId="5964495D">
            <w:pPr>
              <w:pStyle w:val="55"/>
              <w:bidi w:val="0"/>
            </w:pPr>
            <w:r>
              <w:t>△</w:t>
            </w:r>
          </w:p>
        </w:tc>
        <w:tc>
          <w:tcPr>
            <w:tcW w:w="1595" w:type="pct"/>
            <w:noWrap w:val="0"/>
            <w:vAlign w:val="center"/>
          </w:tcPr>
          <w:p w14:paraId="2C5034D8">
            <w:pPr>
              <w:pStyle w:val="55"/>
              <w:bidi w:val="0"/>
            </w:pPr>
            <w:r>
              <w:t>检查内容：救护设备的配置是否与批复的安全设施设计一致。</w:t>
            </w:r>
          </w:p>
          <w:p w14:paraId="66E9B6DB">
            <w:pPr>
              <w:pStyle w:val="55"/>
              <w:bidi w:val="0"/>
            </w:pPr>
            <w:r>
              <w:t>检查方法：查阅安全设施验收评价报告、现场抽查。</w:t>
            </w:r>
          </w:p>
        </w:tc>
        <w:tc>
          <w:tcPr>
            <w:tcW w:w="1052" w:type="pct"/>
            <w:noWrap w:val="0"/>
            <w:vAlign w:val="top"/>
          </w:tcPr>
          <w:p w14:paraId="18023156">
            <w:pPr>
              <w:pStyle w:val="55"/>
              <w:bidi w:val="0"/>
            </w:pPr>
          </w:p>
        </w:tc>
        <w:tc>
          <w:tcPr>
            <w:tcW w:w="355" w:type="pct"/>
            <w:noWrap w:val="0"/>
            <w:vAlign w:val="center"/>
          </w:tcPr>
          <w:p w14:paraId="5A9EB250">
            <w:pPr>
              <w:pStyle w:val="55"/>
              <w:bidi w:val="0"/>
            </w:pPr>
            <w:r>
              <w:rPr>
                <w:rFonts w:hint="eastAsia"/>
                <w:lang w:val="en-US" w:eastAsia="zh-CN"/>
              </w:rPr>
              <w:t>不涉及</w:t>
            </w:r>
          </w:p>
        </w:tc>
      </w:tr>
      <w:tr w14:paraId="255F91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noWrap w:val="0"/>
            <w:vAlign w:val="center"/>
          </w:tcPr>
          <w:p w14:paraId="5A64A3D6">
            <w:pPr>
              <w:pStyle w:val="55"/>
              <w:bidi w:val="0"/>
            </w:pPr>
            <w:r>
              <w:t>2.</w:t>
            </w:r>
            <w:r>
              <w:rPr>
                <w:rFonts w:hint="eastAsia"/>
              </w:rPr>
              <w:t>5</w:t>
            </w:r>
          </w:p>
        </w:tc>
        <w:tc>
          <w:tcPr>
            <w:tcW w:w="944" w:type="pct"/>
            <w:noWrap w:val="0"/>
            <w:vAlign w:val="center"/>
          </w:tcPr>
          <w:p w14:paraId="00A266A1">
            <w:pPr>
              <w:pStyle w:val="55"/>
              <w:bidi w:val="0"/>
            </w:pPr>
            <w:r>
              <w:t>挖掘船开采时，作业人员的救生器材</w:t>
            </w:r>
          </w:p>
        </w:tc>
        <w:tc>
          <w:tcPr>
            <w:tcW w:w="380" w:type="pct"/>
            <w:noWrap w:val="0"/>
            <w:vAlign w:val="center"/>
          </w:tcPr>
          <w:p w14:paraId="5A0ACF05">
            <w:pPr>
              <w:pStyle w:val="55"/>
              <w:bidi w:val="0"/>
            </w:pPr>
            <w:r>
              <w:t>专用</w:t>
            </w:r>
          </w:p>
        </w:tc>
        <w:tc>
          <w:tcPr>
            <w:tcW w:w="341" w:type="pct"/>
            <w:noWrap w:val="0"/>
            <w:vAlign w:val="center"/>
          </w:tcPr>
          <w:p w14:paraId="64D06160">
            <w:pPr>
              <w:pStyle w:val="55"/>
              <w:bidi w:val="0"/>
            </w:pPr>
            <w:r>
              <w:t>△</w:t>
            </w:r>
          </w:p>
        </w:tc>
        <w:tc>
          <w:tcPr>
            <w:tcW w:w="1595" w:type="pct"/>
            <w:noWrap w:val="0"/>
            <w:vAlign w:val="center"/>
          </w:tcPr>
          <w:p w14:paraId="2A826584">
            <w:pPr>
              <w:pStyle w:val="55"/>
              <w:bidi w:val="0"/>
            </w:pPr>
            <w:r>
              <w:t>检查内容：救生器材的配置是否与批复的安全设施设计一致。</w:t>
            </w:r>
          </w:p>
          <w:p w14:paraId="3B531EC8">
            <w:pPr>
              <w:pStyle w:val="55"/>
              <w:bidi w:val="0"/>
            </w:pPr>
            <w:r>
              <w:t>检查方法：查阅安全设施验收评价报告、现场抽查。</w:t>
            </w:r>
          </w:p>
        </w:tc>
        <w:tc>
          <w:tcPr>
            <w:tcW w:w="1052" w:type="pct"/>
            <w:noWrap w:val="0"/>
            <w:vAlign w:val="top"/>
          </w:tcPr>
          <w:p w14:paraId="4303139A">
            <w:pPr>
              <w:pStyle w:val="55"/>
              <w:bidi w:val="0"/>
            </w:pPr>
          </w:p>
        </w:tc>
        <w:tc>
          <w:tcPr>
            <w:tcW w:w="355" w:type="pct"/>
            <w:noWrap w:val="0"/>
            <w:vAlign w:val="center"/>
          </w:tcPr>
          <w:p w14:paraId="441B4E11">
            <w:pPr>
              <w:pStyle w:val="55"/>
              <w:bidi w:val="0"/>
            </w:pPr>
            <w:r>
              <w:rPr>
                <w:rFonts w:hint="eastAsia"/>
                <w:lang w:val="en-US" w:eastAsia="zh-CN"/>
              </w:rPr>
              <w:t>不涉及</w:t>
            </w:r>
          </w:p>
        </w:tc>
      </w:tr>
      <w:tr w14:paraId="7FE48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4" w:hRule="atLeast"/>
          <w:jc w:val="center"/>
        </w:trPr>
        <w:tc>
          <w:tcPr>
            <w:tcW w:w="330" w:type="pct"/>
            <w:noWrap w:val="0"/>
            <w:vAlign w:val="center"/>
          </w:tcPr>
          <w:p w14:paraId="084FD8C6">
            <w:pPr>
              <w:pStyle w:val="55"/>
              <w:bidi w:val="0"/>
            </w:pPr>
            <w:r>
              <w:t>3</w:t>
            </w:r>
          </w:p>
        </w:tc>
        <w:tc>
          <w:tcPr>
            <w:tcW w:w="944" w:type="pct"/>
            <w:noWrap w:val="0"/>
            <w:vAlign w:val="center"/>
          </w:tcPr>
          <w:p w14:paraId="79A3305B">
            <w:pPr>
              <w:pStyle w:val="55"/>
              <w:bidi w:val="0"/>
            </w:pPr>
            <w:r>
              <w:t>露天矿边界管理</w:t>
            </w:r>
          </w:p>
        </w:tc>
        <w:tc>
          <w:tcPr>
            <w:tcW w:w="380" w:type="pct"/>
            <w:noWrap w:val="0"/>
            <w:vAlign w:val="center"/>
          </w:tcPr>
          <w:p w14:paraId="4FC4133F">
            <w:pPr>
              <w:pStyle w:val="55"/>
              <w:bidi w:val="0"/>
            </w:pPr>
          </w:p>
        </w:tc>
        <w:tc>
          <w:tcPr>
            <w:tcW w:w="341" w:type="pct"/>
            <w:noWrap w:val="0"/>
            <w:vAlign w:val="center"/>
          </w:tcPr>
          <w:p w14:paraId="3023F424">
            <w:pPr>
              <w:pStyle w:val="55"/>
              <w:bidi w:val="0"/>
            </w:pPr>
          </w:p>
        </w:tc>
        <w:tc>
          <w:tcPr>
            <w:tcW w:w="1595" w:type="pct"/>
            <w:noWrap w:val="0"/>
            <w:vAlign w:val="center"/>
          </w:tcPr>
          <w:p w14:paraId="5A93DFCE">
            <w:pPr>
              <w:pStyle w:val="55"/>
              <w:bidi w:val="0"/>
            </w:pPr>
          </w:p>
        </w:tc>
        <w:tc>
          <w:tcPr>
            <w:tcW w:w="1052" w:type="pct"/>
            <w:noWrap w:val="0"/>
            <w:vAlign w:val="top"/>
          </w:tcPr>
          <w:p w14:paraId="051E8741">
            <w:pPr>
              <w:pStyle w:val="55"/>
              <w:bidi w:val="0"/>
            </w:pPr>
          </w:p>
        </w:tc>
        <w:tc>
          <w:tcPr>
            <w:tcW w:w="355" w:type="pct"/>
            <w:noWrap w:val="0"/>
            <w:vAlign w:val="center"/>
          </w:tcPr>
          <w:p w14:paraId="48DF6826">
            <w:pPr>
              <w:pStyle w:val="55"/>
              <w:bidi w:val="0"/>
            </w:pPr>
          </w:p>
        </w:tc>
      </w:tr>
      <w:tr w14:paraId="670D33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30" w:type="pct"/>
            <w:noWrap w:val="0"/>
            <w:vAlign w:val="center"/>
          </w:tcPr>
          <w:p w14:paraId="67C3CE15">
            <w:pPr>
              <w:pStyle w:val="55"/>
              <w:bidi w:val="0"/>
            </w:pPr>
            <w:r>
              <w:t>3.1</w:t>
            </w:r>
          </w:p>
        </w:tc>
        <w:tc>
          <w:tcPr>
            <w:tcW w:w="944" w:type="pct"/>
            <w:noWrap w:val="0"/>
            <w:vAlign w:val="center"/>
          </w:tcPr>
          <w:p w14:paraId="7581031F">
            <w:pPr>
              <w:pStyle w:val="55"/>
              <w:bidi w:val="0"/>
            </w:pPr>
            <w:r>
              <w:t>设计规定保留的矿（岩）体或矿段</w:t>
            </w:r>
          </w:p>
        </w:tc>
        <w:tc>
          <w:tcPr>
            <w:tcW w:w="380" w:type="pct"/>
            <w:noWrap w:val="0"/>
            <w:vAlign w:val="center"/>
          </w:tcPr>
          <w:p w14:paraId="3CFF120E">
            <w:pPr>
              <w:pStyle w:val="55"/>
              <w:bidi w:val="0"/>
            </w:pPr>
            <w:r>
              <w:t>基本</w:t>
            </w:r>
          </w:p>
        </w:tc>
        <w:tc>
          <w:tcPr>
            <w:tcW w:w="341" w:type="pct"/>
            <w:noWrap w:val="0"/>
            <w:vAlign w:val="center"/>
          </w:tcPr>
          <w:p w14:paraId="0C1D8A5E">
            <w:pPr>
              <w:pStyle w:val="55"/>
              <w:bidi w:val="0"/>
            </w:pPr>
            <w:r>
              <w:t>△</w:t>
            </w:r>
          </w:p>
        </w:tc>
        <w:tc>
          <w:tcPr>
            <w:tcW w:w="1595" w:type="pct"/>
            <w:noWrap w:val="0"/>
            <w:vAlign w:val="center"/>
          </w:tcPr>
          <w:p w14:paraId="6A0A4BA5">
            <w:pPr>
              <w:pStyle w:val="55"/>
              <w:bidi w:val="0"/>
            </w:pPr>
            <w:r>
              <w:t>检查内容：保留范围与实际开采范围对比。</w:t>
            </w:r>
          </w:p>
          <w:p w14:paraId="6D66BF70">
            <w:pPr>
              <w:pStyle w:val="55"/>
              <w:bidi w:val="0"/>
            </w:pPr>
            <w:r>
              <w:t>检查方法：查阅安全设施验收评价报告、现场抽查。</w:t>
            </w:r>
          </w:p>
        </w:tc>
        <w:tc>
          <w:tcPr>
            <w:tcW w:w="2015" w:type="dxa"/>
            <w:noWrap w:val="0"/>
            <w:vAlign w:val="top"/>
          </w:tcPr>
          <w:p w14:paraId="33C49292">
            <w:pPr>
              <w:pStyle w:val="55"/>
              <w:bidi w:val="0"/>
              <w:ind w:firstLine="0" w:firstLineChars="0"/>
              <w:rPr>
                <w:color w:val="auto"/>
              </w:rPr>
            </w:pPr>
            <w:r>
              <w:rPr>
                <w:rFonts w:hint="eastAsia"/>
                <w:color w:val="auto"/>
                <w:lang w:val="en-US" w:eastAsia="zh-CN"/>
              </w:rPr>
              <w:t>设计无</w:t>
            </w:r>
            <w:r>
              <w:rPr>
                <w:color w:val="auto"/>
              </w:rPr>
              <w:t>保留范围</w:t>
            </w:r>
            <w:r>
              <w:rPr>
                <w:rFonts w:hint="eastAsia"/>
                <w:color w:val="auto"/>
                <w:lang w:eastAsia="zh-CN"/>
              </w:rPr>
              <w:t>。</w:t>
            </w:r>
          </w:p>
        </w:tc>
        <w:tc>
          <w:tcPr>
            <w:tcW w:w="355" w:type="pct"/>
            <w:noWrap w:val="0"/>
            <w:vAlign w:val="center"/>
          </w:tcPr>
          <w:p w14:paraId="62DB59B6">
            <w:pPr>
              <w:pStyle w:val="55"/>
              <w:bidi w:val="0"/>
              <w:rPr>
                <w:rFonts w:hint="eastAsia" w:eastAsia="宋体"/>
                <w:lang w:val="en-US" w:eastAsia="zh-CN"/>
              </w:rPr>
            </w:pPr>
            <w:r>
              <w:rPr>
                <w:rFonts w:hint="eastAsia"/>
                <w:lang w:val="en-US" w:eastAsia="zh-CN"/>
              </w:rPr>
              <w:t>符合</w:t>
            </w:r>
          </w:p>
        </w:tc>
      </w:tr>
      <w:tr w14:paraId="69F17D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0" w:type="pct"/>
            <w:noWrap w:val="0"/>
            <w:vAlign w:val="center"/>
          </w:tcPr>
          <w:p w14:paraId="1650B491">
            <w:pPr>
              <w:pStyle w:val="55"/>
              <w:bidi w:val="0"/>
            </w:pPr>
            <w:r>
              <w:t>3.2</w:t>
            </w:r>
          </w:p>
        </w:tc>
        <w:tc>
          <w:tcPr>
            <w:tcW w:w="944" w:type="pct"/>
            <w:noWrap w:val="0"/>
            <w:vAlign w:val="center"/>
          </w:tcPr>
          <w:p w14:paraId="268F8F01">
            <w:pPr>
              <w:pStyle w:val="55"/>
              <w:bidi w:val="0"/>
            </w:pPr>
            <w:r>
              <w:t>露天采场所设的边界安全护栏</w:t>
            </w:r>
          </w:p>
        </w:tc>
        <w:tc>
          <w:tcPr>
            <w:tcW w:w="380" w:type="pct"/>
            <w:noWrap w:val="0"/>
            <w:vAlign w:val="center"/>
          </w:tcPr>
          <w:p w14:paraId="6C51AD90">
            <w:pPr>
              <w:pStyle w:val="55"/>
              <w:bidi w:val="0"/>
            </w:pPr>
            <w:r>
              <w:t>专用</w:t>
            </w:r>
          </w:p>
        </w:tc>
        <w:tc>
          <w:tcPr>
            <w:tcW w:w="341" w:type="pct"/>
            <w:noWrap w:val="0"/>
            <w:vAlign w:val="center"/>
          </w:tcPr>
          <w:p w14:paraId="3614B245">
            <w:pPr>
              <w:pStyle w:val="55"/>
              <w:bidi w:val="0"/>
            </w:pPr>
            <w:r>
              <w:t>△</w:t>
            </w:r>
          </w:p>
        </w:tc>
        <w:tc>
          <w:tcPr>
            <w:tcW w:w="1595" w:type="pct"/>
            <w:noWrap w:val="0"/>
            <w:vAlign w:val="center"/>
          </w:tcPr>
          <w:p w14:paraId="5AE1B67E">
            <w:pPr>
              <w:pStyle w:val="55"/>
              <w:bidi w:val="0"/>
            </w:pPr>
            <w:r>
              <w:t>检查内容：采场边界安全护栏设置是否与批复的安全设施设计一致。</w:t>
            </w:r>
          </w:p>
          <w:p w14:paraId="33ED9C32">
            <w:pPr>
              <w:pStyle w:val="55"/>
              <w:bidi w:val="0"/>
            </w:pPr>
            <w:r>
              <w:t>检查方法：查阅安全设施验收评价报告、现场抽查。</w:t>
            </w:r>
          </w:p>
        </w:tc>
        <w:tc>
          <w:tcPr>
            <w:tcW w:w="2015" w:type="dxa"/>
            <w:noWrap w:val="0"/>
            <w:vAlign w:val="top"/>
          </w:tcPr>
          <w:p w14:paraId="07182251">
            <w:pPr>
              <w:pStyle w:val="55"/>
              <w:bidi w:val="0"/>
              <w:ind w:firstLine="0" w:firstLineChars="0"/>
              <w:rPr>
                <w:color w:val="auto"/>
              </w:rPr>
            </w:pPr>
            <w:r>
              <w:rPr>
                <w:rFonts w:hint="eastAsia"/>
                <w:color w:val="auto"/>
                <w:lang w:val="en-US" w:eastAsia="zh-CN"/>
              </w:rPr>
              <w:t>边界护栏采用刺铁线加警示旗</w:t>
            </w:r>
            <w:r>
              <w:rPr>
                <w:rFonts w:hint="eastAsia"/>
                <w:color w:val="auto"/>
                <w:lang w:eastAsia="zh-CN"/>
              </w:rPr>
              <w:t>。</w:t>
            </w:r>
          </w:p>
        </w:tc>
        <w:tc>
          <w:tcPr>
            <w:tcW w:w="355" w:type="pct"/>
            <w:noWrap w:val="0"/>
            <w:vAlign w:val="center"/>
          </w:tcPr>
          <w:p w14:paraId="7763BD43">
            <w:pPr>
              <w:pStyle w:val="55"/>
              <w:bidi w:val="0"/>
              <w:rPr>
                <w:rFonts w:hint="eastAsia" w:eastAsia="宋体"/>
                <w:lang w:val="en-US" w:eastAsia="zh-CN"/>
              </w:rPr>
            </w:pPr>
            <w:r>
              <w:rPr>
                <w:rFonts w:hint="eastAsia"/>
                <w:lang w:val="en-US" w:eastAsia="zh-CN"/>
              </w:rPr>
              <w:t>符合</w:t>
            </w:r>
          </w:p>
        </w:tc>
      </w:tr>
      <w:tr w14:paraId="6A5518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0" w:type="pct"/>
            <w:noWrap w:val="0"/>
            <w:vAlign w:val="center"/>
          </w:tcPr>
          <w:p w14:paraId="18DD90F9">
            <w:pPr>
              <w:pStyle w:val="55"/>
              <w:bidi w:val="0"/>
            </w:pPr>
            <w:r>
              <w:t>4</w:t>
            </w:r>
          </w:p>
        </w:tc>
        <w:tc>
          <w:tcPr>
            <w:tcW w:w="944" w:type="pct"/>
            <w:noWrap w:val="0"/>
            <w:vAlign w:val="center"/>
          </w:tcPr>
          <w:p w14:paraId="076F6F9C">
            <w:pPr>
              <w:pStyle w:val="55"/>
              <w:bidi w:val="0"/>
            </w:pPr>
            <w:r>
              <w:rPr>
                <w:rFonts w:hint="eastAsia"/>
              </w:rPr>
              <w:t>废弃巷道、采空区和溶洞</w:t>
            </w:r>
          </w:p>
        </w:tc>
        <w:tc>
          <w:tcPr>
            <w:tcW w:w="380" w:type="pct"/>
            <w:noWrap w:val="0"/>
            <w:vAlign w:val="center"/>
          </w:tcPr>
          <w:p w14:paraId="73DB2742">
            <w:pPr>
              <w:pStyle w:val="55"/>
              <w:bidi w:val="0"/>
            </w:pPr>
          </w:p>
        </w:tc>
        <w:tc>
          <w:tcPr>
            <w:tcW w:w="341" w:type="pct"/>
            <w:noWrap w:val="0"/>
            <w:vAlign w:val="center"/>
          </w:tcPr>
          <w:p w14:paraId="6593A7CA">
            <w:pPr>
              <w:pStyle w:val="55"/>
              <w:bidi w:val="0"/>
            </w:pPr>
          </w:p>
        </w:tc>
        <w:tc>
          <w:tcPr>
            <w:tcW w:w="1595" w:type="pct"/>
            <w:noWrap w:val="0"/>
            <w:vAlign w:val="center"/>
          </w:tcPr>
          <w:p w14:paraId="55211DCE">
            <w:pPr>
              <w:pStyle w:val="55"/>
              <w:bidi w:val="0"/>
            </w:pPr>
          </w:p>
        </w:tc>
        <w:tc>
          <w:tcPr>
            <w:tcW w:w="1052" w:type="pct"/>
            <w:noWrap w:val="0"/>
            <w:vAlign w:val="top"/>
          </w:tcPr>
          <w:p w14:paraId="34E06EF7">
            <w:pPr>
              <w:pStyle w:val="55"/>
              <w:bidi w:val="0"/>
            </w:pPr>
          </w:p>
        </w:tc>
        <w:tc>
          <w:tcPr>
            <w:tcW w:w="355" w:type="pct"/>
            <w:noWrap w:val="0"/>
            <w:vAlign w:val="center"/>
          </w:tcPr>
          <w:p w14:paraId="13A0C113">
            <w:pPr>
              <w:pStyle w:val="55"/>
              <w:bidi w:val="0"/>
            </w:pPr>
            <w:r>
              <w:rPr>
                <w:rFonts w:hint="eastAsia"/>
                <w:lang w:val="en-US" w:eastAsia="zh-CN"/>
              </w:rPr>
              <w:t>不涉及</w:t>
            </w:r>
          </w:p>
        </w:tc>
      </w:tr>
      <w:tr w14:paraId="1F34AA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0" w:type="pct"/>
            <w:noWrap w:val="0"/>
            <w:vAlign w:val="center"/>
          </w:tcPr>
          <w:p w14:paraId="6B406AA9">
            <w:pPr>
              <w:pStyle w:val="55"/>
              <w:bidi w:val="0"/>
            </w:pPr>
            <w:r>
              <w:t>4.1</w:t>
            </w:r>
          </w:p>
        </w:tc>
        <w:tc>
          <w:tcPr>
            <w:tcW w:w="944" w:type="pct"/>
            <w:noWrap w:val="0"/>
            <w:vAlign w:val="center"/>
          </w:tcPr>
          <w:p w14:paraId="437EF422">
            <w:pPr>
              <w:pStyle w:val="55"/>
              <w:bidi w:val="0"/>
            </w:pPr>
            <w:r>
              <w:t>矿山已有</w:t>
            </w:r>
            <w:r>
              <w:rPr>
                <w:rFonts w:hint="eastAsia"/>
              </w:rPr>
              <w:t>废弃巷道、采空区和溶洞充填、封堵或隔离措施</w:t>
            </w:r>
          </w:p>
        </w:tc>
        <w:tc>
          <w:tcPr>
            <w:tcW w:w="380" w:type="pct"/>
            <w:noWrap w:val="0"/>
            <w:vAlign w:val="center"/>
          </w:tcPr>
          <w:p w14:paraId="19799882">
            <w:pPr>
              <w:pStyle w:val="55"/>
              <w:bidi w:val="0"/>
            </w:pPr>
            <w:r>
              <w:t>专用</w:t>
            </w:r>
          </w:p>
        </w:tc>
        <w:tc>
          <w:tcPr>
            <w:tcW w:w="341" w:type="pct"/>
            <w:noWrap w:val="0"/>
            <w:vAlign w:val="center"/>
          </w:tcPr>
          <w:p w14:paraId="5C4F71A2">
            <w:pPr>
              <w:pStyle w:val="55"/>
              <w:bidi w:val="0"/>
            </w:pPr>
            <w:r>
              <w:t>△</w:t>
            </w:r>
          </w:p>
        </w:tc>
        <w:tc>
          <w:tcPr>
            <w:tcW w:w="1595" w:type="pct"/>
            <w:noWrap w:val="0"/>
            <w:vAlign w:val="center"/>
          </w:tcPr>
          <w:p w14:paraId="74301DE4">
            <w:pPr>
              <w:pStyle w:val="55"/>
              <w:bidi w:val="0"/>
            </w:pPr>
            <w:r>
              <w:t>检查内容：</w:t>
            </w:r>
            <w:r>
              <w:rPr>
                <w:rFonts w:hint="eastAsia"/>
              </w:rPr>
              <w:t>充填、封堵或隔离措施</w:t>
            </w:r>
            <w:r>
              <w:t>是否与批复的安全设施设计一致。</w:t>
            </w:r>
          </w:p>
          <w:p w14:paraId="5D3F4136">
            <w:pPr>
              <w:pStyle w:val="55"/>
              <w:bidi w:val="0"/>
            </w:pPr>
            <w:r>
              <w:t>检查方法：查阅安全验收评价报告</w:t>
            </w:r>
            <w:r>
              <w:rPr>
                <w:rFonts w:hint="eastAsia"/>
              </w:rPr>
              <w:t>、</w:t>
            </w:r>
            <w:r>
              <w:t>现场抽查。</w:t>
            </w:r>
          </w:p>
        </w:tc>
        <w:tc>
          <w:tcPr>
            <w:tcW w:w="1052" w:type="pct"/>
            <w:noWrap w:val="0"/>
            <w:vAlign w:val="top"/>
          </w:tcPr>
          <w:p w14:paraId="3356088C">
            <w:pPr>
              <w:pStyle w:val="55"/>
              <w:bidi w:val="0"/>
            </w:pPr>
          </w:p>
        </w:tc>
        <w:tc>
          <w:tcPr>
            <w:tcW w:w="355" w:type="pct"/>
            <w:noWrap w:val="0"/>
            <w:vAlign w:val="center"/>
          </w:tcPr>
          <w:p w14:paraId="20E77969">
            <w:pPr>
              <w:pStyle w:val="55"/>
              <w:bidi w:val="0"/>
            </w:pPr>
            <w:r>
              <w:rPr>
                <w:rFonts w:hint="eastAsia"/>
                <w:lang w:val="en-US" w:eastAsia="zh-CN"/>
              </w:rPr>
              <w:t>不涉及</w:t>
            </w:r>
          </w:p>
        </w:tc>
      </w:tr>
      <w:tr w14:paraId="3891D9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0" w:type="pct"/>
            <w:noWrap w:val="0"/>
            <w:vAlign w:val="center"/>
          </w:tcPr>
          <w:p w14:paraId="592F2ABB">
            <w:pPr>
              <w:pStyle w:val="55"/>
              <w:bidi w:val="0"/>
            </w:pPr>
            <w:r>
              <w:t>4.2</w:t>
            </w:r>
          </w:p>
        </w:tc>
        <w:tc>
          <w:tcPr>
            <w:tcW w:w="944" w:type="pct"/>
            <w:noWrap w:val="0"/>
            <w:vAlign w:val="center"/>
          </w:tcPr>
          <w:p w14:paraId="6B3A2D49">
            <w:pPr>
              <w:pStyle w:val="55"/>
              <w:bidi w:val="0"/>
            </w:pPr>
            <w:r>
              <w:t>地下开采转为露天开采时，地下巷道和采空区</w:t>
            </w:r>
            <w:r>
              <w:rPr>
                <w:rFonts w:hint="eastAsia"/>
              </w:rPr>
              <w:t>充填、封堵或隔离措施</w:t>
            </w:r>
          </w:p>
        </w:tc>
        <w:tc>
          <w:tcPr>
            <w:tcW w:w="380" w:type="pct"/>
            <w:noWrap w:val="0"/>
            <w:vAlign w:val="center"/>
          </w:tcPr>
          <w:p w14:paraId="135B4DA1">
            <w:pPr>
              <w:pStyle w:val="55"/>
              <w:bidi w:val="0"/>
            </w:pPr>
            <w:r>
              <w:t>专用</w:t>
            </w:r>
          </w:p>
        </w:tc>
        <w:tc>
          <w:tcPr>
            <w:tcW w:w="341" w:type="pct"/>
            <w:noWrap w:val="0"/>
            <w:vAlign w:val="center"/>
          </w:tcPr>
          <w:p w14:paraId="1962D143">
            <w:pPr>
              <w:pStyle w:val="55"/>
              <w:bidi w:val="0"/>
            </w:pPr>
            <w:r>
              <w:t>△</w:t>
            </w:r>
          </w:p>
        </w:tc>
        <w:tc>
          <w:tcPr>
            <w:tcW w:w="1595" w:type="pct"/>
            <w:noWrap w:val="0"/>
            <w:vAlign w:val="center"/>
          </w:tcPr>
          <w:p w14:paraId="36642060">
            <w:pPr>
              <w:pStyle w:val="55"/>
              <w:bidi w:val="0"/>
            </w:pPr>
            <w:r>
              <w:t>检查内容：</w:t>
            </w:r>
            <w:r>
              <w:rPr>
                <w:rFonts w:hint="eastAsia"/>
              </w:rPr>
              <w:t>充填、封堵或隔离措施</w:t>
            </w:r>
            <w:r>
              <w:t>是否与批复的安全设施设计一致。</w:t>
            </w:r>
          </w:p>
          <w:p w14:paraId="572F2CAD">
            <w:pPr>
              <w:pStyle w:val="55"/>
              <w:bidi w:val="0"/>
            </w:pPr>
            <w:r>
              <w:t>检查方法：查阅安全验收评价报告</w:t>
            </w:r>
            <w:r>
              <w:rPr>
                <w:rFonts w:hint="eastAsia"/>
              </w:rPr>
              <w:t>、</w:t>
            </w:r>
            <w:r>
              <w:t>现场抽查。</w:t>
            </w:r>
          </w:p>
        </w:tc>
        <w:tc>
          <w:tcPr>
            <w:tcW w:w="1052" w:type="pct"/>
            <w:noWrap w:val="0"/>
            <w:vAlign w:val="top"/>
          </w:tcPr>
          <w:p w14:paraId="01571A53">
            <w:pPr>
              <w:pStyle w:val="55"/>
              <w:bidi w:val="0"/>
            </w:pPr>
          </w:p>
        </w:tc>
        <w:tc>
          <w:tcPr>
            <w:tcW w:w="355" w:type="pct"/>
            <w:noWrap w:val="0"/>
            <w:vAlign w:val="center"/>
          </w:tcPr>
          <w:p w14:paraId="1EA185A8">
            <w:pPr>
              <w:pStyle w:val="55"/>
              <w:bidi w:val="0"/>
            </w:pPr>
            <w:r>
              <w:rPr>
                <w:rFonts w:hint="eastAsia"/>
                <w:lang w:val="en-US" w:eastAsia="zh-CN"/>
              </w:rPr>
              <w:t>不涉及</w:t>
            </w:r>
          </w:p>
        </w:tc>
      </w:tr>
      <w:tr w14:paraId="08F1E2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4" w:hRule="atLeast"/>
          <w:jc w:val="center"/>
        </w:trPr>
        <w:tc>
          <w:tcPr>
            <w:tcW w:w="330" w:type="pct"/>
            <w:noWrap w:val="0"/>
            <w:vAlign w:val="center"/>
          </w:tcPr>
          <w:p w14:paraId="719214F2">
            <w:pPr>
              <w:pStyle w:val="55"/>
              <w:bidi w:val="0"/>
            </w:pPr>
            <w:r>
              <w:t>5</w:t>
            </w:r>
          </w:p>
        </w:tc>
        <w:tc>
          <w:tcPr>
            <w:tcW w:w="944" w:type="pct"/>
            <w:noWrap w:val="0"/>
            <w:vAlign w:val="center"/>
          </w:tcPr>
          <w:p w14:paraId="3DCBB84B">
            <w:pPr>
              <w:pStyle w:val="55"/>
              <w:bidi w:val="0"/>
            </w:pPr>
            <w:r>
              <w:rPr>
                <w:rFonts w:hint="eastAsia"/>
              </w:rPr>
              <w:t>采场</w:t>
            </w:r>
            <w:r>
              <w:t>边坡监测</w:t>
            </w:r>
          </w:p>
        </w:tc>
        <w:tc>
          <w:tcPr>
            <w:tcW w:w="380" w:type="pct"/>
            <w:noWrap w:val="0"/>
            <w:vAlign w:val="center"/>
          </w:tcPr>
          <w:p w14:paraId="42DAD351">
            <w:pPr>
              <w:pStyle w:val="55"/>
              <w:bidi w:val="0"/>
            </w:pPr>
            <w:r>
              <w:t>专用</w:t>
            </w:r>
          </w:p>
        </w:tc>
        <w:tc>
          <w:tcPr>
            <w:tcW w:w="341" w:type="pct"/>
            <w:noWrap w:val="0"/>
            <w:vAlign w:val="center"/>
          </w:tcPr>
          <w:p w14:paraId="513C9663">
            <w:pPr>
              <w:pStyle w:val="55"/>
              <w:bidi w:val="0"/>
            </w:pPr>
            <w:r>
              <w:t>△</w:t>
            </w:r>
          </w:p>
        </w:tc>
        <w:tc>
          <w:tcPr>
            <w:tcW w:w="1595" w:type="pct"/>
            <w:noWrap w:val="0"/>
            <w:vAlign w:val="center"/>
          </w:tcPr>
          <w:p w14:paraId="082A6742">
            <w:pPr>
              <w:pStyle w:val="55"/>
              <w:bidi w:val="0"/>
            </w:pPr>
            <w:r>
              <w:t>检查内容：边坡监测设施</w:t>
            </w:r>
            <w:r>
              <w:rPr>
                <w:rFonts w:hint="eastAsia"/>
              </w:rPr>
              <w:t>是</w:t>
            </w:r>
            <w:r>
              <w:t>否与批复的安全设施设计一致。</w:t>
            </w:r>
          </w:p>
          <w:p w14:paraId="58C760EB">
            <w:pPr>
              <w:pStyle w:val="55"/>
              <w:bidi w:val="0"/>
            </w:pPr>
            <w:r>
              <w:t>检查方法：查阅安全验收评价报告或现场抽查。</w:t>
            </w:r>
          </w:p>
        </w:tc>
        <w:tc>
          <w:tcPr>
            <w:tcW w:w="1052" w:type="pct"/>
            <w:noWrap w:val="0"/>
            <w:vAlign w:val="top"/>
          </w:tcPr>
          <w:p w14:paraId="2133B148">
            <w:pPr>
              <w:pStyle w:val="55"/>
              <w:bidi w:val="0"/>
            </w:pPr>
            <w:r>
              <w:rPr>
                <w:color w:val="auto"/>
              </w:rPr>
              <w:t>目前矿山所采取的监测方式为：</w:t>
            </w:r>
            <w:r>
              <w:rPr>
                <w:rFonts w:hint="eastAsia"/>
                <w:color w:val="auto"/>
                <w:lang w:val="en-US" w:eastAsia="zh-CN"/>
              </w:rPr>
              <w:t>仪器和</w:t>
            </w:r>
            <w:r>
              <w:rPr>
                <w:color w:val="auto"/>
              </w:rPr>
              <w:t>专职安全管理人员在生产中及雨季时进行巡视，有相关检查记录。</w:t>
            </w:r>
          </w:p>
        </w:tc>
        <w:tc>
          <w:tcPr>
            <w:tcW w:w="355" w:type="pct"/>
            <w:noWrap w:val="0"/>
            <w:vAlign w:val="center"/>
          </w:tcPr>
          <w:p w14:paraId="62F2F831">
            <w:pPr>
              <w:pStyle w:val="55"/>
              <w:bidi w:val="0"/>
              <w:rPr>
                <w:rFonts w:hint="eastAsia" w:eastAsia="宋体"/>
                <w:lang w:val="en-US" w:eastAsia="zh-CN"/>
              </w:rPr>
            </w:pPr>
            <w:r>
              <w:rPr>
                <w:rFonts w:hint="eastAsia"/>
                <w:lang w:val="en-US" w:eastAsia="zh-CN"/>
              </w:rPr>
              <w:t>符合</w:t>
            </w:r>
          </w:p>
        </w:tc>
      </w:tr>
    </w:tbl>
    <w:p w14:paraId="32F47521">
      <w:pPr>
        <w:ind w:firstLine="472"/>
        <w:rPr>
          <w:rFonts w:ascii="Times New Roman" w:hAnsi="Times New Roman"/>
          <w:color w:val="000000" w:themeColor="text1"/>
          <w14:textFill>
            <w14:solidFill>
              <w14:schemeClr w14:val="tx1"/>
            </w14:solidFill>
          </w14:textFill>
        </w:rPr>
      </w:pPr>
      <w:r>
        <w:rPr>
          <w:rFonts w:ascii="Times New Roman" w:hAnsi="Times New Roman"/>
          <w:snapToGrid w:val="0"/>
          <w:color w:val="000000" w:themeColor="text1"/>
          <w:sz w:val="24"/>
          <w14:textFill>
            <w14:solidFill>
              <w14:schemeClr w14:val="tx1"/>
            </w14:solidFill>
          </w14:textFill>
        </w:rPr>
        <w:t>检查类别中，“■”表示该项为否决项，“</w:t>
      </w:r>
      <w:r>
        <w:rPr>
          <w:rFonts w:ascii="Cambria Math" w:hAnsi="Cambria Math" w:cs="Cambria Math"/>
          <w:snapToGrid w:val="0"/>
          <w:color w:val="000000" w:themeColor="text1"/>
          <w:sz w:val="24"/>
          <w14:textFill>
            <w14:solidFill>
              <w14:schemeClr w14:val="tx1"/>
            </w14:solidFill>
          </w14:textFill>
        </w:rPr>
        <w:t>△</w:t>
      </w:r>
      <w:r>
        <w:rPr>
          <w:rFonts w:ascii="Times New Roman" w:hAnsi="Times New Roman"/>
          <w:snapToGrid w:val="0"/>
          <w:color w:val="000000" w:themeColor="text1"/>
          <w:sz w:val="24"/>
          <w14:textFill>
            <w14:solidFill>
              <w14:schemeClr w14:val="tx1"/>
            </w14:solidFill>
          </w14:textFill>
        </w:rPr>
        <w:t>”表示为一般项。</w:t>
      </w:r>
    </w:p>
    <w:p w14:paraId="5C269807">
      <w:pPr>
        <w:pStyle w:val="15"/>
        <w:spacing w:before="42" w:line="359" w:lineRule="auto"/>
        <w:ind w:left="124" w:right="105" w:firstLine="557"/>
        <w:jc w:val="both"/>
      </w:pPr>
      <w:r>
        <w:rPr>
          <w:b/>
          <w:bCs/>
          <w:spacing w:val="2"/>
        </w:rPr>
        <w:t>评价分析：</w:t>
      </w:r>
      <w:r>
        <w:rPr>
          <w:spacing w:val="2"/>
        </w:rPr>
        <w:t>检查</w:t>
      </w:r>
      <w:r>
        <w:rPr>
          <w:rFonts w:hint="eastAsia"/>
          <w:spacing w:val="2"/>
          <w:lang w:val="en-US" w:eastAsia="zh-CN"/>
        </w:rPr>
        <w:t>11</w:t>
      </w:r>
      <w:r>
        <w:rPr>
          <w:spacing w:val="2"/>
        </w:rPr>
        <w:t>项内容，其中</w:t>
      </w:r>
      <w:r>
        <w:rPr>
          <w:spacing w:val="1"/>
        </w:rPr>
        <w:t>否决</w:t>
      </w:r>
      <w:r>
        <w:rPr>
          <w:spacing w:val="-5"/>
        </w:rPr>
        <w:t>项0项，符合0项；一般项</w:t>
      </w:r>
      <w:r>
        <w:rPr>
          <w:rFonts w:hint="eastAsia"/>
          <w:spacing w:val="-5"/>
          <w:lang w:val="en-US" w:eastAsia="zh-CN"/>
        </w:rPr>
        <w:t>11</w:t>
      </w:r>
      <w:r>
        <w:rPr>
          <w:spacing w:val="-5"/>
        </w:rPr>
        <w:t>项，符合</w:t>
      </w:r>
      <w:r>
        <w:rPr>
          <w:rFonts w:hint="eastAsia"/>
          <w:spacing w:val="-5"/>
          <w:lang w:val="en-US" w:eastAsia="zh-CN"/>
        </w:rPr>
        <w:t>4</w:t>
      </w:r>
      <w:r>
        <w:rPr>
          <w:spacing w:val="-5"/>
        </w:rPr>
        <w:t>项，不符合0项，</w:t>
      </w:r>
      <w:r>
        <w:rPr>
          <w:rFonts w:hint="eastAsia"/>
          <w:spacing w:val="-5"/>
          <w:lang w:val="en-US" w:eastAsia="zh-CN"/>
        </w:rPr>
        <w:t>不涉及7项。</w:t>
      </w:r>
      <w:r>
        <w:rPr>
          <w:spacing w:val="-5"/>
        </w:rPr>
        <w:t>该单元评价为</w:t>
      </w:r>
      <w:r>
        <w:rPr>
          <w:spacing w:val="-12"/>
        </w:rPr>
        <w:t>符合。</w:t>
      </w:r>
    </w:p>
    <w:p w14:paraId="30E45335">
      <w:pPr>
        <w:bidi w:val="0"/>
        <w:rPr>
          <w:rFonts w:hint="eastAsia"/>
          <w:lang w:val="en-US" w:eastAsia="zh-CN"/>
        </w:rPr>
      </w:pPr>
      <w:r>
        <w:rPr>
          <w:rFonts w:hint="eastAsia"/>
          <w:lang w:val="en-US" w:eastAsia="zh-CN"/>
        </w:rPr>
        <w:t>2、按</w:t>
      </w:r>
      <w:r>
        <w:rPr>
          <w:rFonts w:hint="eastAsia"/>
          <w:lang w:eastAsia="zh-CN"/>
        </w:rPr>
        <w:t>安监</w:t>
      </w:r>
      <w:r>
        <w:rPr>
          <w:rFonts w:hint="eastAsia"/>
        </w:rPr>
        <w:t>总管一〔2016〕</w:t>
      </w:r>
      <w:r>
        <w:rPr>
          <w:rFonts w:hint="eastAsia"/>
          <w:lang w:val="en-US" w:eastAsia="zh-CN"/>
        </w:rPr>
        <w:t>49</w:t>
      </w:r>
      <w:r>
        <w:rPr>
          <w:rFonts w:hint="eastAsia"/>
        </w:rPr>
        <w:t>号</w:t>
      </w:r>
      <w:r>
        <w:rPr>
          <w:rFonts w:hint="eastAsia"/>
          <w:lang w:eastAsia="zh-CN"/>
        </w:rPr>
        <w:t>要求</w:t>
      </w:r>
      <w:r>
        <w:rPr>
          <w:rFonts w:hint="eastAsia"/>
          <w:lang w:val="en-US" w:eastAsia="zh-CN"/>
        </w:rPr>
        <w:t>检查</w:t>
      </w:r>
    </w:p>
    <w:p w14:paraId="58B8D9F5">
      <w:pPr>
        <w:bidi w:val="0"/>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w:t>
      </w:r>
      <w:r>
        <w:t>《</w:t>
      </w:r>
      <w:r>
        <w:rPr>
          <w:rFonts w:hint="eastAsia"/>
          <w:lang w:val="en-US" w:eastAsia="zh-CN"/>
        </w:rPr>
        <w:t>安全设施设计</w:t>
      </w:r>
      <w:r>
        <w:t>》，采用检查表对</w:t>
      </w:r>
      <w:r>
        <w:rPr>
          <w:spacing w:val="2"/>
        </w:rPr>
        <w:t>露天采场</w:t>
      </w:r>
      <w:r>
        <w:rPr>
          <w:rFonts w:hint="eastAsia"/>
          <w:spacing w:val="2"/>
          <w:lang w:val="en-US" w:eastAsia="zh-CN"/>
        </w:rPr>
        <w:t>子单元符合</w:t>
      </w:r>
      <w:r>
        <w:t>性进行评价。</w:t>
      </w:r>
    </w:p>
    <w:p w14:paraId="0BC38036">
      <w:pPr>
        <w:pStyle w:val="86"/>
        <w:bidi w:val="0"/>
      </w:pPr>
      <w:r>
        <w:t>表3</w:t>
      </w:r>
      <w:r>
        <w:rPr>
          <w:rFonts w:hint="eastAsia"/>
          <w:lang w:val="en-US" w:eastAsia="zh-CN"/>
        </w:rPr>
        <w:t>.2</w:t>
      </w:r>
      <w:r>
        <w:t>-</w:t>
      </w:r>
      <w:r>
        <w:rPr>
          <w:rFonts w:hint="eastAsia"/>
          <w:lang w:val="en-US" w:eastAsia="zh-CN"/>
        </w:rPr>
        <w:t>2</w:t>
      </w:r>
      <w:r>
        <w:t>露天采场</w:t>
      </w:r>
      <w:r>
        <w:rPr>
          <w:rFonts w:hint="eastAsia"/>
          <w:lang w:val="en-US" w:eastAsia="zh-CN"/>
        </w:rPr>
        <w:t>子单元</w:t>
      </w:r>
      <w:r>
        <w:t>符合性安全检查表</w:t>
      </w:r>
    </w:p>
    <w:tbl>
      <w:tblPr>
        <w:tblStyle w:val="78"/>
        <w:tblpPr w:leftFromText="180" w:rightFromText="180" w:vertAnchor="text" w:horzAnchor="page" w:tblpX="1466" w:tblpY="102"/>
        <w:tblOverlap w:val="never"/>
        <w:tblW w:w="9522" w:type="dxa"/>
        <w:tblInd w:w="0"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44"/>
        <w:gridCol w:w="1262"/>
        <w:gridCol w:w="2491"/>
        <w:gridCol w:w="4590"/>
        <w:gridCol w:w="735"/>
      </w:tblGrid>
      <w:tr w14:paraId="5FDA1E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04" w:hRule="atLeast"/>
        </w:trPr>
        <w:tc>
          <w:tcPr>
            <w:tcW w:w="444" w:type="dxa"/>
            <w:noWrap w:val="0"/>
            <w:vAlign w:val="center"/>
          </w:tcPr>
          <w:p w14:paraId="2C27A5CF">
            <w:pPr>
              <w:pStyle w:val="56"/>
              <w:bidi w:val="0"/>
              <w:rPr>
                <w:lang w:eastAsia="en-US"/>
              </w:rPr>
            </w:pPr>
            <w:r>
              <w:rPr>
                <w:lang w:eastAsia="en-US"/>
              </w:rPr>
              <w:t>序号</w:t>
            </w:r>
          </w:p>
        </w:tc>
        <w:tc>
          <w:tcPr>
            <w:tcW w:w="1262" w:type="dxa"/>
            <w:noWrap w:val="0"/>
            <w:vAlign w:val="center"/>
          </w:tcPr>
          <w:p w14:paraId="3EC0F450">
            <w:pPr>
              <w:pStyle w:val="56"/>
              <w:bidi w:val="0"/>
              <w:rPr>
                <w:lang w:eastAsia="en-US"/>
              </w:rPr>
            </w:pPr>
            <w:r>
              <w:rPr>
                <w:lang w:eastAsia="en-US"/>
              </w:rPr>
              <w:t>检查项目</w:t>
            </w:r>
          </w:p>
        </w:tc>
        <w:tc>
          <w:tcPr>
            <w:tcW w:w="2491" w:type="dxa"/>
            <w:noWrap w:val="0"/>
            <w:vAlign w:val="center"/>
          </w:tcPr>
          <w:p w14:paraId="7B77FC07">
            <w:pPr>
              <w:pStyle w:val="56"/>
              <w:bidi w:val="0"/>
              <w:rPr>
                <w:lang w:eastAsia="en-US"/>
              </w:rPr>
            </w:pPr>
            <w:r>
              <w:rPr>
                <w:lang w:eastAsia="en-US"/>
              </w:rPr>
              <w:t>检查内容、检查方法</w:t>
            </w:r>
          </w:p>
        </w:tc>
        <w:tc>
          <w:tcPr>
            <w:tcW w:w="4590" w:type="dxa"/>
            <w:noWrap w:val="0"/>
            <w:vAlign w:val="center"/>
          </w:tcPr>
          <w:p w14:paraId="35C2D611">
            <w:pPr>
              <w:pStyle w:val="56"/>
              <w:bidi w:val="0"/>
              <w:rPr>
                <w:lang w:eastAsia="en-US"/>
              </w:rPr>
            </w:pPr>
            <w:r>
              <w:rPr>
                <w:lang w:eastAsia="en-US"/>
              </w:rPr>
              <w:t>检查情况</w:t>
            </w:r>
          </w:p>
        </w:tc>
        <w:tc>
          <w:tcPr>
            <w:tcW w:w="735" w:type="dxa"/>
            <w:noWrap w:val="0"/>
            <w:vAlign w:val="center"/>
          </w:tcPr>
          <w:p w14:paraId="7C24D5E5">
            <w:pPr>
              <w:pStyle w:val="56"/>
              <w:bidi w:val="0"/>
              <w:rPr>
                <w:lang w:eastAsia="en-US"/>
              </w:rPr>
            </w:pPr>
            <w:r>
              <w:rPr>
                <w:lang w:eastAsia="en-US"/>
              </w:rPr>
              <w:t>检查</w:t>
            </w:r>
          </w:p>
          <w:p w14:paraId="53E124F9">
            <w:pPr>
              <w:pStyle w:val="56"/>
              <w:bidi w:val="0"/>
              <w:rPr>
                <w:lang w:eastAsia="en-US"/>
              </w:rPr>
            </w:pPr>
            <w:r>
              <w:rPr>
                <w:lang w:eastAsia="en-US"/>
              </w:rPr>
              <w:t>结果</w:t>
            </w:r>
          </w:p>
        </w:tc>
      </w:tr>
      <w:tr w14:paraId="60CE869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35" w:hRule="atLeast"/>
        </w:trPr>
        <w:tc>
          <w:tcPr>
            <w:tcW w:w="444" w:type="dxa"/>
            <w:noWrap w:val="0"/>
            <w:vAlign w:val="center"/>
          </w:tcPr>
          <w:p w14:paraId="72FE2E79">
            <w:pPr>
              <w:pStyle w:val="55"/>
              <w:bidi w:val="0"/>
              <w:jc w:val="center"/>
              <w:rPr>
                <w:rFonts w:hint="default" w:eastAsia="宋体"/>
                <w:lang w:val="en-US" w:eastAsia="zh-CN"/>
              </w:rPr>
            </w:pPr>
            <w:r>
              <w:rPr>
                <w:rFonts w:hint="eastAsia"/>
                <w:lang w:val="en-US" w:eastAsia="zh-CN"/>
              </w:rPr>
              <w:t>1</w:t>
            </w:r>
          </w:p>
        </w:tc>
        <w:tc>
          <w:tcPr>
            <w:tcW w:w="1262" w:type="dxa"/>
            <w:noWrap w:val="0"/>
            <w:vAlign w:val="center"/>
          </w:tcPr>
          <w:p w14:paraId="6075D55E">
            <w:pPr>
              <w:pStyle w:val="55"/>
              <w:bidi w:val="0"/>
            </w:pPr>
            <w:r>
              <w:t>爆破安全距离界线</w:t>
            </w:r>
          </w:p>
        </w:tc>
        <w:tc>
          <w:tcPr>
            <w:tcW w:w="2491" w:type="dxa"/>
            <w:noWrap w:val="0"/>
            <w:vAlign w:val="center"/>
          </w:tcPr>
          <w:p w14:paraId="3F47E9FE">
            <w:pPr>
              <w:pStyle w:val="55"/>
              <w:bidi w:val="0"/>
            </w:pPr>
            <w:r>
              <w:t>检查内容：爆破安全距离界线是否与安全设施设计一致。</w:t>
            </w:r>
          </w:p>
          <w:p w14:paraId="0768AFD7">
            <w:pPr>
              <w:pStyle w:val="55"/>
              <w:bidi w:val="0"/>
            </w:pPr>
            <w:r>
              <w:t>检查方法：现场检查。</w:t>
            </w:r>
          </w:p>
        </w:tc>
        <w:tc>
          <w:tcPr>
            <w:tcW w:w="4590" w:type="dxa"/>
            <w:noWrap w:val="0"/>
            <w:vAlign w:val="center"/>
          </w:tcPr>
          <w:p w14:paraId="471170F4">
            <w:pPr>
              <w:pStyle w:val="55"/>
              <w:numPr>
                <w:ilvl w:val="0"/>
                <w:numId w:val="9"/>
              </w:numPr>
              <w:bidi w:val="0"/>
              <w:rPr>
                <w:color w:val="auto"/>
              </w:rPr>
            </w:pPr>
            <w:r>
              <w:rPr>
                <w:rFonts w:hint="eastAsia"/>
                <w:color w:val="auto"/>
                <w:lang w:val="en-US" w:eastAsia="zh-CN"/>
              </w:rPr>
              <w:t>设计情况：</w:t>
            </w:r>
            <w:r>
              <w:rPr>
                <w:rFonts w:hint="default"/>
                <w:color w:val="auto"/>
              </w:rPr>
              <w:t>爆破地点与人员和其他保护对象之间的安全允许距离</w:t>
            </w:r>
            <w:r>
              <w:rPr>
                <w:rFonts w:hint="default"/>
                <w:color w:val="auto"/>
                <w:lang w:val="en-US" w:eastAsia="zh-CN"/>
              </w:rPr>
              <w:t>约</w:t>
            </w:r>
            <w:r>
              <w:rPr>
                <w:rFonts w:hint="default"/>
                <w:color w:val="auto"/>
                <w:lang w:eastAsia="zh-CN"/>
              </w:rPr>
              <w:t>为</w:t>
            </w:r>
            <w:r>
              <w:rPr>
                <w:rFonts w:hint="eastAsia"/>
                <w:color w:val="auto"/>
                <w:lang w:val="en-US" w:eastAsia="zh-CN"/>
              </w:rPr>
              <w:t>89</w:t>
            </w:r>
            <w:r>
              <w:rPr>
                <w:rFonts w:hint="default"/>
                <w:color w:val="auto"/>
                <w:lang w:val="en-US" w:eastAsia="zh-CN"/>
              </w:rPr>
              <w:t>m</w:t>
            </w:r>
            <w:r>
              <w:rPr>
                <w:rFonts w:hint="eastAsia"/>
                <w:color w:val="auto"/>
                <w:lang w:eastAsia="zh-CN"/>
              </w:rPr>
              <w:t>，</w:t>
            </w:r>
            <w:r>
              <w:rPr>
                <w:rFonts w:hint="eastAsia"/>
                <w:color w:val="auto"/>
                <w:lang w:val="en-US" w:eastAsia="zh-CN"/>
              </w:rPr>
              <w:t>爆破警戒范围按与爆破范围300m设置。</w:t>
            </w:r>
          </w:p>
          <w:p w14:paraId="230DCBFC">
            <w:pPr>
              <w:pStyle w:val="55"/>
              <w:numPr>
                <w:ilvl w:val="0"/>
                <w:numId w:val="0"/>
              </w:numPr>
              <w:bidi w:val="0"/>
              <w:rPr>
                <w:color w:val="auto"/>
              </w:rPr>
            </w:pPr>
            <w:r>
              <w:rPr>
                <w:rFonts w:hint="eastAsia"/>
                <w:color w:val="auto"/>
                <w:lang w:val="en-US" w:eastAsia="zh-CN"/>
              </w:rPr>
              <w:t>2、建设情况：</w:t>
            </w:r>
            <w:r>
              <w:rPr>
                <w:color w:val="auto"/>
              </w:rPr>
              <w:t>矿山圈定了爆破警戒线（300m），设置了安全警示标志，爆破时撤离至安全地点。</w:t>
            </w:r>
          </w:p>
        </w:tc>
        <w:tc>
          <w:tcPr>
            <w:tcW w:w="735" w:type="dxa"/>
            <w:noWrap w:val="0"/>
            <w:vAlign w:val="center"/>
          </w:tcPr>
          <w:p w14:paraId="477EC122">
            <w:pPr>
              <w:pStyle w:val="55"/>
              <w:bidi w:val="0"/>
            </w:pPr>
            <w:r>
              <w:t>符合</w:t>
            </w:r>
          </w:p>
        </w:tc>
      </w:tr>
      <w:tr w14:paraId="7DC82E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901" w:hRule="atLeast"/>
        </w:trPr>
        <w:tc>
          <w:tcPr>
            <w:tcW w:w="444" w:type="dxa"/>
            <w:noWrap w:val="0"/>
            <w:vAlign w:val="center"/>
          </w:tcPr>
          <w:p w14:paraId="352CC2A5">
            <w:pPr>
              <w:pStyle w:val="49"/>
              <w:bidi w:val="0"/>
              <w:jc w:val="center"/>
              <w:rPr>
                <w:rFonts w:hint="eastAsia" w:eastAsia="宋体"/>
                <w:lang w:eastAsia="zh-CN"/>
              </w:rPr>
            </w:pPr>
            <w:r>
              <w:rPr>
                <w:rFonts w:hint="eastAsia"/>
                <w:lang w:val="en-US" w:eastAsia="zh-CN"/>
              </w:rPr>
              <w:t>2</w:t>
            </w:r>
          </w:p>
        </w:tc>
        <w:tc>
          <w:tcPr>
            <w:tcW w:w="1262" w:type="dxa"/>
            <w:noWrap w:val="0"/>
            <w:vAlign w:val="center"/>
          </w:tcPr>
          <w:p w14:paraId="174D267A">
            <w:pPr>
              <w:pStyle w:val="50"/>
              <w:bidi w:val="0"/>
            </w:pPr>
            <w:r>
              <w:t>爆破安全设施（含躲避设施、警示旗、报警器、警戒带等）</w:t>
            </w:r>
          </w:p>
        </w:tc>
        <w:tc>
          <w:tcPr>
            <w:tcW w:w="2491" w:type="dxa"/>
            <w:noWrap w:val="0"/>
            <w:vAlign w:val="center"/>
          </w:tcPr>
          <w:p w14:paraId="07DEA8ED">
            <w:pPr>
              <w:pStyle w:val="50"/>
              <w:bidi w:val="0"/>
            </w:pPr>
            <w:r>
              <w:t>检查内容：爆破安全设施是否与批复的安全设施设计一致。</w:t>
            </w:r>
          </w:p>
          <w:p w14:paraId="5EE1B919">
            <w:pPr>
              <w:pStyle w:val="50"/>
              <w:bidi w:val="0"/>
            </w:pPr>
            <w:r>
              <w:t>检查方法：现场检查。</w:t>
            </w:r>
          </w:p>
        </w:tc>
        <w:tc>
          <w:tcPr>
            <w:tcW w:w="4590" w:type="dxa"/>
            <w:noWrap w:val="0"/>
            <w:vAlign w:val="center"/>
          </w:tcPr>
          <w:p w14:paraId="77FF9044">
            <w:pPr>
              <w:pStyle w:val="50"/>
              <w:bidi w:val="0"/>
              <w:rPr>
                <w:rFonts w:hint="eastAsia"/>
                <w:lang w:val="en-US" w:eastAsia="zh-CN"/>
              </w:rPr>
            </w:pPr>
            <w:r>
              <w:rPr>
                <w:rFonts w:hint="eastAsia"/>
                <w:lang w:val="en-US" w:eastAsia="zh-CN"/>
              </w:rPr>
              <w:t>1、设计情况：</w:t>
            </w:r>
            <w:r>
              <w:t>爆破警戒时要求民爆公司配置警示、警报车。</w:t>
            </w:r>
          </w:p>
          <w:p w14:paraId="7A45DFBD">
            <w:pPr>
              <w:pStyle w:val="50"/>
              <w:bidi w:val="0"/>
            </w:pPr>
            <w:r>
              <w:rPr>
                <w:rFonts w:hint="eastAsia"/>
                <w:lang w:val="en-US" w:eastAsia="zh-CN"/>
              </w:rPr>
              <w:t>2、检查情况：</w:t>
            </w:r>
            <w:r>
              <w:t>爆破前派出岗哨负责警戒。</w:t>
            </w:r>
          </w:p>
        </w:tc>
        <w:tc>
          <w:tcPr>
            <w:tcW w:w="735" w:type="dxa"/>
            <w:noWrap w:val="0"/>
            <w:vAlign w:val="center"/>
          </w:tcPr>
          <w:p w14:paraId="1932C9ED">
            <w:pPr>
              <w:pStyle w:val="50"/>
              <w:bidi w:val="0"/>
            </w:pPr>
            <w:r>
              <w:t>符合</w:t>
            </w:r>
          </w:p>
        </w:tc>
      </w:tr>
    </w:tbl>
    <w:p w14:paraId="6C64160E">
      <w:pPr>
        <w:pStyle w:val="15"/>
        <w:spacing w:before="42" w:line="359" w:lineRule="auto"/>
        <w:ind w:left="124" w:right="105" w:firstLine="557"/>
        <w:jc w:val="both"/>
      </w:pPr>
      <w:r>
        <w:rPr>
          <w:b/>
          <w:bCs/>
          <w:spacing w:val="2"/>
        </w:rPr>
        <w:t>评价分析：</w:t>
      </w:r>
      <w:r>
        <w:rPr>
          <w:rFonts w:hint="eastAsia"/>
          <w:spacing w:val="2"/>
          <w:lang w:eastAsia="zh-CN"/>
        </w:rPr>
        <w:t>检</w:t>
      </w:r>
      <w:r>
        <w:rPr>
          <w:spacing w:val="2"/>
        </w:rPr>
        <w:t>查</w:t>
      </w:r>
      <w:r>
        <w:rPr>
          <w:rFonts w:hint="eastAsia"/>
          <w:spacing w:val="2"/>
          <w:lang w:val="en-US" w:eastAsia="zh-CN"/>
        </w:rPr>
        <w:t>2</w:t>
      </w:r>
      <w:r>
        <w:rPr>
          <w:spacing w:val="2"/>
        </w:rPr>
        <w:t>项内容，</w:t>
      </w:r>
      <w:r>
        <w:rPr>
          <w:spacing w:val="-5"/>
        </w:rPr>
        <w:t>符合</w:t>
      </w:r>
      <w:r>
        <w:rPr>
          <w:rFonts w:hint="eastAsia"/>
          <w:spacing w:val="-5"/>
          <w:lang w:val="en-US" w:eastAsia="zh-CN"/>
        </w:rPr>
        <w:t>2</w:t>
      </w:r>
      <w:r>
        <w:rPr>
          <w:spacing w:val="-5"/>
        </w:rPr>
        <w:t>项，不符合0项，该单元评价为</w:t>
      </w:r>
      <w:r>
        <w:rPr>
          <w:spacing w:val="-12"/>
        </w:rPr>
        <w:t>符合。</w:t>
      </w:r>
    </w:p>
    <w:p w14:paraId="10733578">
      <w:pPr>
        <w:pStyle w:val="4"/>
        <w:bidi w:val="0"/>
        <w:rPr>
          <w:lang w:val="en-US" w:eastAsia="en-US"/>
        </w:rPr>
      </w:pPr>
      <w:bookmarkStart w:id="293" w:name="_Toc10423"/>
      <w:bookmarkStart w:id="294" w:name="_Toc28431"/>
      <w:bookmarkStart w:id="295" w:name="_Toc483865731"/>
      <w:bookmarkStart w:id="296" w:name="_Toc476244158"/>
      <w:bookmarkStart w:id="297" w:name="_Toc214284034"/>
      <w:bookmarkStart w:id="298" w:name="_Toc402444173"/>
      <w:bookmarkStart w:id="299" w:name="_Toc454614317"/>
      <w:r>
        <w:rPr>
          <w:lang w:val="en-US" w:eastAsia="en-US"/>
        </w:rPr>
        <w:t>3.2.2采剥工艺子单元符合性评价</w:t>
      </w:r>
      <w:bookmarkEnd w:id="293"/>
      <w:bookmarkEnd w:id="294"/>
    </w:p>
    <w:p w14:paraId="2460E452">
      <w:pPr>
        <w:bidi w:val="0"/>
        <w:rPr>
          <w:rFonts w:hint="eastAsia"/>
          <w:lang w:val="en-US" w:eastAsia="zh-CN"/>
        </w:rPr>
      </w:pPr>
      <w:r>
        <w:rPr>
          <w:rFonts w:hint="eastAsia"/>
          <w:lang w:val="en-US" w:eastAsia="zh-CN"/>
        </w:rPr>
        <w:t>按</w:t>
      </w:r>
      <w:r>
        <w:rPr>
          <w:rFonts w:hint="eastAsia"/>
          <w:lang w:eastAsia="zh-CN"/>
        </w:rPr>
        <w:t>安监</w:t>
      </w:r>
      <w:r>
        <w:rPr>
          <w:rFonts w:hint="eastAsia"/>
        </w:rPr>
        <w:t>总管一〔2016〕</w:t>
      </w:r>
      <w:r>
        <w:rPr>
          <w:rFonts w:hint="eastAsia"/>
          <w:lang w:val="en-US" w:eastAsia="zh-CN"/>
        </w:rPr>
        <w:t>49</w:t>
      </w:r>
      <w:r>
        <w:rPr>
          <w:rFonts w:hint="eastAsia"/>
        </w:rPr>
        <w:t>号</w:t>
      </w:r>
      <w:r>
        <w:rPr>
          <w:rFonts w:hint="eastAsia"/>
          <w:lang w:eastAsia="zh-CN"/>
        </w:rPr>
        <w:t>要求</w:t>
      </w:r>
      <w:r>
        <w:rPr>
          <w:rFonts w:hint="eastAsia"/>
          <w:lang w:val="en-US" w:eastAsia="zh-CN"/>
        </w:rPr>
        <w:t>检查。</w:t>
      </w:r>
    </w:p>
    <w:p w14:paraId="403BBBFA">
      <w:pPr>
        <w:bidi w:val="0"/>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w:t>
      </w:r>
      <w:r>
        <w:t>《</w:t>
      </w:r>
      <w:r>
        <w:rPr>
          <w:rFonts w:hint="eastAsia"/>
          <w:lang w:val="en-US" w:eastAsia="zh-CN"/>
        </w:rPr>
        <w:t>安全设施设计</w:t>
      </w:r>
      <w:r>
        <w:t>》</w:t>
      </w:r>
      <w:r>
        <w:rPr>
          <w:rFonts w:hint="eastAsia"/>
          <w:lang w:eastAsia="zh-CN"/>
        </w:rPr>
        <w:t>和有关</w:t>
      </w:r>
      <w:r>
        <w:rPr>
          <w:lang w:eastAsia="en-US"/>
        </w:rPr>
        <w:t>法规依据</w:t>
      </w:r>
      <w:r>
        <w:t>，采用检查表对</w:t>
      </w:r>
      <w:r>
        <w:rPr>
          <w:lang w:val="en-US" w:eastAsia="en-US"/>
        </w:rPr>
        <w:t>采剥工艺</w:t>
      </w:r>
      <w:r>
        <w:rPr>
          <w:rFonts w:hint="eastAsia"/>
          <w:spacing w:val="2"/>
          <w:lang w:val="en-US" w:eastAsia="zh-CN"/>
        </w:rPr>
        <w:t>子单元符合</w:t>
      </w:r>
      <w:r>
        <w:t>性进行评价。</w:t>
      </w:r>
    </w:p>
    <w:p w14:paraId="1A2ED906">
      <w:pPr>
        <w:pStyle w:val="73"/>
        <w:bidi w:val="0"/>
        <w:rPr>
          <w:lang w:val="en-US" w:eastAsia="en-US"/>
        </w:rPr>
      </w:pPr>
      <w:r>
        <w:t>表3</w:t>
      </w:r>
      <w:r>
        <w:rPr>
          <w:rFonts w:hint="eastAsia"/>
          <w:lang w:val="en-US" w:eastAsia="zh-CN"/>
        </w:rPr>
        <w:t>.2</w:t>
      </w:r>
      <w:r>
        <w:t>-</w:t>
      </w:r>
      <w:r>
        <w:rPr>
          <w:rFonts w:hint="eastAsia"/>
          <w:lang w:val="en-US" w:eastAsia="zh-CN"/>
        </w:rPr>
        <w:t>3</w:t>
      </w:r>
      <w:r>
        <w:rPr>
          <w:lang w:val="en-US" w:eastAsia="en-US"/>
        </w:rPr>
        <w:t>采剥工艺子单元符合性安全检查表</w:t>
      </w:r>
    </w:p>
    <w:p w14:paraId="535EE6DF">
      <w:pPr>
        <w:widowControl/>
        <w:kinsoku w:val="0"/>
        <w:autoSpaceDE w:val="0"/>
        <w:autoSpaceDN w:val="0"/>
        <w:spacing w:line="129" w:lineRule="exact"/>
        <w:ind w:firstLine="0" w:firstLineChars="0"/>
        <w:jc w:val="left"/>
        <w:textAlignment w:val="baseline"/>
        <w:rPr>
          <w:rFonts w:ascii="Arial" w:hAnsi="Arial" w:eastAsia="Arial" w:cs="Arial"/>
          <w:snapToGrid w:val="0"/>
          <w:color w:val="000000"/>
          <w:spacing w:val="0"/>
          <w:kern w:val="0"/>
          <w:sz w:val="21"/>
          <w:szCs w:val="21"/>
          <w:lang w:eastAsia="en-US"/>
        </w:rPr>
      </w:pPr>
    </w:p>
    <w:tbl>
      <w:tblPr>
        <w:tblStyle w:val="78"/>
        <w:tblW w:w="9381" w:type="dxa"/>
        <w:tblInd w:w="6"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668"/>
        <w:gridCol w:w="3695"/>
        <w:gridCol w:w="2111"/>
        <w:gridCol w:w="2307"/>
        <w:gridCol w:w="600"/>
      </w:tblGrid>
      <w:tr w14:paraId="479D2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556" w:hRule="atLeast"/>
        </w:trPr>
        <w:tc>
          <w:tcPr>
            <w:tcW w:w="668" w:type="dxa"/>
            <w:noWrap w:val="0"/>
            <w:vAlign w:val="center"/>
          </w:tcPr>
          <w:p w14:paraId="198EC4ED">
            <w:pPr>
              <w:pStyle w:val="47"/>
              <w:bidi w:val="0"/>
              <w:rPr>
                <w:lang w:eastAsia="en-US"/>
              </w:rPr>
            </w:pPr>
            <w:r>
              <w:rPr>
                <w:lang w:eastAsia="en-US"/>
              </w:rPr>
              <w:t>检查</w:t>
            </w:r>
          </w:p>
          <w:p w14:paraId="7F97C9C5">
            <w:pPr>
              <w:pStyle w:val="47"/>
              <w:bidi w:val="0"/>
              <w:rPr>
                <w:lang w:eastAsia="en-US"/>
              </w:rPr>
            </w:pPr>
            <w:r>
              <w:rPr>
                <w:lang w:eastAsia="en-US"/>
              </w:rPr>
              <w:t>项目</w:t>
            </w:r>
          </w:p>
        </w:tc>
        <w:tc>
          <w:tcPr>
            <w:tcW w:w="3695" w:type="dxa"/>
            <w:noWrap w:val="0"/>
            <w:vAlign w:val="center"/>
          </w:tcPr>
          <w:p w14:paraId="3BC06328">
            <w:pPr>
              <w:pStyle w:val="47"/>
              <w:bidi w:val="0"/>
              <w:rPr>
                <w:lang w:eastAsia="en-US"/>
              </w:rPr>
            </w:pPr>
            <w:r>
              <w:rPr>
                <w:lang w:eastAsia="en-US"/>
              </w:rPr>
              <w:t>检查内容</w:t>
            </w:r>
          </w:p>
        </w:tc>
        <w:tc>
          <w:tcPr>
            <w:tcW w:w="2111" w:type="dxa"/>
            <w:noWrap w:val="0"/>
            <w:vAlign w:val="center"/>
          </w:tcPr>
          <w:p w14:paraId="30561FB7">
            <w:pPr>
              <w:pStyle w:val="47"/>
              <w:bidi w:val="0"/>
              <w:rPr>
                <w:lang w:eastAsia="en-US"/>
              </w:rPr>
            </w:pPr>
            <w:r>
              <w:rPr>
                <w:lang w:eastAsia="en-US"/>
              </w:rPr>
              <w:t>法规依据</w:t>
            </w:r>
          </w:p>
        </w:tc>
        <w:tc>
          <w:tcPr>
            <w:tcW w:w="2307" w:type="dxa"/>
            <w:noWrap w:val="0"/>
            <w:vAlign w:val="center"/>
          </w:tcPr>
          <w:p w14:paraId="783097EE">
            <w:pPr>
              <w:pStyle w:val="47"/>
              <w:bidi w:val="0"/>
              <w:rPr>
                <w:lang w:eastAsia="en-US"/>
              </w:rPr>
            </w:pPr>
            <w:r>
              <w:rPr>
                <w:lang w:eastAsia="en-US"/>
              </w:rPr>
              <w:t>检查情况</w:t>
            </w:r>
          </w:p>
        </w:tc>
        <w:tc>
          <w:tcPr>
            <w:tcW w:w="600" w:type="dxa"/>
            <w:noWrap w:val="0"/>
            <w:vAlign w:val="center"/>
          </w:tcPr>
          <w:p w14:paraId="0985A2F4">
            <w:pPr>
              <w:pStyle w:val="47"/>
              <w:bidi w:val="0"/>
              <w:rPr>
                <w:lang w:eastAsia="en-US"/>
              </w:rPr>
            </w:pPr>
            <w:r>
              <w:rPr>
                <w:lang w:eastAsia="en-US"/>
              </w:rPr>
              <w:t>符合性</w:t>
            </w:r>
          </w:p>
        </w:tc>
      </w:tr>
      <w:tr w14:paraId="351D97E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158" w:hRule="atLeast"/>
        </w:trPr>
        <w:tc>
          <w:tcPr>
            <w:tcW w:w="668" w:type="dxa"/>
            <w:noWrap w:val="0"/>
            <w:vAlign w:val="center"/>
          </w:tcPr>
          <w:p w14:paraId="151B8B47">
            <w:pPr>
              <w:pStyle w:val="54"/>
              <w:bidi w:val="0"/>
              <w:rPr>
                <w:lang w:val="en-US" w:eastAsia="en-US"/>
              </w:rPr>
            </w:pPr>
            <w:r>
              <w:rPr>
                <w:lang w:val="en-US" w:eastAsia="en-US"/>
              </w:rPr>
              <w:t>1</w:t>
            </w:r>
          </w:p>
        </w:tc>
        <w:tc>
          <w:tcPr>
            <w:tcW w:w="3695" w:type="dxa"/>
            <w:noWrap w:val="0"/>
            <w:vAlign w:val="center"/>
          </w:tcPr>
          <w:p w14:paraId="0DF72255">
            <w:pPr>
              <w:pStyle w:val="50"/>
              <w:bidi w:val="0"/>
              <w:rPr>
                <w:lang w:eastAsia="en-US"/>
              </w:rPr>
            </w:pPr>
            <w:r>
              <w:rPr>
                <w:lang w:eastAsia="en-US"/>
              </w:rPr>
              <w:t>露天开采应遵循自上而下的开采顺序，分台阶开采。</w:t>
            </w:r>
          </w:p>
        </w:tc>
        <w:tc>
          <w:tcPr>
            <w:tcW w:w="2111" w:type="dxa"/>
            <w:noWrap w:val="0"/>
            <w:vAlign w:val="center"/>
          </w:tcPr>
          <w:p w14:paraId="361C0022">
            <w:pPr>
              <w:pStyle w:val="60"/>
              <w:bidi w:val="0"/>
              <w:rPr>
                <w:lang w:val="en-US" w:eastAsia="en-US"/>
              </w:rPr>
            </w:pPr>
            <w:r>
              <w:rPr>
                <w:lang w:val="en-US" w:eastAsia="en-US"/>
              </w:rPr>
              <w:t>《金属非金属矿山安全规程》（GB16423-2020）第5..2.1.1条</w:t>
            </w:r>
          </w:p>
        </w:tc>
        <w:tc>
          <w:tcPr>
            <w:tcW w:w="2307" w:type="dxa"/>
            <w:noWrap w:val="0"/>
            <w:vAlign w:val="center"/>
          </w:tcPr>
          <w:p w14:paraId="3D613685">
            <w:pPr>
              <w:pStyle w:val="60"/>
              <w:bidi w:val="0"/>
              <w:rPr>
                <w:lang w:eastAsia="en-US"/>
              </w:rPr>
            </w:pPr>
            <w:r>
              <w:rPr>
                <w:lang w:eastAsia="en-US"/>
              </w:rPr>
              <w:t>基建采场自上而下分台阶开采。</w:t>
            </w:r>
          </w:p>
        </w:tc>
        <w:tc>
          <w:tcPr>
            <w:tcW w:w="600" w:type="dxa"/>
            <w:noWrap w:val="0"/>
            <w:vAlign w:val="center"/>
          </w:tcPr>
          <w:p w14:paraId="7A8C9DD5">
            <w:pPr>
              <w:pStyle w:val="60"/>
              <w:bidi w:val="0"/>
              <w:rPr>
                <w:lang w:eastAsia="en-US"/>
              </w:rPr>
            </w:pPr>
            <w:r>
              <w:rPr>
                <w:lang w:eastAsia="en-US"/>
              </w:rPr>
              <w:t>符合</w:t>
            </w:r>
          </w:p>
        </w:tc>
      </w:tr>
      <w:tr w14:paraId="2B19BF7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439" w:hRule="atLeast"/>
        </w:trPr>
        <w:tc>
          <w:tcPr>
            <w:tcW w:w="668" w:type="dxa"/>
            <w:noWrap w:val="0"/>
            <w:vAlign w:val="center"/>
          </w:tcPr>
          <w:p w14:paraId="4FCA8E2D">
            <w:pPr>
              <w:pStyle w:val="54"/>
              <w:bidi w:val="0"/>
              <w:rPr>
                <w:lang w:val="en-US" w:eastAsia="en-US"/>
              </w:rPr>
            </w:pPr>
            <w:r>
              <w:rPr>
                <w:lang w:val="en-US" w:eastAsia="en-US"/>
              </w:rPr>
              <w:t>2</w:t>
            </w:r>
          </w:p>
        </w:tc>
        <w:tc>
          <w:tcPr>
            <w:tcW w:w="3695" w:type="dxa"/>
            <w:noWrap w:val="0"/>
            <w:vAlign w:val="center"/>
          </w:tcPr>
          <w:p w14:paraId="1A77E456">
            <w:pPr>
              <w:pStyle w:val="60"/>
              <w:bidi w:val="0"/>
              <w:rPr>
                <w:lang w:eastAsia="en-US"/>
              </w:rPr>
            </w:pPr>
            <w:r>
              <w:rPr>
                <w:lang w:eastAsia="en-US"/>
              </w:rPr>
              <w:t>坚硬稳固的矿岩采用爆破方式生产台阶高度不大于机械最大挖掘高度的1.5倍。</w:t>
            </w:r>
          </w:p>
        </w:tc>
        <w:tc>
          <w:tcPr>
            <w:tcW w:w="2111" w:type="dxa"/>
            <w:noWrap w:val="0"/>
            <w:vAlign w:val="center"/>
          </w:tcPr>
          <w:p w14:paraId="0391841B">
            <w:pPr>
              <w:pStyle w:val="60"/>
              <w:bidi w:val="0"/>
              <w:rPr>
                <w:lang w:val="en-US" w:eastAsia="en-US"/>
              </w:rPr>
            </w:pPr>
            <w:r>
              <w:rPr>
                <w:lang w:val="en-US" w:eastAsia="en-US"/>
              </w:rPr>
              <w:t>《金属非金属矿山安全规程》（GB16423-2020）第</w:t>
            </w:r>
            <w:r>
              <w:rPr>
                <w:lang w:val="en-US" w:eastAsia="en-US"/>
              </w:rPr>
              <w:fldChar w:fldCharType="begin"/>
            </w:r>
            <w:r>
              <w:rPr>
                <w:lang w:val="en-US" w:eastAsia="en-US"/>
              </w:rPr>
              <w:instrText xml:space="preserve"> HYPERLINK "5.2.1.1" </w:instrText>
            </w:r>
            <w:r>
              <w:rPr>
                <w:lang w:val="en-US" w:eastAsia="en-US"/>
              </w:rPr>
              <w:fldChar w:fldCharType="separate"/>
            </w:r>
            <w:r>
              <w:rPr>
                <w:lang w:val="en-US" w:eastAsia="en-US"/>
              </w:rPr>
              <w:t>5.2.1.1</w:t>
            </w:r>
            <w:r>
              <w:rPr>
                <w:lang w:val="en-US" w:eastAsia="en-US"/>
              </w:rPr>
              <w:fldChar w:fldCharType="end"/>
            </w:r>
            <w:r>
              <w:rPr>
                <w:lang w:val="en-US" w:eastAsia="en-US"/>
              </w:rPr>
              <w:t>条</w:t>
            </w:r>
          </w:p>
        </w:tc>
        <w:tc>
          <w:tcPr>
            <w:tcW w:w="2307" w:type="dxa"/>
            <w:noWrap w:val="0"/>
            <w:vAlign w:val="center"/>
          </w:tcPr>
          <w:p w14:paraId="7A1DD2FE">
            <w:pPr>
              <w:pStyle w:val="60"/>
              <w:bidi w:val="0"/>
              <w:rPr>
                <w:lang w:val="en-US" w:eastAsia="en-US"/>
              </w:rPr>
            </w:pPr>
            <w:r>
              <w:rPr>
                <w:lang w:eastAsia="en-US"/>
              </w:rPr>
              <w:t>基建采场最高台</w:t>
            </w:r>
            <w:r>
              <w:rPr>
                <w:lang w:val="en-US" w:eastAsia="en-US"/>
              </w:rPr>
              <w:t>阶高度1</w:t>
            </w:r>
            <w:r>
              <w:rPr>
                <w:rFonts w:hint="eastAsia"/>
                <w:lang w:val="en-US" w:eastAsia="zh-CN"/>
              </w:rPr>
              <w:t>5</w:t>
            </w:r>
            <w:r>
              <w:rPr>
                <w:lang w:val="en-US" w:eastAsia="en-US"/>
              </w:rPr>
              <w:t>m，未</w:t>
            </w:r>
            <w:r>
              <w:rPr>
                <w:lang w:eastAsia="en-US"/>
              </w:rPr>
              <w:t>超过</w:t>
            </w:r>
            <w:r>
              <w:rPr>
                <w:rFonts w:hint="eastAsia" w:ascii="Times New Roman" w:hAnsi="Times New Roman" w:cs="Times New Roman"/>
                <w:color w:val="auto"/>
                <w:szCs w:val="28"/>
                <w:lang w:eastAsia="zh-CN"/>
              </w:rPr>
              <w:t>CAT336液压挖掘机</w:t>
            </w:r>
            <w:r>
              <w:rPr>
                <w:lang w:eastAsia="en-US"/>
              </w:rPr>
              <w:t>最大挖掘高度</w:t>
            </w:r>
            <w:r>
              <w:rPr>
                <w:lang w:val="en-US" w:eastAsia="en-US"/>
              </w:rPr>
              <w:t>（</w:t>
            </w:r>
            <w:r>
              <w:rPr>
                <w:rFonts w:hint="eastAsia"/>
                <w:lang w:val="en-US" w:eastAsia="zh-CN"/>
              </w:rPr>
              <w:t>10.34</w:t>
            </w:r>
            <w:r>
              <w:rPr>
                <w:lang w:val="en-US" w:eastAsia="en-US"/>
              </w:rPr>
              <w:t>m）的1.5倍。</w:t>
            </w:r>
          </w:p>
        </w:tc>
        <w:tc>
          <w:tcPr>
            <w:tcW w:w="600" w:type="dxa"/>
            <w:noWrap w:val="0"/>
            <w:vAlign w:val="center"/>
          </w:tcPr>
          <w:p w14:paraId="5A87D84E">
            <w:pPr>
              <w:pStyle w:val="60"/>
              <w:bidi w:val="0"/>
              <w:rPr>
                <w:lang w:eastAsia="en-US"/>
              </w:rPr>
            </w:pPr>
            <w:r>
              <w:rPr>
                <w:lang w:eastAsia="en-US"/>
              </w:rPr>
              <w:t>符合</w:t>
            </w:r>
          </w:p>
        </w:tc>
      </w:tr>
      <w:tr w14:paraId="2B2F674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279" w:hRule="atLeast"/>
        </w:trPr>
        <w:tc>
          <w:tcPr>
            <w:tcW w:w="668" w:type="dxa"/>
            <w:noWrap w:val="0"/>
            <w:vAlign w:val="center"/>
          </w:tcPr>
          <w:p w14:paraId="0B6A9424">
            <w:pPr>
              <w:pStyle w:val="54"/>
              <w:bidi w:val="0"/>
              <w:rPr>
                <w:lang w:val="en-US" w:eastAsia="en-US"/>
              </w:rPr>
            </w:pPr>
            <w:r>
              <w:rPr>
                <w:lang w:val="en-US" w:eastAsia="en-US"/>
              </w:rPr>
              <w:t>3</w:t>
            </w:r>
          </w:p>
        </w:tc>
        <w:tc>
          <w:tcPr>
            <w:tcW w:w="3695" w:type="dxa"/>
            <w:noWrap w:val="0"/>
            <w:vAlign w:val="center"/>
          </w:tcPr>
          <w:p w14:paraId="62DC3886">
            <w:pPr>
              <w:pStyle w:val="60"/>
              <w:bidi w:val="0"/>
              <w:rPr>
                <w:lang w:eastAsia="en-US"/>
              </w:rPr>
            </w:pPr>
            <w:r>
              <w:rPr>
                <w:lang w:eastAsia="en-US"/>
              </w:rPr>
              <w:t>露天边坡应符合设计要求，保证边坡整体的安全稳定。</w:t>
            </w:r>
          </w:p>
        </w:tc>
        <w:tc>
          <w:tcPr>
            <w:tcW w:w="2111" w:type="dxa"/>
            <w:noWrap w:val="0"/>
            <w:vAlign w:val="center"/>
          </w:tcPr>
          <w:p w14:paraId="1D1E9D88">
            <w:pPr>
              <w:pStyle w:val="60"/>
              <w:bidi w:val="0"/>
              <w:rPr>
                <w:lang w:eastAsia="en-US"/>
              </w:rPr>
            </w:pPr>
            <w:r>
              <w:rPr>
                <w:lang w:eastAsia="en-US"/>
              </w:rPr>
              <w:t>《金属非金属矿山安全规程》（GB16423-2020）第</w:t>
            </w:r>
            <w:r>
              <w:rPr>
                <w:lang w:eastAsia="en-US"/>
              </w:rPr>
              <w:fldChar w:fldCharType="begin"/>
            </w:r>
            <w:r>
              <w:rPr>
                <w:lang w:eastAsia="en-US"/>
              </w:rPr>
              <w:instrText xml:space="preserve"> HYPERLINK "5.2.4.1" </w:instrText>
            </w:r>
            <w:r>
              <w:rPr>
                <w:lang w:eastAsia="en-US"/>
              </w:rPr>
              <w:fldChar w:fldCharType="separate"/>
            </w:r>
            <w:r>
              <w:rPr>
                <w:lang w:eastAsia="en-US"/>
              </w:rPr>
              <w:t>5.2.4.1</w:t>
            </w:r>
            <w:r>
              <w:rPr>
                <w:lang w:eastAsia="en-US"/>
              </w:rPr>
              <w:fldChar w:fldCharType="end"/>
            </w:r>
            <w:r>
              <w:rPr>
                <w:lang w:eastAsia="en-US"/>
              </w:rPr>
              <w:t>条</w:t>
            </w:r>
          </w:p>
        </w:tc>
        <w:tc>
          <w:tcPr>
            <w:tcW w:w="2307" w:type="dxa"/>
            <w:noWrap w:val="0"/>
            <w:vAlign w:val="center"/>
          </w:tcPr>
          <w:p w14:paraId="6E08BFB4">
            <w:pPr>
              <w:pStyle w:val="60"/>
              <w:bidi w:val="0"/>
              <w:rPr>
                <w:lang w:eastAsia="en-US"/>
              </w:rPr>
            </w:pPr>
            <w:r>
              <w:rPr>
                <w:lang w:eastAsia="en-US"/>
              </w:rPr>
              <w:t>边坡</w:t>
            </w:r>
            <w:r>
              <w:rPr>
                <w:rFonts w:hint="eastAsia"/>
                <w:lang w:val="en-US" w:eastAsia="zh-CN"/>
              </w:rPr>
              <w:t>靠帮</w:t>
            </w:r>
            <w:r>
              <w:rPr>
                <w:lang w:eastAsia="en-US"/>
              </w:rPr>
              <w:t>坡面角</w:t>
            </w:r>
            <w:r>
              <w:rPr>
                <w:rFonts w:hint="eastAsia"/>
                <w:lang w:eastAsia="zh-CN"/>
              </w:rPr>
              <w:t>60°，</w:t>
            </w:r>
            <w:r>
              <w:rPr>
                <w:lang w:eastAsia="en-US"/>
              </w:rPr>
              <w:t>符合安全设施设计要求。</w:t>
            </w:r>
          </w:p>
        </w:tc>
        <w:tc>
          <w:tcPr>
            <w:tcW w:w="600" w:type="dxa"/>
            <w:noWrap w:val="0"/>
            <w:vAlign w:val="center"/>
          </w:tcPr>
          <w:p w14:paraId="0D376E98">
            <w:pPr>
              <w:pStyle w:val="60"/>
              <w:bidi w:val="0"/>
              <w:rPr>
                <w:lang w:eastAsia="en-US"/>
              </w:rPr>
            </w:pPr>
            <w:r>
              <w:rPr>
                <w:lang w:eastAsia="en-US"/>
              </w:rPr>
              <w:t>符合</w:t>
            </w:r>
          </w:p>
        </w:tc>
      </w:tr>
      <w:tr w14:paraId="2E2D459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83" w:hRule="atLeast"/>
        </w:trPr>
        <w:tc>
          <w:tcPr>
            <w:tcW w:w="668" w:type="dxa"/>
            <w:noWrap w:val="0"/>
            <w:vAlign w:val="center"/>
          </w:tcPr>
          <w:p w14:paraId="28FF6533">
            <w:pPr>
              <w:pStyle w:val="54"/>
              <w:bidi w:val="0"/>
              <w:rPr>
                <w:lang w:val="en-US" w:eastAsia="en-US"/>
              </w:rPr>
            </w:pPr>
            <w:r>
              <w:rPr>
                <w:lang w:val="en-US" w:eastAsia="en-US"/>
              </w:rPr>
              <w:t>4</w:t>
            </w:r>
          </w:p>
        </w:tc>
        <w:tc>
          <w:tcPr>
            <w:tcW w:w="3695" w:type="dxa"/>
            <w:noWrap w:val="0"/>
            <w:vAlign w:val="center"/>
          </w:tcPr>
          <w:p w14:paraId="21A6C751">
            <w:pPr>
              <w:pStyle w:val="60"/>
              <w:bidi w:val="0"/>
              <w:rPr>
                <w:lang w:eastAsia="en-US"/>
              </w:rPr>
            </w:pPr>
            <w:r>
              <w:rPr>
                <w:lang w:eastAsia="en-US"/>
              </w:rPr>
              <w:t>露天采场工作边坡应每季度检查1次，运输或者行人的非工作边坡每半年检查1次；边坡出现滑坡或者坍塌迹象时，应立即停止受影响区域的生产作业，撤出相关人员和设备，采取安全措施。</w:t>
            </w:r>
          </w:p>
        </w:tc>
        <w:tc>
          <w:tcPr>
            <w:tcW w:w="2111" w:type="dxa"/>
            <w:noWrap w:val="0"/>
            <w:vAlign w:val="center"/>
          </w:tcPr>
          <w:p w14:paraId="700D6AC3">
            <w:pPr>
              <w:pStyle w:val="60"/>
              <w:bidi w:val="0"/>
              <w:rPr>
                <w:lang w:eastAsia="en-US"/>
              </w:rPr>
            </w:pPr>
            <w:r>
              <w:rPr>
                <w:lang w:eastAsia="en-US"/>
              </w:rPr>
              <w:t>《金属非金属矿山安全规程》（GB16423-2020）第</w:t>
            </w:r>
            <w:r>
              <w:rPr>
                <w:lang w:eastAsia="en-US"/>
              </w:rPr>
              <w:fldChar w:fldCharType="begin"/>
            </w:r>
            <w:r>
              <w:rPr>
                <w:lang w:eastAsia="en-US"/>
              </w:rPr>
              <w:instrText xml:space="preserve"> HYPERLINK "5.2.4.6" </w:instrText>
            </w:r>
            <w:r>
              <w:rPr>
                <w:lang w:eastAsia="en-US"/>
              </w:rPr>
              <w:fldChar w:fldCharType="separate"/>
            </w:r>
            <w:r>
              <w:rPr>
                <w:lang w:eastAsia="en-US"/>
              </w:rPr>
              <w:t>5.2.4.6</w:t>
            </w:r>
            <w:r>
              <w:rPr>
                <w:lang w:eastAsia="en-US"/>
              </w:rPr>
              <w:fldChar w:fldCharType="end"/>
            </w:r>
            <w:r>
              <w:rPr>
                <w:lang w:eastAsia="en-US"/>
              </w:rPr>
              <w:t>条</w:t>
            </w:r>
          </w:p>
        </w:tc>
        <w:tc>
          <w:tcPr>
            <w:tcW w:w="2307" w:type="dxa"/>
            <w:noWrap w:val="0"/>
            <w:vAlign w:val="center"/>
          </w:tcPr>
          <w:p w14:paraId="000D47EA">
            <w:pPr>
              <w:pStyle w:val="60"/>
              <w:bidi w:val="0"/>
              <w:rPr>
                <w:lang w:eastAsia="en-US"/>
              </w:rPr>
            </w:pPr>
            <w:r>
              <w:rPr>
                <w:rFonts w:hint="eastAsia"/>
                <w:lang w:val="en-US" w:eastAsia="zh-CN"/>
              </w:rPr>
              <w:t>边坡每日巡查、每月</w:t>
            </w:r>
            <w:r>
              <w:rPr>
                <w:lang w:eastAsia="en-US"/>
              </w:rPr>
              <w:t>检查，汛期、暴雨过后及时检查。</w:t>
            </w:r>
          </w:p>
        </w:tc>
        <w:tc>
          <w:tcPr>
            <w:tcW w:w="600" w:type="dxa"/>
            <w:noWrap w:val="0"/>
            <w:vAlign w:val="center"/>
          </w:tcPr>
          <w:p w14:paraId="0010C8E0">
            <w:pPr>
              <w:pStyle w:val="60"/>
              <w:bidi w:val="0"/>
              <w:rPr>
                <w:lang w:eastAsia="en-US"/>
              </w:rPr>
            </w:pPr>
            <w:r>
              <w:rPr>
                <w:lang w:eastAsia="en-US"/>
              </w:rPr>
              <w:t>符合</w:t>
            </w:r>
          </w:p>
        </w:tc>
      </w:tr>
      <w:tr w14:paraId="62D81E6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PrEx>
        <w:trPr>
          <w:trHeight w:val="1090" w:hRule="atLeast"/>
        </w:trPr>
        <w:tc>
          <w:tcPr>
            <w:tcW w:w="668" w:type="dxa"/>
            <w:noWrap w:val="0"/>
            <w:vAlign w:val="center"/>
          </w:tcPr>
          <w:p w14:paraId="7DFCCE2F">
            <w:pPr>
              <w:pStyle w:val="54"/>
              <w:bidi w:val="0"/>
              <w:rPr>
                <w:lang w:val="en-US" w:eastAsia="en-US"/>
              </w:rPr>
            </w:pPr>
            <w:r>
              <w:rPr>
                <w:lang w:val="en-US" w:eastAsia="en-US"/>
              </w:rPr>
              <w:t>5</w:t>
            </w:r>
          </w:p>
        </w:tc>
        <w:tc>
          <w:tcPr>
            <w:tcW w:w="3695" w:type="dxa"/>
            <w:noWrap w:val="0"/>
            <w:vAlign w:val="center"/>
          </w:tcPr>
          <w:p w14:paraId="0EC2B5A5">
            <w:pPr>
              <w:pStyle w:val="60"/>
              <w:bidi w:val="0"/>
              <w:rPr>
                <w:lang w:eastAsia="en-US"/>
              </w:rPr>
            </w:pPr>
            <w:r>
              <w:rPr>
                <w:lang w:eastAsia="en-US"/>
              </w:rPr>
              <w:t>边坡浮石清除完毕之前不应在边坡底部作业；人员和设备不应在边坡底部停留。</w:t>
            </w:r>
          </w:p>
        </w:tc>
        <w:tc>
          <w:tcPr>
            <w:tcW w:w="2111" w:type="dxa"/>
            <w:noWrap w:val="0"/>
            <w:vAlign w:val="center"/>
          </w:tcPr>
          <w:p w14:paraId="2B2002E5">
            <w:pPr>
              <w:pStyle w:val="60"/>
              <w:bidi w:val="0"/>
              <w:rPr>
                <w:lang w:eastAsia="en-US"/>
              </w:rPr>
            </w:pPr>
            <w:r>
              <w:rPr>
                <w:lang w:eastAsia="en-US"/>
              </w:rPr>
              <w:t>《金属非金属矿山安全规程》（GB16423-2020）第</w:t>
            </w:r>
            <w:r>
              <w:rPr>
                <w:lang w:eastAsia="en-US"/>
              </w:rPr>
              <w:fldChar w:fldCharType="begin"/>
            </w:r>
            <w:r>
              <w:rPr>
                <w:lang w:eastAsia="en-US"/>
              </w:rPr>
              <w:instrText xml:space="preserve"> HYPERLINK "5.2.4.4" </w:instrText>
            </w:r>
            <w:r>
              <w:rPr>
                <w:lang w:eastAsia="en-US"/>
              </w:rPr>
              <w:fldChar w:fldCharType="separate"/>
            </w:r>
            <w:r>
              <w:rPr>
                <w:lang w:eastAsia="en-US"/>
              </w:rPr>
              <w:t>5.2.4.4</w:t>
            </w:r>
            <w:r>
              <w:rPr>
                <w:lang w:eastAsia="en-US"/>
              </w:rPr>
              <w:fldChar w:fldCharType="end"/>
            </w:r>
            <w:r>
              <w:rPr>
                <w:lang w:eastAsia="en-US"/>
              </w:rPr>
              <w:t>条</w:t>
            </w:r>
          </w:p>
        </w:tc>
        <w:tc>
          <w:tcPr>
            <w:tcW w:w="2307" w:type="dxa"/>
            <w:noWrap w:val="0"/>
            <w:vAlign w:val="center"/>
          </w:tcPr>
          <w:p w14:paraId="45D7E8E7">
            <w:pPr>
              <w:pStyle w:val="60"/>
              <w:bidi w:val="0"/>
              <w:rPr>
                <w:lang w:eastAsia="en-US"/>
              </w:rPr>
            </w:pPr>
            <w:r>
              <w:rPr>
                <w:rFonts w:hint="eastAsia"/>
                <w:lang w:val="en-US" w:eastAsia="zh-CN"/>
              </w:rPr>
              <w:t>矿山制定了边坡管理制度</w:t>
            </w:r>
            <w:r>
              <w:rPr>
                <w:lang w:eastAsia="en-US"/>
              </w:rPr>
              <w:t>。</w:t>
            </w:r>
          </w:p>
        </w:tc>
        <w:tc>
          <w:tcPr>
            <w:tcW w:w="600" w:type="dxa"/>
            <w:noWrap w:val="0"/>
            <w:vAlign w:val="center"/>
          </w:tcPr>
          <w:p w14:paraId="28B16AD9">
            <w:pPr>
              <w:pStyle w:val="60"/>
              <w:bidi w:val="0"/>
              <w:rPr>
                <w:lang w:eastAsia="en-US"/>
              </w:rPr>
            </w:pPr>
            <w:r>
              <w:rPr>
                <w:lang w:eastAsia="en-US"/>
              </w:rPr>
              <w:t>符合</w:t>
            </w:r>
          </w:p>
        </w:tc>
      </w:tr>
      <w:tr w14:paraId="08222F5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702" w:hRule="atLeast"/>
        </w:trPr>
        <w:tc>
          <w:tcPr>
            <w:tcW w:w="668" w:type="dxa"/>
            <w:noWrap w:val="0"/>
            <w:vAlign w:val="center"/>
          </w:tcPr>
          <w:p w14:paraId="5461D8ED">
            <w:pPr>
              <w:pStyle w:val="54"/>
              <w:bidi w:val="0"/>
              <w:rPr>
                <w:lang w:val="en-US" w:eastAsia="en-US"/>
              </w:rPr>
            </w:pPr>
            <w:r>
              <w:rPr>
                <w:lang w:val="en-US" w:eastAsia="en-US"/>
              </w:rPr>
              <w:t>6</w:t>
            </w:r>
          </w:p>
        </w:tc>
        <w:tc>
          <w:tcPr>
            <w:tcW w:w="3695" w:type="dxa"/>
            <w:noWrap w:val="0"/>
            <w:vAlign w:val="center"/>
          </w:tcPr>
          <w:p w14:paraId="4C4B20C5">
            <w:pPr>
              <w:pStyle w:val="60"/>
              <w:bidi w:val="0"/>
              <w:rPr>
                <w:lang w:eastAsia="en-US"/>
              </w:rPr>
            </w:pPr>
            <w:r>
              <w:rPr>
                <w:lang w:eastAsia="en-US"/>
              </w:rPr>
              <w:t>遇有下列情况时，应采取有效的安全措施：岩层内倾于采场，且设计边坡角大于岩层倾角；有多组节理、裂隙空间组合结构面内倾于采场；有较大软弱结构面切割边坡；构成不稳定的潜在滑坡体的边坡。</w:t>
            </w:r>
          </w:p>
        </w:tc>
        <w:tc>
          <w:tcPr>
            <w:tcW w:w="2111" w:type="dxa"/>
            <w:noWrap w:val="0"/>
            <w:vAlign w:val="center"/>
          </w:tcPr>
          <w:p w14:paraId="12A15AD8">
            <w:pPr>
              <w:pStyle w:val="60"/>
              <w:bidi w:val="0"/>
              <w:rPr>
                <w:lang w:eastAsia="en-US"/>
              </w:rPr>
            </w:pPr>
            <w:r>
              <w:rPr>
                <w:lang w:eastAsia="en-US"/>
              </w:rPr>
              <w:t>《金属非金属矿山安全规程》（GB16423-</w:t>
            </w:r>
          </w:p>
          <w:p w14:paraId="4D30A9D4">
            <w:pPr>
              <w:pStyle w:val="60"/>
              <w:bidi w:val="0"/>
              <w:rPr>
                <w:lang w:eastAsia="en-US"/>
              </w:rPr>
            </w:pPr>
            <w:r>
              <w:rPr>
                <w:lang w:eastAsia="en-US"/>
              </w:rPr>
              <w:t>2020）第</w:t>
            </w:r>
            <w:r>
              <w:rPr>
                <w:lang w:eastAsia="en-US"/>
              </w:rPr>
              <w:fldChar w:fldCharType="begin"/>
            </w:r>
            <w:r>
              <w:rPr>
                <w:lang w:eastAsia="en-US"/>
              </w:rPr>
              <w:instrText xml:space="preserve"> HYPERLINK "5.2.4.3" </w:instrText>
            </w:r>
            <w:r>
              <w:rPr>
                <w:lang w:eastAsia="en-US"/>
              </w:rPr>
              <w:fldChar w:fldCharType="separate"/>
            </w:r>
            <w:r>
              <w:rPr>
                <w:lang w:eastAsia="en-US"/>
              </w:rPr>
              <w:t>5.2.4.3</w:t>
            </w:r>
            <w:r>
              <w:rPr>
                <w:lang w:eastAsia="en-US"/>
              </w:rPr>
              <w:fldChar w:fldCharType="end"/>
            </w:r>
            <w:r>
              <w:rPr>
                <w:lang w:eastAsia="en-US"/>
              </w:rPr>
              <w:t>条</w:t>
            </w:r>
          </w:p>
        </w:tc>
        <w:tc>
          <w:tcPr>
            <w:tcW w:w="2307" w:type="dxa"/>
            <w:noWrap w:val="0"/>
            <w:vAlign w:val="center"/>
          </w:tcPr>
          <w:p w14:paraId="6D7E35F4">
            <w:pPr>
              <w:pStyle w:val="60"/>
              <w:bidi w:val="0"/>
              <w:rPr>
                <w:lang w:eastAsia="en-US"/>
              </w:rPr>
            </w:pPr>
            <w:r>
              <w:rPr>
                <w:lang w:eastAsia="en-US"/>
              </w:rPr>
              <w:t>基建采场内无类似情况。</w:t>
            </w:r>
          </w:p>
        </w:tc>
        <w:tc>
          <w:tcPr>
            <w:tcW w:w="600" w:type="dxa"/>
            <w:noWrap w:val="0"/>
            <w:vAlign w:val="center"/>
          </w:tcPr>
          <w:p w14:paraId="32AD243B">
            <w:pPr>
              <w:pStyle w:val="60"/>
              <w:bidi w:val="0"/>
              <w:rPr>
                <w:lang w:eastAsia="en-US"/>
              </w:rPr>
            </w:pPr>
            <w:r>
              <w:rPr>
                <w:lang w:eastAsia="en-US"/>
              </w:rPr>
              <w:t>符合</w:t>
            </w:r>
          </w:p>
        </w:tc>
      </w:tr>
    </w:tbl>
    <w:p w14:paraId="3DA807EE">
      <w:pPr>
        <w:pStyle w:val="59"/>
        <w:bidi w:val="0"/>
        <w:rPr>
          <w:lang w:eastAsia="en-US"/>
        </w:rPr>
      </w:pPr>
    </w:p>
    <w:p w14:paraId="1669E8DB">
      <w:pPr>
        <w:kinsoku w:val="0"/>
        <w:autoSpaceDE w:val="0"/>
        <w:autoSpaceDN w:val="0"/>
        <w:adjustRightInd w:val="0"/>
        <w:snapToGrid w:val="0"/>
        <w:spacing w:before="42" w:line="359" w:lineRule="auto"/>
        <w:ind w:left="41" w:right="98" w:firstLine="559"/>
        <w:jc w:val="left"/>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b/>
          <w:bCs/>
          <w:snapToGrid w:val="0"/>
          <w:color w:val="000000"/>
          <w:spacing w:val="2"/>
          <w:kern w:val="0"/>
          <w:sz w:val="28"/>
          <w:szCs w:val="28"/>
          <w:lang w:val="en-US" w:eastAsia="en-US" w:bidi="ar-SA"/>
        </w:rPr>
        <w:t>评价分析：</w:t>
      </w:r>
      <w:r>
        <w:rPr>
          <w:rFonts w:ascii="宋体" w:hAnsi="宋体" w:eastAsia="宋体" w:cs="宋体"/>
          <w:snapToGrid w:val="0"/>
          <w:color w:val="000000"/>
          <w:spacing w:val="2"/>
          <w:kern w:val="0"/>
          <w:sz w:val="28"/>
          <w:szCs w:val="28"/>
          <w:lang w:val="en-US" w:eastAsia="en-US" w:bidi="ar-SA"/>
        </w:rPr>
        <w:t>检查</w:t>
      </w:r>
      <w:r>
        <w:rPr>
          <w:rFonts w:hint="eastAsia" w:ascii="宋体" w:hAnsi="宋体" w:eastAsia="宋体" w:cs="宋体"/>
          <w:snapToGrid w:val="0"/>
          <w:color w:val="000000"/>
          <w:spacing w:val="2"/>
          <w:kern w:val="0"/>
          <w:sz w:val="28"/>
          <w:szCs w:val="28"/>
          <w:lang w:val="en-US" w:eastAsia="zh-CN" w:bidi="ar-SA"/>
        </w:rPr>
        <w:t>6</w:t>
      </w:r>
      <w:r>
        <w:rPr>
          <w:rFonts w:ascii="宋体" w:hAnsi="宋体" w:eastAsia="宋体" w:cs="宋体"/>
          <w:snapToGrid w:val="0"/>
          <w:color w:val="000000"/>
          <w:spacing w:val="2"/>
          <w:kern w:val="0"/>
          <w:sz w:val="28"/>
          <w:szCs w:val="28"/>
          <w:lang w:val="en-US" w:eastAsia="en-US" w:bidi="ar-SA"/>
        </w:rPr>
        <w:t>项内容</w:t>
      </w:r>
      <w:r>
        <w:rPr>
          <w:rFonts w:ascii="宋体" w:hAnsi="宋体" w:eastAsia="宋体" w:cs="宋体"/>
          <w:snapToGrid w:val="0"/>
          <w:color w:val="000000"/>
          <w:spacing w:val="1"/>
          <w:kern w:val="0"/>
          <w:sz w:val="28"/>
          <w:szCs w:val="28"/>
          <w:lang w:val="en-US" w:eastAsia="en-US" w:bidi="ar-SA"/>
        </w:rPr>
        <w:t>，符</w:t>
      </w:r>
      <w:r>
        <w:rPr>
          <w:rFonts w:ascii="宋体" w:hAnsi="宋体" w:eastAsia="宋体" w:cs="宋体"/>
          <w:snapToGrid w:val="0"/>
          <w:color w:val="000000"/>
          <w:spacing w:val="-6"/>
          <w:kern w:val="0"/>
          <w:sz w:val="28"/>
          <w:szCs w:val="28"/>
          <w:lang w:val="en-US" w:eastAsia="en-US" w:bidi="ar-SA"/>
        </w:rPr>
        <w:t>合</w:t>
      </w:r>
      <w:r>
        <w:rPr>
          <w:rFonts w:hint="eastAsia" w:ascii="宋体" w:hAnsi="宋体" w:eastAsia="宋体" w:cs="宋体"/>
          <w:snapToGrid w:val="0"/>
          <w:color w:val="000000"/>
          <w:spacing w:val="-6"/>
          <w:kern w:val="0"/>
          <w:sz w:val="28"/>
          <w:szCs w:val="28"/>
          <w:lang w:val="en-US" w:eastAsia="zh-CN" w:bidi="ar-SA"/>
        </w:rPr>
        <w:t>6</w:t>
      </w:r>
      <w:r>
        <w:rPr>
          <w:rFonts w:ascii="宋体" w:hAnsi="宋体" w:eastAsia="宋体" w:cs="宋体"/>
          <w:snapToGrid w:val="0"/>
          <w:color w:val="000000"/>
          <w:spacing w:val="-6"/>
          <w:kern w:val="0"/>
          <w:sz w:val="28"/>
          <w:szCs w:val="28"/>
          <w:lang w:val="en-US" w:eastAsia="en-US" w:bidi="ar-SA"/>
        </w:rPr>
        <w:t>项，不符合</w:t>
      </w:r>
      <w:r>
        <w:rPr>
          <w:rFonts w:hint="eastAsia" w:ascii="宋体" w:hAnsi="宋体" w:eastAsia="宋体" w:cs="宋体"/>
          <w:snapToGrid w:val="0"/>
          <w:color w:val="000000"/>
          <w:spacing w:val="-6"/>
          <w:kern w:val="0"/>
          <w:sz w:val="28"/>
          <w:szCs w:val="28"/>
          <w:lang w:val="en-US" w:eastAsia="zh-CN" w:bidi="ar-SA"/>
        </w:rPr>
        <w:t>0</w:t>
      </w:r>
      <w:r>
        <w:rPr>
          <w:rFonts w:ascii="宋体" w:hAnsi="宋体" w:eastAsia="宋体" w:cs="宋体"/>
          <w:snapToGrid w:val="0"/>
          <w:color w:val="000000"/>
          <w:spacing w:val="-6"/>
          <w:kern w:val="0"/>
          <w:sz w:val="28"/>
          <w:szCs w:val="28"/>
          <w:lang w:val="en-US" w:eastAsia="en-US" w:bidi="ar-SA"/>
        </w:rPr>
        <w:t>项，该单元评价为符合。</w:t>
      </w:r>
    </w:p>
    <w:p w14:paraId="27D66714">
      <w:pPr>
        <w:pStyle w:val="4"/>
      </w:pPr>
      <w:bookmarkStart w:id="300" w:name="_Toc16878"/>
      <w:bookmarkStart w:id="301" w:name="_Toc3344"/>
      <w:r>
        <w:t>3.2.</w:t>
      </w:r>
      <w:r>
        <w:rPr>
          <w:rFonts w:hint="eastAsia"/>
          <w:lang w:val="en-US" w:eastAsia="zh-CN"/>
        </w:rPr>
        <w:t>3</w:t>
      </w:r>
      <w:r>
        <w:t>铲装作业子单元符合性评价</w:t>
      </w:r>
      <w:bookmarkEnd w:id="295"/>
      <w:bookmarkEnd w:id="296"/>
      <w:bookmarkEnd w:id="297"/>
      <w:bookmarkEnd w:id="298"/>
      <w:bookmarkEnd w:id="299"/>
      <w:bookmarkEnd w:id="300"/>
      <w:bookmarkEnd w:id="301"/>
    </w:p>
    <w:p w14:paraId="4D6D78F4">
      <w:pPr>
        <w:bidi w:val="0"/>
        <w:rPr>
          <w:rFonts w:hint="eastAsia"/>
          <w:lang w:val="en-US" w:eastAsia="zh-CN"/>
        </w:rPr>
      </w:pPr>
      <w:r>
        <w:rPr>
          <w:rFonts w:hint="eastAsia"/>
          <w:lang w:val="en-US" w:eastAsia="zh-CN"/>
        </w:rPr>
        <w:t>按</w:t>
      </w:r>
      <w:r>
        <w:rPr>
          <w:rFonts w:hint="eastAsia"/>
          <w:lang w:eastAsia="zh-CN"/>
        </w:rPr>
        <w:t>安监</w:t>
      </w:r>
      <w:r>
        <w:rPr>
          <w:rFonts w:hint="eastAsia"/>
        </w:rPr>
        <w:t>总管一〔2016〕</w:t>
      </w:r>
      <w:r>
        <w:rPr>
          <w:rFonts w:hint="eastAsia"/>
          <w:lang w:val="en-US" w:eastAsia="zh-CN"/>
        </w:rPr>
        <w:t>49</w:t>
      </w:r>
      <w:r>
        <w:rPr>
          <w:rFonts w:hint="eastAsia"/>
        </w:rPr>
        <w:t>号</w:t>
      </w:r>
      <w:r>
        <w:rPr>
          <w:rFonts w:hint="eastAsia"/>
          <w:lang w:eastAsia="zh-CN"/>
        </w:rPr>
        <w:t>要求</w:t>
      </w:r>
      <w:r>
        <w:rPr>
          <w:rFonts w:hint="eastAsia"/>
          <w:lang w:val="en-US" w:eastAsia="zh-CN"/>
        </w:rPr>
        <w:t>检查。</w:t>
      </w:r>
    </w:p>
    <w:p w14:paraId="3A60E0C7">
      <w:pPr>
        <w:bidi w:val="0"/>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w:t>
      </w:r>
      <w:r>
        <w:t>《</w:t>
      </w:r>
      <w:r>
        <w:rPr>
          <w:rFonts w:hint="eastAsia"/>
          <w:lang w:val="en-US" w:eastAsia="zh-CN"/>
        </w:rPr>
        <w:t>安全设施设计</w:t>
      </w:r>
      <w:r>
        <w:t>》，采用检查表对铲装作业子单元</w:t>
      </w:r>
      <w:r>
        <w:rPr>
          <w:spacing w:val="-6"/>
        </w:rPr>
        <w:t>进行符合性评价。</w:t>
      </w:r>
    </w:p>
    <w:p w14:paraId="331A409D">
      <w:pPr>
        <w:pStyle w:val="73"/>
        <w:bidi w:val="0"/>
      </w:pPr>
      <w:r>
        <w:t>表3</w:t>
      </w:r>
      <w:r>
        <w:rPr>
          <w:rFonts w:hint="eastAsia"/>
          <w:lang w:val="en-US" w:eastAsia="zh-CN"/>
        </w:rPr>
        <w:t>.2-4</w:t>
      </w:r>
      <w:r>
        <w:t>铲装作业安全检查表</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6"/>
        <w:gridCol w:w="3834"/>
        <w:gridCol w:w="2061"/>
        <w:gridCol w:w="2413"/>
        <w:gridCol w:w="776"/>
      </w:tblGrid>
      <w:tr w14:paraId="4C51109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14" w:hRule="atLeast"/>
          <w:tblHeader/>
          <w:jc w:val="center"/>
        </w:trPr>
        <w:tc>
          <w:tcPr>
            <w:tcW w:w="254" w:type="pct"/>
            <w:vAlign w:val="center"/>
          </w:tcPr>
          <w:p w14:paraId="112D8FDE">
            <w:pPr>
              <w:pStyle w:val="47"/>
              <w:bidi w:val="0"/>
            </w:pPr>
            <w:r>
              <w:t>序号</w:t>
            </w:r>
          </w:p>
        </w:tc>
        <w:tc>
          <w:tcPr>
            <w:tcW w:w="2002" w:type="pct"/>
            <w:vAlign w:val="center"/>
          </w:tcPr>
          <w:p w14:paraId="1BF50068">
            <w:pPr>
              <w:pStyle w:val="47"/>
              <w:bidi w:val="0"/>
            </w:pPr>
            <w:r>
              <w:t>检查项目与内容</w:t>
            </w:r>
          </w:p>
        </w:tc>
        <w:tc>
          <w:tcPr>
            <w:tcW w:w="1076" w:type="pct"/>
            <w:vAlign w:val="center"/>
          </w:tcPr>
          <w:p w14:paraId="211D5792">
            <w:pPr>
              <w:pStyle w:val="47"/>
              <w:bidi w:val="0"/>
            </w:pPr>
            <w:r>
              <w:t>依据标准条款</w:t>
            </w:r>
          </w:p>
        </w:tc>
        <w:tc>
          <w:tcPr>
            <w:tcW w:w="1260" w:type="pct"/>
            <w:vAlign w:val="center"/>
          </w:tcPr>
          <w:p w14:paraId="7DB541F2">
            <w:pPr>
              <w:pStyle w:val="47"/>
              <w:bidi w:val="0"/>
            </w:pPr>
            <w:r>
              <w:t>检查情况</w:t>
            </w:r>
          </w:p>
        </w:tc>
        <w:tc>
          <w:tcPr>
            <w:tcW w:w="405" w:type="pct"/>
            <w:vAlign w:val="center"/>
          </w:tcPr>
          <w:p w14:paraId="2DAFCCD0">
            <w:pPr>
              <w:pStyle w:val="47"/>
              <w:bidi w:val="0"/>
            </w:pPr>
            <w:r>
              <w:t>检查结果</w:t>
            </w:r>
          </w:p>
        </w:tc>
      </w:tr>
      <w:tr w14:paraId="473DD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4" w:hRule="atLeast"/>
          <w:jc w:val="center"/>
        </w:trPr>
        <w:tc>
          <w:tcPr>
            <w:tcW w:w="254" w:type="pct"/>
            <w:vAlign w:val="center"/>
          </w:tcPr>
          <w:p w14:paraId="5CF75B0F">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2002" w:type="pct"/>
            <w:vAlign w:val="center"/>
          </w:tcPr>
          <w:p w14:paraId="186D2A3D">
            <w:pPr>
              <w:pStyle w:val="59"/>
              <w:bidi w:val="0"/>
            </w:pPr>
            <w:r>
              <w:t>挖掘机汽笛或警报器应完好。进行各种操作时，均应发出警告信号。夜间作业时，车下及前后的所有信号、照明灯应完好。</w:t>
            </w:r>
          </w:p>
        </w:tc>
        <w:tc>
          <w:tcPr>
            <w:tcW w:w="1076" w:type="pct"/>
            <w:vAlign w:val="center"/>
          </w:tcPr>
          <w:p w14:paraId="2EFA2D32">
            <w:pPr>
              <w:pStyle w:val="59"/>
              <w:bidi w:val="0"/>
            </w:pPr>
            <w:r>
              <w:t>《安全设施设计》</w:t>
            </w:r>
          </w:p>
        </w:tc>
        <w:tc>
          <w:tcPr>
            <w:tcW w:w="1260" w:type="pct"/>
            <w:vAlign w:val="center"/>
          </w:tcPr>
          <w:p w14:paraId="4EA49222">
            <w:pPr>
              <w:pStyle w:val="59"/>
              <w:bidi w:val="0"/>
            </w:pPr>
            <w:r>
              <w:t>挖掘机汽笛及前后的所有信号</w:t>
            </w:r>
            <w:r>
              <w:rPr>
                <w:rFonts w:hint="eastAsia"/>
                <w:lang w:val="en-US" w:eastAsia="zh-CN"/>
              </w:rPr>
              <w:t>完好</w:t>
            </w:r>
            <w:r>
              <w:t>。矿山不进行夜间作业。</w:t>
            </w:r>
          </w:p>
        </w:tc>
        <w:tc>
          <w:tcPr>
            <w:tcW w:w="405" w:type="pct"/>
            <w:vAlign w:val="center"/>
          </w:tcPr>
          <w:p w14:paraId="1A86FA52">
            <w:pPr>
              <w:pStyle w:val="59"/>
              <w:bidi w:val="0"/>
            </w:pPr>
            <w:r>
              <w:t>符合</w:t>
            </w:r>
          </w:p>
        </w:tc>
      </w:tr>
      <w:tr w14:paraId="4BCE1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75" w:hRule="atLeast"/>
          <w:jc w:val="center"/>
        </w:trPr>
        <w:tc>
          <w:tcPr>
            <w:tcW w:w="254" w:type="pct"/>
            <w:vAlign w:val="center"/>
          </w:tcPr>
          <w:p w14:paraId="2AAF6515">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w:t>
            </w:r>
          </w:p>
        </w:tc>
        <w:tc>
          <w:tcPr>
            <w:tcW w:w="2002" w:type="pct"/>
            <w:vAlign w:val="center"/>
          </w:tcPr>
          <w:p w14:paraId="25C59B7D">
            <w:pPr>
              <w:pStyle w:val="59"/>
              <w:bidi w:val="0"/>
            </w:pPr>
            <w:r>
              <w:t>挖掘机作业时，发现悬浮岩块或崩塌征兆等情况，应立即停止作业，并将设备开到安全地带。</w:t>
            </w:r>
          </w:p>
        </w:tc>
        <w:tc>
          <w:tcPr>
            <w:tcW w:w="1076" w:type="pct"/>
            <w:vAlign w:val="center"/>
          </w:tcPr>
          <w:p w14:paraId="28EAE17B">
            <w:pPr>
              <w:pStyle w:val="59"/>
              <w:bidi w:val="0"/>
            </w:pPr>
            <w:r>
              <w:t>《安全设施设计》</w:t>
            </w:r>
          </w:p>
        </w:tc>
        <w:tc>
          <w:tcPr>
            <w:tcW w:w="1260" w:type="pct"/>
            <w:vAlign w:val="center"/>
          </w:tcPr>
          <w:p w14:paraId="55D8E1B5">
            <w:pPr>
              <w:pStyle w:val="59"/>
              <w:bidi w:val="0"/>
            </w:pPr>
            <w:r>
              <w:rPr>
                <w:rFonts w:hint="eastAsia"/>
                <w:lang w:val="en-US" w:eastAsia="zh-CN"/>
              </w:rPr>
              <w:t>制定并执行挖掘机操安全作规程</w:t>
            </w:r>
            <w:r>
              <w:t>。</w:t>
            </w:r>
          </w:p>
        </w:tc>
        <w:tc>
          <w:tcPr>
            <w:tcW w:w="405" w:type="pct"/>
            <w:vAlign w:val="center"/>
          </w:tcPr>
          <w:p w14:paraId="7C57B52A">
            <w:pPr>
              <w:pStyle w:val="59"/>
              <w:bidi w:val="0"/>
            </w:pPr>
            <w:r>
              <w:t>符合</w:t>
            </w:r>
          </w:p>
        </w:tc>
      </w:tr>
      <w:tr w14:paraId="78B77D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5" w:hRule="atLeast"/>
          <w:jc w:val="center"/>
        </w:trPr>
        <w:tc>
          <w:tcPr>
            <w:tcW w:w="254" w:type="pct"/>
            <w:vAlign w:val="center"/>
          </w:tcPr>
          <w:p w14:paraId="3CAF465F">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p>
        </w:tc>
        <w:tc>
          <w:tcPr>
            <w:tcW w:w="2002" w:type="pct"/>
            <w:vAlign w:val="center"/>
          </w:tcPr>
          <w:p w14:paraId="2B2B7897">
            <w:pPr>
              <w:pStyle w:val="59"/>
              <w:bidi w:val="0"/>
            </w:pPr>
            <w:r>
              <w:t>挖掘机作业时，悬臂和铲斗下面及工作面附近，不应有人停留。</w:t>
            </w:r>
          </w:p>
        </w:tc>
        <w:tc>
          <w:tcPr>
            <w:tcW w:w="1076" w:type="pct"/>
            <w:vAlign w:val="center"/>
          </w:tcPr>
          <w:p w14:paraId="3DBDF6AC">
            <w:pPr>
              <w:pStyle w:val="59"/>
              <w:bidi w:val="0"/>
            </w:pPr>
            <w:r>
              <w:t>《安全设施设计》</w:t>
            </w:r>
          </w:p>
        </w:tc>
        <w:tc>
          <w:tcPr>
            <w:tcW w:w="1260" w:type="pct"/>
            <w:vAlign w:val="center"/>
          </w:tcPr>
          <w:p w14:paraId="3BACF8B4">
            <w:pPr>
              <w:pStyle w:val="59"/>
              <w:bidi w:val="0"/>
            </w:pPr>
            <w:r>
              <w:rPr>
                <w:rFonts w:hint="eastAsia"/>
                <w:lang w:val="en-US" w:eastAsia="zh-CN"/>
              </w:rPr>
              <w:t>制定并执行挖掘机操安全作规程</w:t>
            </w:r>
            <w:r>
              <w:t>。</w:t>
            </w:r>
          </w:p>
        </w:tc>
        <w:tc>
          <w:tcPr>
            <w:tcW w:w="405" w:type="pct"/>
            <w:vAlign w:val="center"/>
          </w:tcPr>
          <w:p w14:paraId="75CDF185">
            <w:pPr>
              <w:pStyle w:val="59"/>
              <w:bidi w:val="0"/>
            </w:pPr>
            <w:r>
              <w:t>符合</w:t>
            </w:r>
          </w:p>
        </w:tc>
      </w:tr>
      <w:tr w14:paraId="587DC8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39" w:hRule="atLeast"/>
          <w:jc w:val="center"/>
        </w:trPr>
        <w:tc>
          <w:tcPr>
            <w:tcW w:w="254" w:type="pct"/>
            <w:vAlign w:val="center"/>
          </w:tcPr>
          <w:p w14:paraId="324C8C2A">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4</w:t>
            </w:r>
          </w:p>
        </w:tc>
        <w:tc>
          <w:tcPr>
            <w:tcW w:w="2002" w:type="pct"/>
            <w:vAlign w:val="center"/>
          </w:tcPr>
          <w:p w14:paraId="3DA9FC9A">
            <w:pPr>
              <w:pStyle w:val="59"/>
              <w:bidi w:val="0"/>
            </w:pPr>
            <w:r>
              <w:t>运输设备不应装载过满或装载不均，也不应将巨大岩块装入车的一端，以免引起翻车事故。</w:t>
            </w:r>
          </w:p>
        </w:tc>
        <w:tc>
          <w:tcPr>
            <w:tcW w:w="1076" w:type="pct"/>
            <w:vAlign w:val="center"/>
          </w:tcPr>
          <w:p w14:paraId="3D4C7584">
            <w:pPr>
              <w:pStyle w:val="59"/>
              <w:bidi w:val="0"/>
            </w:pPr>
            <w:r>
              <w:t>《安全设施设计》</w:t>
            </w:r>
          </w:p>
        </w:tc>
        <w:tc>
          <w:tcPr>
            <w:tcW w:w="1260" w:type="pct"/>
            <w:vAlign w:val="center"/>
          </w:tcPr>
          <w:p w14:paraId="39450D10">
            <w:pPr>
              <w:pStyle w:val="59"/>
              <w:bidi w:val="0"/>
            </w:pPr>
            <w:r>
              <w:rPr>
                <w:rFonts w:hint="eastAsia"/>
                <w:lang w:val="en-US" w:eastAsia="zh-CN"/>
              </w:rPr>
              <w:t>制定并执行运输车辆安全操作规程</w:t>
            </w:r>
            <w:r>
              <w:t>。</w:t>
            </w:r>
          </w:p>
        </w:tc>
        <w:tc>
          <w:tcPr>
            <w:tcW w:w="405" w:type="pct"/>
            <w:vAlign w:val="center"/>
          </w:tcPr>
          <w:p w14:paraId="2912FCED">
            <w:pPr>
              <w:pStyle w:val="59"/>
              <w:bidi w:val="0"/>
            </w:pPr>
            <w:r>
              <w:t>符合</w:t>
            </w:r>
          </w:p>
        </w:tc>
      </w:tr>
      <w:tr w14:paraId="4DCA56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11" w:hRule="atLeast"/>
          <w:jc w:val="center"/>
        </w:trPr>
        <w:tc>
          <w:tcPr>
            <w:tcW w:w="254" w:type="pct"/>
            <w:vAlign w:val="center"/>
          </w:tcPr>
          <w:p w14:paraId="6C93A6C3">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5</w:t>
            </w:r>
          </w:p>
        </w:tc>
        <w:tc>
          <w:tcPr>
            <w:tcW w:w="2002" w:type="pct"/>
            <w:vAlign w:val="center"/>
          </w:tcPr>
          <w:p w14:paraId="77716A6B">
            <w:pPr>
              <w:pStyle w:val="59"/>
              <w:bidi w:val="0"/>
            </w:pPr>
            <w:r>
              <w:t>装车时铲斗不应压碰汽车车帮，铲斗卸矿高度应不超过0.5m，以免震伤司机，砸坏车辆。</w:t>
            </w:r>
          </w:p>
        </w:tc>
        <w:tc>
          <w:tcPr>
            <w:tcW w:w="1076" w:type="pct"/>
            <w:vAlign w:val="center"/>
          </w:tcPr>
          <w:p w14:paraId="550C7425">
            <w:pPr>
              <w:pStyle w:val="59"/>
              <w:bidi w:val="0"/>
            </w:pPr>
            <w:r>
              <w:t>《安全设施设计》</w:t>
            </w:r>
          </w:p>
        </w:tc>
        <w:tc>
          <w:tcPr>
            <w:tcW w:w="1260" w:type="pct"/>
            <w:vAlign w:val="center"/>
          </w:tcPr>
          <w:p w14:paraId="59D09139">
            <w:pPr>
              <w:pStyle w:val="59"/>
              <w:bidi w:val="0"/>
            </w:pPr>
            <w:r>
              <w:t>装载机作业人员培训取证，持证上岗。按实际情况结合操作规程作业。</w:t>
            </w:r>
          </w:p>
        </w:tc>
        <w:tc>
          <w:tcPr>
            <w:tcW w:w="405" w:type="pct"/>
            <w:vAlign w:val="center"/>
          </w:tcPr>
          <w:p w14:paraId="3160131F">
            <w:pPr>
              <w:pStyle w:val="59"/>
              <w:bidi w:val="0"/>
            </w:pPr>
            <w:r>
              <w:t>符合</w:t>
            </w:r>
          </w:p>
        </w:tc>
      </w:tr>
      <w:tr w14:paraId="668501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7" w:hRule="atLeast"/>
          <w:jc w:val="center"/>
        </w:trPr>
        <w:tc>
          <w:tcPr>
            <w:tcW w:w="254" w:type="pct"/>
            <w:vAlign w:val="center"/>
          </w:tcPr>
          <w:p w14:paraId="66715F7F">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6</w:t>
            </w:r>
          </w:p>
        </w:tc>
        <w:tc>
          <w:tcPr>
            <w:tcW w:w="2002" w:type="pct"/>
            <w:vAlign w:val="center"/>
          </w:tcPr>
          <w:p w14:paraId="26698798">
            <w:pPr>
              <w:pStyle w:val="59"/>
              <w:bidi w:val="0"/>
            </w:pPr>
            <w:r>
              <w:t>不应用挖掘机铲斗处理粘厢。</w:t>
            </w:r>
          </w:p>
        </w:tc>
        <w:tc>
          <w:tcPr>
            <w:tcW w:w="1076" w:type="pct"/>
            <w:vAlign w:val="center"/>
          </w:tcPr>
          <w:p w14:paraId="3983A0BF">
            <w:pPr>
              <w:pStyle w:val="59"/>
              <w:bidi w:val="0"/>
            </w:pPr>
            <w:r>
              <w:t>《安全设施设计》</w:t>
            </w:r>
          </w:p>
        </w:tc>
        <w:tc>
          <w:tcPr>
            <w:tcW w:w="1260" w:type="pct"/>
            <w:vAlign w:val="center"/>
          </w:tcPr>
          <w:p w14:paraId="09BA80A7">
            <w:pPr>
              <w:pStyle w:val="59"/>
              <w:bidi w:val="0"/>
            </w:pPr>
            <w:r>
              <w:t>现场</w:t>
            </w:r>
            <w:bookmarkStart w:id="302" w:name="OLE_LINK44"/>
            <w:r>
              <w:t>勘查时</w:t>
            </w:r>
            <w:bookmarkEnd w:id="302"/>
            <w:r>
              <w:t>未发现。</w:t>
            </w:r>
          </w:p>
        </w:tc>
        <w:tc>
          <w:tcPr>
            <w:tcW w:w="405" w:type="pct"/>
            <w:vAlign w:val="center"/>
          </w:tcPr>
          <w:p w14:paraId="52E64229">
            <w:pPr>
              <w:pStyle w:val="59"/>
              <w:bidi w:val="0"/>
            </w:pPr>
            <w:r>
              <w:t>符合</w:t>
            </w:r>
          </w:p>
        </w:tc>
      </w:tr>
      <w:tr w14:paraId="11D1A4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254" w:type="pct"/>
            <w:vAlign w:val="center"/>
          </w:tcPr>
          <w:p w14:paraId="178EC73A">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7</w:t>
            </w:r>
          </w:p>
        </w:tc>
        <w:tc>
          <w:tcPr>
            <w:tcW w:w="2002" w:type="pct"/>
            <w:vAlign w:val="center"/>
          </w:tcPr>
          <w:p w14:paraId="5B7DCC04">
            <w:pPr>
              <w:pStyle w:val="59"/>
              <w:bidi w:val="0"/>
            </w:pPr>
            <w:r>
              <w:t>两台以上的挖掘机在同一平台上作业时，挖掘机的间距：汽车运输时，应不小于其最大挖掘半径的3倍，且应不小于50m；机车运输时，应不小于二列列车的长度。</w:t>
            </w:r>
          </w:p>
        </w:tc>
        <w:tc>
          <w:tcPr>
            <w:tcW w:w="1076" w:type="pct"/>
            <w:vAlign w:val="center"/>
          </w:tcPr>
          <w:p w14:paraId="0408AE64">
            <w:pPr>
              <w:pStyle w:val="59"/>
              <w:bidi w:val="0"/>
            </w:pPr>
            <w:r>
              <w:t>《安全设施设计》</w:t>
            </w:r>
          </w:p>
        </w:tc>
        <w:tc>
          <w:tcPr>
            <w:tcW w:w="1260" w:type="pct"/>
            <w:vAlign w:val="center"/>
          </w:tcPr>
          <w:p w14:paraId="5C16EC3F">
            <w:pPr>
              <w:pStyle w:val="59"/>
              <w:bidi w:val="0"/>
            </w:pPr>
            <w:r>
              <w:t>现场勘查时，单台挖掘机作业。</w:t>
            </w:r>
          </w:p>
        </w:tc>
        <w:tc>
          <w:tcPr>
            <w:tcW w:w="405" w:type="pct"/>
            <w:vAlign w:val="center"/>
          </w:tcPr>
          <w:p w14:paraId="76721662">
            <w:pPr>
              <w:pStyle w:val="59"/>
              <w:bidi w:val="0"/>
            </w:pPr>
            <w:r>
              <w:t>符合</w:t>
            </w:r>
          </w:p>
        </w:tc>
      </w:tr>
      <w:tr w14:paraId="789090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6" w:hRule="atLeast"/>
          <w:jc w:val="center"/>
        </w:trPr>
        <w:tc>
          <w:tcPr>
            <w:tcW w:w="254" w:type="pct"/>
            <w:vAlign w:val="center"/>
          </w:tcPr>
          <w:p w14:paraId="32959A23">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8</w:t>
            </w:r>
          </w:p>
        </w:tc>
        <w:tc>
          <w:tcPr>
            <w:tcW w:w="2002" w:type="pct"/>
            <w:vAlign w:val="center"/>
          </w:tcPr>
          <w:p w14:paraId="3047077C">
            <w:pPr>
              <w:pStyle w:val="59"/>
              <w:bidi w:val="0"/>
            </w:pPr>
            <w:r>
              <w:t>上、下台阶同时作业的挖掘机，应沿台阶走向错开一定的距离；在上部台阶边缘安全带进行辅助作业的挖掘机，应超前下部台阶正常作业的挖掘机最大挖掘半径3倍的距离，且不小于50m</w:t>
            </w:r>
          </w:p>
        </w:tc>
        <w:tc>
          <w:tcPr>
            <w:tcW w:w="1076" w:type="pct"/>
            <w:vAlign w:val="center"/>
          </w:tcPr>
          <w:p w14:paraId="2FF6E090">
            <w:pPr>
              <w:pStyle w:val="59"/>
              <w:bidi w:val="0"/>
            </w:pPr>
            <w:r>
              <w:t>《安全设施设计》</w:t>
            </w:r>
          </w:p>
        </w:tc>
        <w:tc>
          <w:tcPr>
            <w:tcW w:w="1260" w:type="pct"/>
            <w:vAlign w:val="center"/>
          </w:tcPr>
          <w:p w14:paraId="2D11B6DA">
            <w:pPr>
              <w:pStyle w:val="59"/>
              <w:bidi w:val="0"/>
            </w:pPr>
            <w:r>
              <w:rPr>
                <w:rFonts w:hint="eastAsia"/>
                <w:lang w:val="en-US" w:eastAsia="zh-CN"/>
              </w:rPr>
              <w:t>设计为单台阶</w:t>
            </w:r>
            <w:r>
              <w:t>作业。</w:t>
            </w:r>
          </w:p>
        </w:tc>
        <w:tc>
          <w:tcPr>
            <w:tcW w:w="405" w:type="pct"/>
            <w:vAlign w:val="center"/>
          </w:tcPr>
          <w:p w14:paraId="1BA08810">
            <w:pPr>
              <w:pStyle w:val="59"/>
              <w:bidi w:val="0"/>
            </w:pPr>
            <w:r>
              <w:t>符合</w:t>
            </w:r>
          </w:p>
        </w:tc>
      </w:tr>
      <w:tr w14:paraId="1E82FF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254" w:type="pct"/>
            <w:vAlign w:val="center"/>
          </w:tcPr>
          <w:p w14:paraId="5D044B4D">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9</w:t>
            </w:r>
          </w:p>
        </w:tc>
        <w:tc>
          <w:tcPr>
            <w:tcW w:w="2002" w:type="pct"/>
            <w:vAlign w:val="center"/>
          </w:tcPr>
          <w:p w14:paraId="08C9A9DC">
            <w:pPr>
              <w:pStyle w:val="59"/>
              <w:bidi w:val="0"/>
            </w:pPr>
            <w:r>
              <w:t>挖掘机工作时，其平衡装置外型的垂直投影到台阶坡底的水平距离，应不小于1m。操作室所处的位置，应使操作人员危险性最小。</w:t>
            </w:r>
          </w:p>
        </w:tc>
        <w:tc>
          <w:tcPr>
            <w:tcW w:w="1076" w:type="pct"/>
            <w:vAlign w:val="center"/>
          </w:tcPr>
          <w:p w14:paraId="3B860B14">
            <w:pPr>
              <w:pStyle w:val="59"/>
              <w:bidi w:val="0"/>
            </w:pPr>
            <w:r>
              <w:t>《安全设施设计》</w:t>
            </w:r>
          </w:p>
        </w:tc>
        <w:tc>
          <w:tcPr>
            <w:tcW w:w="1260" w:type="pct"/>
            <w:vAlign w:val="center"/>
          </w:tcPr>
          <w:p w14:paraId="2063D3E9">
            <w:pPr>
              <w:pStyle w:val="59"/>
              <w:bidi w:val="0"/>
            </w:pPr>
            <w:r>
              <w:t>现场检查符合要求。</w:t>
            </w:r>
          </w:p>
        </w:tc>
        <w:tc>
          <w:tcPr>
            <w:tcW w:w="405" w:type="pct"/>
            <w:vAlign w:val="center"/>
          </w:tcPr>
          <w:p w14:paraId="30C55CB9">
            <w:pPr>
              <w:pStyle w:val="59"/>
              <w:bidi w:val="0"/>
            </w:pPr>
            <w:r>
              <w:t>符合</w:t>
            </w:r>
          </w:p>
        </w:tc>
      </w:tr>
      <w:tr w14:paraId="1D3D30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254" w:type="pct"/>
            <w:vAlign w:val="center"/>
          </w:tcPr>
          <w:p w14:paraId="228500C6">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10</w:t>
            </w:r>
          </w:p>
        </w:tc>
        <w:tc>
          <w:tcPr>
            <w:tcW w:w="2002" w:type="pct"/>
            <w:vAlign w:val="center"/>
          </w:tcPr>
          <w:p w14:paraId="637B7D13">
            <w:pPr>
              <w:pStyle w:val="59"/>
              <w:bidi w:val="0"/>
            </w:pPr>
            <w:r>
              <w:t>挖掘机应在作业平台的稳定范围内行走。挖掘机上下坡时，驱动轴应始终处于下坡方向；铲斗应空载，并下放与地面保持适当距离；悬臂轴线应与行进方向一致。</w:t>
            </w:r>
          </w:p>
        </w:tc>
        <w:tc>
          <w:tcPr>
            <w:tcW w:w="1076" w:type="pct"/>
            <w:vAlign w:val="center"/>
          </w:tcPr>
          <w:p w14:paraId="137A373E">
            <w:pPr>
              <w:pStyle w:val="59"/>
              <w:bidi w:val="0"/>
            </w:pPr>
            <w:r>
              <w:t>《安全设施设计》</w:t>
            </w:r>
          </w:p>
        </w:tc>
        <w:tc>
          <w:tcPr>
            <w:tcW w:w="1260" w:type="pct"/>
            <w:vAlign w:val="center"/>
          </w:tcPr>
          <w:p w14:paraId="52A60A3B">
            <w:pPr>
              <w:pStyle w:val="59"/>
              <w:bidi w:val="0"/>
            </w:pPr>
            <w:r>
              <w:t>按安全操作规程作业，现场检查符合要求。</w:t>
            </w:r>
          </w:p>
        </w:tc>
        <w:tc>
          <w:tcPr>
            <w:tcW w:w="405" w:type="pct"/>
            <w:vAlign w:val="center"/>
          </w:tcPr>
          <w:p w14:paraId="46E368ED">
            <w:pPr>
              <w:pStyle w:val="59"/>
              <w:bidi w:val="0"/>
            </w:pPr>
            <w:r>
              <w:t>符合</w:t>
            </w:r>
          </w:p>
        </w:tc>
      </w:tr>
      <w:tr w14:paraId="66FAD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2" w:hRule="atLeast"/>
          <w:jc w:val="center"/>
        </w:trPr>
        <w:tc>
          <w:tcPr>
            <w:tcW w:w="254" w:type="pct"/>
            <w:vAlign w:val="center"/>
          </w:tcPr>
          <w:p w14:paraId="4F83273C">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11</w:t>
            </w:r>
          </w:p>
        </w:tc>
        <w:tc>
          <w:tcPr>
            <w:tcW w:w="2002" w:type="pct"/>
            <w:vAlign w:val="center"/>
          </w:tcPr>
          <w:p w14:paraId="75851690">
            <w:pPr>
              <w:pStyle w:val="59"/>
              <w:bidi w:val="0"/>
            </w:pPr>
            <w:r>
              <w:t>挖掘机、前装机铲装作业时，铲斗不应从车辆驾驶室上方通过。装车时，汽车司机不应停留在司机室踏板上或有落石危险的地方。</w:t>
            </w:r>
          </w:p>
        </w:tc>
        <w:tc>
          <w:tcPr>
            <w:tcW w:w="1076" w:type="pct"/>
            <w:vAlign w:val="center"/>
          </w:tcPr>
          <w:p w14:paraId="0DBF967D">
            <w:pPr>
              <w:pStyle w:val="59"/>
              <w:bidi w:val="0"/>
            </w:pPr>
            <w:r>
              <w:t>《安全设施设计》</w:t>
            </w:r>
          </w:p>
        </w:tc>
        <w:tc>
          <w:tcPr>
            <w:tcW w:w="1260" w:type="pct"/>
            <w:vAlign w:val="center"/>
          </w:tcPr>
          <w:p w14:paraId="09FCFCC6">
            <w:pPr>
              <w:pStyle w:val="59"/>
              <w:bidi w:val="0"/>
            </w:pPr>
            <w:r>
              <w:t>按安全操作规程作业，现场检查符合要求。</w:t>
            </w:r>
          </w:p>
        </w:tc>
        <w:tc>
          <w:tcPr>
            <w:tcW w:w="405" w:type="pct"/>
            <w:vAlign w:val="center"/>
          </w:tcPr>
          <w:p w14:paraId="4979F6B8">
            <w:pPr>
              <w:pStyle w:val="59"/>
              <w:bidi w:val="0"/>
            </w:pPr>
            <w:r>
              <w:t>符合</w:t>
            </w:r>
          </w:p>
        </w:tc>
      </w:tr>
      <w:tr w14:paraId="22D774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01" w:hRule="atLeast"/>
          <w:jc w:val="center"/>
        </w:trPr>
        <w:tc>
          <w:tcPr>
            <w:tcW w:w="254" w:type="pct"/>
            <w:vAlign w:val="center"/>
          </w:tcPr>
          <w:p w14:paraId="3F7A9F05">
            <w:pPr>
              <w:pStyle w:val="54"/>
              <w:spacing w:line="30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12</w:t>
            </w:r>
          </w:p>
        </w:tc>
        <w:tc>
          <w:tcPr>
            <w:tcW w:w="2002" w:type="pct"/>
            <w:vAlign w:val="center"/>
          </w:tcPr>
          <w:p w14:paraId="5E33633F">
            <w:pPr>
              <w:pStyle w:val="59"/>
              <w:bidi w:val="0"/>
            </w:pPr>
            <w:r>
              <w:t>挖掘机运转时，不应调整悬臂架的位置。</w:t>
            </w:r>
          </w:p>
        </w:tc>
        <w:tc>
          <w:tcPr>
            <w:tcW w:w="1076" w:type="pct"/>
            <w:vAlign w:val="center"/>
          </w:tcPr>
          <w:p w14:paraId="74735F52">
            <w:pPr>
              <w:pStyle w:val="59"/>
              <w:bidi w:val="0"/>
            </w:pPr>
            <w:r>
              <w:t>《安全设施设计》</w:t>
            </w:r>
          </w:p>
        </w:tc>
        <w:tc>
          <w:tcPr>
            <w:tcW w:w="1260" w:type="pct"/>
            <w:vAlign w:val="center"/>
          </w:tcPr>
          <w:p w14:paraId="091CBB2A">
            <w:pPr>
              <w:pStyle w:val="59"/>
              <w:bidi w:val="0"/>
            </w:pPr>
            <w:r>
              <w:t>按安全操作规程作业。</w:t>
            </w:r>
          </w:p>
        </w:tc>
        <w:tc>
          <w:tcPr>
            <w:tcW w:w="405" w:type="pct"/>
            <w:vAlign w:val="center"/>
          </w:tcPr>
          <w:p w14:paraId="2E44DCCD">
            <w:pPr>
              <w:pStyle w:val="59"/>
              <w:bidi w:val="0"/>
            </w:pPr>
            <w:r>
              <w:t>符合</w:t>
            </w:r>
          </w:p>
        </w:tc>
      </w:tr>
    </w:tbl>
    <w:p w14:paraId="3E918632">
      <w:pPr>
        <w:spacing w:before="156" w:beforeLines="50"/>
        <w:ind w:firstLine="554"/>
        <w:rPr>
          <w:rFonts w:ascii="Times New Roman" w:hAnsi="Times New Roman"/>
          <w:color w:val="000000" w:themeColor="text1"/>
          <w14:textFill>
            <w14:solidFill>
              <w14:schemeClr w14:val="tx1"/>
            </w14:solidFill>
          </w14:textFill>
        </w:rPr>
      </w:pPr>
      <w:r>
        <w:rPr>
          <w:rFonts w:ascii="Times New Roman" w:hAnsi="Times New Roman"/>
          <w:b/>
          <w:color w:val="000000" w:themeColor="text1"/>
          <w:szCs w:val="28"/>
          <w14:textFill>
            <w14:solidFill>
              <w14:schemeClr w14:val="tx1"/>
            </w14:solidFill>
          </w14:textFill>
        </w:rPr>
        <w:t>评价分析：</w:t>
      </w:r>
      <w:r>
        <w:rPr>
          <w:rFonts w:ascii="Times New Roman" w:hAnsi="Times New Roman"/>
          <w:color w:val="000000" w:themeColor="text1"/>
          <w14:textFill>
            <w14:solidFill>
              <w14:schemeClr w14:val="tx1"/>
            </w14:solidFill>
          </w14:textFill>
        </w:rPr>
        <w:t>检查12项内容，全部合格，该单元评价为合格。</w:t>
      </w:r>
    </w:p>
    <w:p w14:paraId="096AADC9">
      <w:pPr>
        <w:pStyle w:val="4"/>
        <w:bidi w:val="0"/>
        <w:rPr>
          <w:lang w:val="en-US" w:eastAsia="en-US"/>
        </w:rPr>
      </w:pPr>
      <w:bookmarkStart w:id="303" w:name="_Toc21714"/>
      <w:bookmarkStart w:id="304" w:name="_Toc12120"/>
      <w:bookmarkStart w:id="305" w:name="_Toc214284036"/>
      <w:r>
        <w:rPr>
          <w:lang w:val="en-US" w:eastAsia="en-US"/>
        </w:rPr>
        <w:t>3.2.</w:t>
      </w:r>
      <w:r>
        <w:rPr>
          <w:rFonts w:hint="eastAsia"/>
          <w:lang w:val="en-US" w:eastAsia="zh-CN"/>
        </w:rPr>
        <w:t>4</w:t>
      </w:r>
      <w:r>
        <w:rPr>
          <w:lang w:val="en-US" w:eastAsia="en-US"/>
        </w:rPr>
        <w:t>单元小结</w:t>
      </w:r>
      <w:bookmarkEnd w:id="303"/>
      <w:bookmarkEnd w:id="304"/>
    </w:p>
    <w:p w14:paraId="22ADBD43">
      <w:pPr>
        <w:bidi w:val="0"/>
        <w:rPr>
          <w:color w:val="auto"/>
          <w:lang w:val="en-US" w:eastAsia="en-US"/>
        </w:rPr>
      </w:pPr>
      <w:r>
        <w:rPr>
          <w:color w:val="auto"/>
          <w:lang w:val="en-US" w:eastAsia="en-US"/>
        </w:rPr>
        <w:t>矿山</w:t>
      </w:r>
      <w:r>
        <w:rPr>
          <w:rFonts w:hint="eastAsia"/>
          <w:color w:val="auto"/>
          <w:lang w:val="en-US" w:eastAsia="zh-CN"/>
        </w:rPr>
        <w:t>基建</w:t>
      </w:r>
      <w:r>
        <w:rPr>
          <w:color w:val="auto"/>
          <w:lang w:val="en-US" w:eastAsia="en-US"/>
        </w:rPr>
        <w:t>按设计自上而下分台阶式开采，目前形成的平台宽度、台阶高度等参数符合设计的基本要求，对</w:t>
      </w:r>
      <w:r>
        <w:rPr>
          <w:rFonts w:hint="eastAsia"/>
          <w:color w:val="auto"/>
          <w:lang w:val="en-US" w:eastAsia="zh-CN"/>
        </w:rPr>
        <w:t>形成</w:t>
      </w:r>
      <w:r>
        <w:rPr>
          <w:color w:val="auto"/>
          <w:lang w:val="en-US" w:eastAsia="en-US"/>
        </w:rPr>
        <w:t>边坡</w:t>
      </w:r>
      <w:r>
        <w:rPr>
          <w:rFonts w:hint="eastAsia"/>
          <w:color w:val="auto"/>
          <w:lang w:val="en-US" w:eastAsia="zh-CN"/>
        </w:rPr>
        <w:t>检查</w:t>
      </w:r>
      <w:r>
        <w:rPr>
          <w:color w:val="auto"/>
          <w:lang w:val="en-US" w:eastAsia="en-US"/>
        </w:rPr>
        <w:t>，采场边界设置了安全防护围栏和安全警示标志。矿山圈定了爆破警戒线（300m）。</w:t>
      </w:r>
      <w:r>
        <w:rPr>
          <w:rFonts w:hint="eastAsia"/>
          <w:color w:val="auto"/>
          <w:lang w:val="en-US" w:eastAsia="zh-CN"/>
        </w:rPr>
        <w:t>与</w:t>
      </w:r>
      <w:r>
        <w:rPr>
          <w:rFonts w:hint="eastAsia"/>
          <w:color w:val="auto"/>
          <w:lang w:val="en-US" w:eastAsia="en-US"/>
        </w:rPr>
        <w:t>文山天材爆破股份有限公司</w:t>
      </w:r>
      <w:r>
        <w:rPr>
          <w:color w:val="auto"/>
          <w:lang w:val="en-US" w:eastAsia="en-US"/>
        </w:rPr>
        <w:t>签订了爆破工程服务合同，爆破物品由民爆公司运送到矿区，爆破作业由民爆公司（具有爆破资质）组织实施，配置有警示旗、喇叭、警戒带。</w:t>
      </w:r>
      <w:r>
        <w:rPr>
          <w:rFonts w:hint="eastAsia"/>
          <w:color w:val="auto"/>
          <w:lang w:val="en-US" w:eastAsia="zh-CN"/>
        </w:rPr>
        <w:t>铲装作业设备利旧，符合设计要求。</w:t>
      </w:r>
      <w:r>
        <w:rPr>
          <w:color w:val="auto"/>
          <w:lang w:val="en-US" w:eastAsia="en-US"/>
        </w:rPr>
        <w:t>经</w:t>
      </w:r>
      <w:r>
        <w:rPr>
          <w:rFonts w:hint="eastAsia"/>
          <w:color w:val="auto"/>
          <w:lang w:val="en-US" w:eastAsia="zh-CN"/>
        </w:rPr>
        <w:t>对</w:t>
      </w:r>
      <w:r>
        <w:rPr>
          <w:color w:val="auto"/>
        </w:rPr>
        <w:t>露天采场</w:t>
      </w:r>
      <w:r>
        <w:rPr>
          <w:rFonts w:hint="eastAsia"/>
          <w:color w:val="auto"/>
          <w:lang w:val="en-US" w:eastAsia="zh-CN"/>
        </w:rPr>
        <w:t>子单元、</w:t>
      </w:r>
      <w:r>
        <w:rPr>
          <w:color w:val="auto"/>
          <w:lang w:val="en-US" w:eastAsia="en-US"/>
        </w:rPr>
        <w:t>采剥工艺子单</w:t>
      </w:r>
      <w:r>
        <w:rPr>
          <w:rFonts w:hint="eastAsia"/>
          <w:color w:val="auto"/>
          <w:lang w:val="en-US" w:eastAsia="zh-CN"/>
        </w:rPr>
        <w:t>元、</w:t>
      </w:r>
      <w:r>
        <w:rPr>
          <w:color w:val="auto"/>
        </w:rPr>
        <w:t>铲装作业</w:t>
      </w:r>
      <w:r>
        <w:rPr>
          <w:rFonts w:hint="eastAsia"/>
          <w:color w:val="auto"/>
          <w:lang w:val="en-US" w:eastAsia="zh-CN"/>
        </w:rPr>
        <w:t>子单元分析，</w:t>
      </w:r>
      <w:r>
        <w:rPr>
          <w:color w:val="auto"/>
          <w:lang w:val="en-US" w:eastAsia="en-US"/>
        </w:rPr>
        <w:t>评价认为露天采场单元满足安全生产条件。</w:t>
      </w:r>
    </w:p>
    <w:p w14:paraId="39430B46">
      <w:pPr>
        <w:pStyle w:val="3"/>
      </w:pPr>
      <w:bookmarkStart w:id="306" w:name="_Toc4154"/>
      <w:bookmarkStart w:id="307" w:name="_Toc16464"/>
      <w:r>
        <w:t>3.3采场防排水</w:t>
      </w:r>
      <w:bookmarkEnd w:id="305"/>
      <w:bookmarkEnd w:id="306"/>
      <w:bookmarkEnd w:id="307"/>
    </w:p>
    <w:p w14:paraId="5C143CA4">
      <w:pPr>
        <w:pStyle w:val="4"/>
      </w:pPr>
      <w:bookmarkStart w:id="308" w:name="_Toc32072"/>
      <w:bookmarkStart w:id="309" w:name="_Toc214284037"/>
      <w:bookmarkStart w:id="310" w:name="_Toc13651"/>
      <w:r>
        <w:t>3.3.1采场防排水</w:t>
      </w:r>
      <w:r>
        <w:rPr>
          <w:rFonts w:hint="eastAsia"/>
          <w:lang w:val="en-US" w:eastAsia="zh-CN"/>
        </w:rPr>
        <w:t>系统</w:t>
      </w:r>
      <w:r>
        <w:t>符合性评价</w:t>
      </w:r>
      <w:bookmarkEnd w:id="308"/>
      <w:bookmarkEnd w:id="309"/>
      <w:bookmarkEnd w:id="310"/>
    </w:p>
    <w:p w14:paraId="193BC092">
      <w:pPr>
        <w:bidi w:val="0"/>
        <w:rPr>
          <w:rFonts w:hint="eastAsia"/>
          <w:lang w:val="en-US" w:eastAsia="zh-CN"/>
        </w:rPr>
      </w:pPr>
      <w:r>
        <w:rPr>
          <w:rFonts w:hint="eastAsia"/>
          <w:lang w:val="en-US" w:eastAsia="zh-CN"/>
        </w:rPr>
        <w:t>1、按</w:t>
      </w:r>
      <w:r>
        <w:rPr>
          <w:rFonts w:hint="eastAsia"/>
          <w:lang w:eastAsia="zh-CN"/>
        </w:rPr>
        <w:t>安监</w:t>
      </w:r>
      <w:r>
        <w:rPr>
          <w:rFonts w:hint="eastAsia"/>
        </w:rPr>
        <w:t>总管一〔2016〕14号</w:t>
      </w:r>
      <w:r>
        <w:rPr>
          <w:rFonts w:hint="eastAsia"/>
          <w:lang w:eastAsia="zh-CN"/>
        </w:rPr>
        <w:t>金属非金属</w:t>
      </w:r>
      <w:r>
        <w:rPr>
          <w:rFonts w:hint="eastAsia"/>
          <w:lang w:val="en-US" w:eastAsia="zh-CN"/>
        </w:rPr>
        <w:t>露天矿山验收表检查项评价</w:t>
      </w:r>
    </w:p>
    <w:p w14:paraId="7D2284C5">
      <w:pPr>
        <w:bidi w:val="0"/>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《金属非金属露天矿山建设项目安全设施竣工验收表》，采用检查表对矿山建设企业的程序符合性进行检查，对露天采场子单元</w:t>
      </w:r>
      <w:r>
        <w:rPr>
          <w:rFonts w:hint="eastAsia"/>
          <w:lang w:val="en-US" w:eastAsia="zh-CN"/>
        </w:rPr>
        <w:t>符合</w:t>
      </w:r>
      <w:r>
        <w:t>性进行评价。</w:t>
      </w:r>
    </w:p>
    <w:p w14:paraId="24DD65C1">
      <w:pPr>
        <w:pStyle w:val="73"/>
        <w:bidi w:val="0"/>
      </w:pPr>
      <w:r>
        <w:t>表3</w:t>
      </w:r>
      <w:r>
        <w:rPr>
          <w:rFonts w:hint="eastAsia"/>
          <w:lang w:val="en-US" w:eastAsia="zh-CN"/>
        </w:rPr>
        <w:t>.3</w:t>
      </w:r>
      <w:r>
        <w:t>-</w:t>
      </w:r>
      <w:r>
        <w:rPr>
          <w:rFonts w:hint="eastAsia"/>
          <w:lang w:val="en-US" w:eastAsia="zh-CN"/>
        </w:rPr>
        <w:t>2</w:t>
      </w:r>
      <w:r>
        <w:t>露天采场防排水符合性</w:t>
      </w:r>
      <w:r>
        <w:rPr>
          <w:rFonts w:hint="eastAsia"/>
          <w:lang w:eastAsia="zh-CN"/>
        </w:rPr>
        <w:t>竣工验收</w:t>
      </w:r>
      <w:r>
        <w:t>检查表</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5"/>
        <w:gridCol w:w="1548"/>
        <w:gridCol w:w="653"/>
        <w:gridCol w:w="668"/>
        <w:gridCol w:w="4153"/>
        <w:gridCol w:w="1203"/>
        <w:gridCol w:w="681"/>
      </w:tblGrid>
      <w:tr w14:paraId="00479E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blHeader/>
          <w:jc w:val="center"/>
        </w:trPr>
        <w:tc>
          <w:tcPr>
            <w:tcW w:w="347" w:type="pct"/>
            <w:vMerge w:val="restart"/>
            <w:noWrap w:val="0"/>
            <w:vAlign w:val="center"/>
          </w:tcPr>
          <w:p w14:paraId="38513611">
            <w:pPr>
              <w:pStyle w:val="56"/>
              <w:bidi w:val="0"/>
            </w:pPr>
            <w:r>
              <w:t>序号</w:t>
            </w:r>
          </w:p>
        </w:tc>
        <w:tc>
          <w:tcPr>
            <w:tcW w:w="808" w:type="pct"/>
            <w:vMerge w:val="restart"/>
            <w:noWrap w:val="0"/>
            <w:vAlign w:val="center"/>
          </w:tcPr>
          <w:p w14:paraId="2C090DDC">
            <w:pPr>
              <w:pStyle w:val="56"/>
              <w:bidi w:val="0"/>
            </w:pPr>
            <w:r>
              <w:t>检查项目</w:t>
            </w:r>
          </w:p>
        </w:tc>
        <w:tc>
          <w:tcPr>
            <w:tcW w:w="341" w:type="pct"/>
            <w:vMerge w:val="restart"/>
            <w:noWrap w:val="0"/>
            <w:vAlign w:val="center"/>
          </w:tcPr>
          <w:p w14:paraId="2ED4E649">
            <w:pPr>
              <w:pStyle w:val="56"/>
              <w:bidi w:val="0"/>
            </w:pPr>
            <w:r>
              <w:t>安全设施类别</w:t>
            </w:r>
          </w:p>
        </w:tc>
        <w:tc>
          <w:tcPr>
            <w:tcW w:w="349" w:type="pct"/>
            <w:vMerge w:val="restart"/>
            <w:noWrap w:val="0"/>
            <w:vAlign w:val="center"/>
          </w:tcPr>
          <w:p w14:paraId="593F430A">
            <w:pPr>
              <w:pStyle w:val="56"/>
              <w:bidi w:val="0"/>
              <w:rPr>
                <w:rFonts w:hint="eastAsia"/>
              </w:rPr>
            </w:pPr>
            <w:r>
              <w:t>检查</w:t>
            </w:r>
          </w:p>
          <w:p w14:paraId="5A3191BB">
            <w:pPr>
              <w:pStyle w:val="56"/>
              <w:bidi w:val="0"/>
            </w:pPr>
            <w:r>
              <w:t>类别</w:t>
            </w:r>
          </w:p>
        </w:tc>
        <w:tc>
          <w:tcPr>
            <w:tcW w:w="2169" w:type="pct"/>
            <w:vMerge w:val="restart"/>
            <w:noWrap w:val="0"/>
            <w:vAlign w:val="center"/>
          </w:tcPr>
          <w:p w14:paraId="00F868EF">
            <w:pPr>
              <w:pStyle w:val="56"/>
              <w:bidi w:val="0"/>
            </w:pPr>
            <w:r>
              <w:t>检查内容、检查方法</w:t>
            </w:r>
          </w:p>
        </w:tc>
        <w:tc>
          <w:tcPr>
            <w:tcW w:w="628" w:type="pct"/>
            <w:vMerge w:val="restart"/>
            <w:noWrap w:val="0"/>
            <w:vAlign w:val="center"/>
          </w:tcPr>
          <w:p w14:paraId="62E20C20">
            <w:pPr>
              <w:pStyle w:val="56"/>
              <w:bidi w:val="0"/>
              <w:rPr>
                <w:rFonts w:hint="default" w:eastAsia="宋体"/>
                <w:lang w:val="en-US" w:eastAsia="zh-CN"/>
              </w:rPr>
            </w:pPr>
            <w:r>
              <w:rPr>
                <w:rFonts w:hint="eastAsia"/>
                <w:lang w:val="en-US" w:eastAsia="zh-CN"/>
              </w:rPr>
              <w:t>检查情况</w:t>
            </w:r>
          </w:p>
        </w:tc>
        <w:tc>
          <w:tcPr>
            <w:tcW w:w="355" w:type="pct"/>
            <w:vMerge w:val="restart"/>
            <w:noWrap w:val="0"/>
            <w:vAlign w:val="center"/>
          </w:tcPr>
          <w:p w14:paraId="0D8BD84E">
            <w:pPr>
              <w:pStyle w:val="56"/>
              <w:bidi w:val="0"/>
            </w:pPr>
            <w:r>
              <w:t>检查结果</w:t>
            </w:r>
          </w:p>
        </w:tc>
      </w:tr>
      <w:tr w14:paraId="37695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2" w:hRule="atLeast"/>
          <w:tblHeader/>
          <w:jc w:val="center"/>
        </w:trPr>
        <w:tc>
          <w:tcPr>
            <w:tcW w:w="347" w:type="pct"/>
            <w:vMerge w:val="continue"/>
            <w:noWrap w:val="0"/>
            <w:vAlign w:val="center"/>
          </w:tcPr>
          <w:p w14:paraId="11D02E1F">
            <w:pPr>
              <w:spacing w:line="280" w:lineRule="exact"/>
              <w:jc w:val="center"/>
              <w:rPr>
                <w:b/>
                <w:sz w:val="24"/>
              </w:rPr>
            </w:pPr>
          </w:p>
        </w:tc>
        <w:tc>
          <w:tcPr>
            <w:tcW w:w="808" w:type="pct"/>
            <w:vMerge w:val="continue"/>
            <w:noWrap w:val="0"/>
            <w:vAlign w:val="center"/>
          </w:tcPr>
          <w:p w14:paraId="5835B23E">
            <w:pPr>
              <w:spacing w:line="280" w:lineRule="exact"/>
              <w:jc w:val="center"/>
              <w:rPr>
                <w:b/>
                <w:sz w:val="24"/>
              </w:rPr>
            </w:pPr>
          </w:p>
        </w:tc>
        <w:tc>
          <w:tcPr>
            <w:tcW w:w="341" w:type="pct"/>
            <w:vMerge w:val="continue"/>
            <w:noWrap w:val="0"/>
            <w:vAlign w:val="top"/>
          </w:tcPr>
          <w:p w14:paraId="00D3E365">
            <w:pPr>
              <w:spacing w:line="280" w:lineRule="exact"/>
              <w:jc w:val="center"/>
              <w:rPr>
                <w:b/>
                <w:sz w:val="24"/>
              </w:rPr>
            </w:pPr>
          </w:p>
        </w:tc>
        <w:tc>
          <w:tcPr>
            <w:tcW w:w="349" w:type="pct"/>
            <w:vMerge w:val="continue"/>
            <w:noWrap w:val="0"/>
            <w:vAlign w:val="center"/>
          </w:tcPr>
          <w:p w14:paraId="08502318">
            <w:pPr>
              <w:spacing w:line="280" w:lineRule="exact"/>
              <w:jc w:val="center"/>
              <w:rPr>
                <w:b/>
                <w:sz w:val="24"/>
              </w:rPr>
            </w:pPr>
          </w:p>
        </w:tc>
        <w:tc>
          <w:tcPr>
            <w:tcW w:w="2169" w:type="pct"/>
            <w:vMerge w:val="continue"/>
            <w:noWrap w:val="0"/>
            <w:vAlign w:val="center"/>
          </w:tcPr>
          <w:p w14:paraId="4D227A24">
            <w:pPr>
              <w:spacing w:line="280" w:lineRule="exact"/>
              <w:jc w:val="center"/>
              <w:rPr>
                <w:b/>
                <w:sz w:val="24"/>
              </w:rPr>
            </w:pPr>
          </w:p>
        </w:tc>
        <w:tc>
          <w:tcPr>
            <w:tcW w:w="628" w:type="pct"/>
            <w:vMerge w:val="continue"/>
            <w:noWrap w:val="0"/>
            <w:vAlign w:val="center"/>
          </w:tcPr>
          <w:p w14:paraId="39AA9174">
            <w:pPr>
              <w:spacing w:line="280" w:lineRule="exact"/>
              <w:jc w:val="center"/>
              <w:rPr>
                <w:b/>
                <w:sz w:val="24"/>
              </w:rPr>
            </w:pPr>
          </w:p>
        </w:tc>
        <w:tc>
          <w:tcPr>
            <w:tcW w:w="355" w:type="pct"/>
            <w:vMerge w:val="continue"/>
            <w:noWrap w:val="0"/>
            <w:vAlign w:val="center"/>
          </w:tcPr>
          <w:p w14:paraId="3260AB53">
            <w:pPr>
              <w:spacing w:line="280" w:lineRule="exact"/>
              <w:jc w:val="center"/>
              <w:rPr>
                <w:b/>
                <w:sz w:val="24"/>
              </w:rPr>
            </w:pPr>
          </w:p>
        </w:tc>
      </w:tr>
      <w:tr w14:paraId="6C050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jc w:val="center"/>
        </w:trPr>
        <w:tc>
          <w:tcPr>
            <w:tcW w:w="347" w:type="pct"/>
            <w:noWrap w:val="0"/>
            <w:vAlign w:val="center"/>
          </w:tcPr>
          <w:p w14:paraId="13FD3196">
            <w:pPr>
              <w:pStyle w:val="59"/>
              <w:bidi w:val="0"/>
            </w:pPr>
            <w:r>
              <w:t>1</w:t>
            </w:r>
          </w:p>
        </w:tc>
        <w:tc>
          <w:tcPr>
            <w:tcW w:w="808" w:type="pct"/>
            <w:noWrap w:val="0"/>
            <w:vAlign w:val="center"/>
          </w:tcPr>
          <w:p w14:paraId="20BB9C6B">
            <w:pPr>
              <w:pStyle w:val="59"/>
              <w:bidi w:val="0"/>
            </w:pPr>
            <w:r>
              <w:t>河流改道工程及河床加固</w:t>
            </w:r>
          </w:p>
        </w:tc>
        <w:tc>
          <w:tcPr>
            <w:tcW w:w="341" w:type="pct"/>
            <w:noWrap w:val="0"/>
            <w:vAlign w:val="center"/>
          </w:tcPr>
          <w:p w14:paraId="448C005A">
            <w:pPr>
              <w:pStyle w:val="59"/>
              <w:bidi w:val="0"/>
            </w:pPr>
          </w:p>
        </w:tc>
        <w:tc>
          <w:tcPr>
            <w:tcW w:w="349" w:type="pct"/>
            <w:noWrap w:val="0"/>
            <w:vAlign w:val="center"/>
          </w:tcPr>
          <w:p w14:paraId="0C97D736">
            <w:pPr>
              <w:pStyle w:val="59"/>
              <w:bidi w:val="0"/>
            </w:pPr>
          </w:p>
        </w:tc>
        <w:tc>
          <w:tcPr>
            <w:tcW w:w="2169" w:type="pct"/>
            <w:noWrap w:val="0"/>
            <w:vAlign w:val="center"/>
          </w:tcPr>
          <w:p w14:paraId="79056F70">
            <w:pPr>
              <w:pStyle w:val="59"/>
              <w:bidi w:val="0"/>
            </w:pPr>
          </w:p>
        </w:tc>
        <w:tc>
          <w:tcPr>
            <w:tcW w:w="628" w:type="pct"/>
            <w:noWrap w:val="0"/>
            <w:vAlign w:val="center"/>
          </w:tcPr>
          <w:p w14:paraId="3F5AE720">
            <w:pPr>
              <w:pStyle w:val="59"/>
              <w:bidi w:val="0"/>
            </w:pPr>
          </w:p>
        </w:tc>
        <w:tc>
          <w:tcPr>
            <w:tcW w:w="355" w:type="pct"/>
            <w:noWrap w:val="0"/>
            <w:vAlign w:val="center"/>
          </w:tcPr>
          <w:p w14:paraId="5587CA20">
            <w:pPr>
              <w:pStyle w:val="59"/>
              <w:bidi w:val="0"/>
            </w:pPr>
            <w:r>
              <w:rPr>
                <w:rFonts w:hint="eastAsia"/>
                <w:lang w:val="en-US" w:eastAsia="zh-CN"/>
              </w:rPr>
              <w:t>不涉及</w:t>
            </w:r>
          </w:p>
        </w:tc>
      </w:tr>
      <w:tr w14:paraId="147A53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5" w:hRule="atLeast"/>
          <w:jc w:val="center"/>
        </w:trPr>
        <w:tc>
          <w:tcPr>
            <w:tcW w:w="347" w:type="pct"/>
            <w:noWrap w:val="0"/>
            <w:vAlign w:val="center"/>
          </w:tcPr>
          <w:p w14:paraId="15479208">
            <w:pPr>
              <w:pStyle w:val="59"/>
              <w:bidi w:val="0"/>
            </w:pPr>
            <w:r>
              <w:t>1.1</w:t>
            </w:r>
          </w:p>
        </w:tc>
        <w:tc>
          <w:tcPr>
            <w:tcW w:w="808" w:type="pct"/>
            <w:noWrap w:val="0"/>
            <w:vAlign w:val="center"/>
          </w:tcPr>
          <w:p w14:paraId="2EFCC67F">
            <w:pPr>
              <w:pStyle w:val="59"/>
              <w:bidi w:val="0"/>
            </w:pPr>
            <w:r>
              <w:t>导流堤</w:t>
            </w:r>
          </w:p>
        </w:tc>
        <w:tc>
          <w:tcPr>
            <w:tcW w:w="341" w:type="pct"/>
            <w:noWrap w:val="0"/>
            <w:vAlign w:val="center"/>
          </w:tcPr>
          <w:p w14:paraId="4B90E12A">
            <w:pPr>
              <w:pStyle w:val="59"/>
              <w:bidi w:val="0"/>
            </w:pPr>
            <w:r>
              <w:t>基本</w:t>
            </w:r>
          </w:p>
        </w:tc>
        <w:tc>
          <w:tcPr>
            <w:tcW w:w="349" w:type="pct"/>
            <w:noWrap w:val="0"/>
            <w:vAlign w:val="center"/>
          </w:tcPr>
          <w:p w14:paraId="49B001F7">
            <w:pPr>
              <w:pStyle w:val="59"/>
              <w:bidi w:val="0"/>
            </w:pPr>
            <w:r>
              <w:t>△</w:t>
            </w:r>
          </w:p>
        </w:tc>
        <w:tc>
          <w:tcPr>
            <w:tcW w:w="2169" w:type="pct"/>
            <w:noWrap w:val="0"/>
            <w:vAlign w:val="center"/>
          </w:tcPr>
          <w:p w14:paraId="58ECAB25">
            <w:pPr>
              <w:pStyle w:val="59"/>
              <w:bidi w:val="0"/>
            </w:pPr>
            <w:r>
              <w:t>检查内容：导流堤的设置与参数是否与批复的安全设施设计一致。</w:t>
            </w:r>
          </w:p>
          <w:p w14:paraId="78E2EC8E">
            <w:pPr>
              <w:pStyle w:val="59"/>
              <w:bidi w:val="0"/>
            </w:pPr>
            <w:r>
              <w:t>检查方法：查阅安全设施验收评价报告、现场抽查。</w:t>
            </w:r>
          </w:p>
        </w:tc>
        <w:tc>
          <w:tcPr>
            <w:tcW w:w="628" w:type="pct"/>
            <w:noWrap w:val="0"/>
            <w:vAlign w:val="center"/>
          </w:tcPr>
          <w:p w14:paraId="7C438EE4">
            <w:pPr>
              <w:pStyle w:val="59"/>
              <w:bidi w:val="0"/>
            </w:pPr>
          </w:p>
        </w:tc>
        <w:tc>
          <w:tcPr>
            <w:tcW w:w="355" w:type="pct"/>
            <w:noWrap w:val="0"/>
            <w:vAlign w:val="center"/>
          </w:tcPr>
          <w:p w14:paraId="04B7F59D">
            <w:pPr>
              <w:pStyle w:val="59"/>
              <w:bidi w:val="0"/>
              <w:rPr>
                <w:rFonts w:hint="default"/>
                <w:lang w:val="en-US" w:eastAsia="zh-CN"/>
              </w:rPr>
            </w:pPr>
            <w:r>
              <w:rPr>
                <w:rFonts w:hint="eastAsia"/>
                <w:lang w:val="en-US" w:eastAsia="zh-CN"/>
              </w:rPr>
              <w:t>不涉及</w:t>
            </w:r>
          </w:p>
        </w:tc>
      </w:tr>
      <w:tr w14:paraId="666D1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1" w:hRule="atLeast"/>
          <w:jc w:val="center"/>
        </w:trPr>
        <w:tc>
          <w:tcPr>
            <w:tcW w:w="347" w:type="pct"/>
            <w:noWrap w:val="0"/>
            <w:vAlign w:val="center"/>
          </w:tcPr>
          <w:p w14:paraId="5CAE5199">
            <w:pPr>
              <w:pStyle w:val="59"/>
              <w:bidi w:val="0"/>
            </w:pPr>
            <w:r>
              <w:t>1.2</w:t>
            </w:r>
          </w:p>
        </w:tc>
        <w:tc>
          <w:tcPr>
            <w:tcW w:w="808" w:type="pct"/>
            <w:noWrap w:val="0"/>
            <w:vAlign w:val="center"/>
          </w:tcPr>
          <w:p w14:paraId="25816DBB">
            <w:pPr>
              <w:pStyle w:val="59"/>
              <w:bidi w:val="0"/>
            </w:pPr>
            <w:r>
              <w:t>明沟</w:t>
            </w:r>
          </w:p>
        </w:tc>
        <w:tc>
          <w:tcPr>
            <w:tcW w:w="341" w:type="pct"/>
            <w:noWrap w:val="0"/>
            <w:vAlign w:val="center"/>
          </w:tcPr>
          <w:p w14:paraId="0FE4F8A5">
            <w:pPr>
              <w:pStyle w:val="59"/>
              <w:bidi w:val="0"/>
            </w:pPr>
            <w:r>
              <w:t>基本</w:t>
            </w:r>
          </w:p>
        </w:tc>
        <w:tc>
          <w:tcPr>
            <w:tcW w:w="349" w:type="pct"/>
            <w:noWrap w:val="0"/>
            <w:vAlign w:val="center"/>
          </w:tcPr>
          <w:p w14:paraId="64417A09">
            <w:pPr>
              <w:pStyle w:val="59"/>
              <w:bidi w:val="0"/>
            </w:pPr>
            <w:r>
              <w:t>△</w:t>
            </w:r>
          </w:p>
        </w:tc>
        <w:tc>
          <w:tcPr>
            <w:tcW w:w="2169" w:type="pct"/>
            <w:noWrap w:val="0"/>
            <w:vAlign w:val="center"/>
          </w:tcPr>
          <w:p w14:paraId="6B4FBEB3">
            <w:pPr>
              <w:pStyle w:val="59"/>
              <w:bidi w:val="0"/>
            </w:pPr>
            <w:r>
              <w:t>检查内容：明沟的设置与参数是否与批复的安全设施设计一致。</w:t>
            </w:r>
          </w:p>
          <w:p w14:paraId="3E8840D0">
            <w:pPr>
              <w:pStyle w:val="59"/>
              <w:bidi w:val="0"/>
            </w:pPr>
            <w:r>
              <w:t>检查方法：查阅安全设施验收评价报告、现场抽查。</w:t>
            </w:r>
          </w:p>
        </w:tc>
        <w:tc>
          <w:tcPr>
            <w:tcW w:w="628" w:type="pct"/>
            <w:noWrap w:val="0"/>
            <w:vAlign w:val="center"/>
          </w:tcPr>
          <w:p w14:paraId="76D4F396">
            <w:pPr>
              <w:pStyle w:val="59"/>
              <w:bidi w:val="0"/>
            </w:pPr>
          </w:p>
        </w:tc>
        <w:tc>
          <w:tcPr>
            <w:tcW w:w="355" w:type="pct"/>
            <w:noWrap w:val="0"/>
            <w:vAlign w:val="center"/>
          </w:tcPr>
          <w:p w14:paraId="16B3C5E8">
            <w:pPr>
              <w:pStyle w:val="59"/>
              <w:bidi w:val="0"/>
            </w:pPr>
            <w:r>
              <w:rPr>
                <w:rFonts w:hint="eastAsia"/>
                <w:lang w:val="en-US" w:eastAsia="zh-CN"/>
              </w:rPr>
              <w:t>不涉及</w:t>
            </w:r>
          </w:p>
        </w:tc>
      </w:tr>
      <w:tr w14:paraId="758C7A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9" w:hRule="atLeast"/>
          <w:jc w:val="center"/>
        </w:trPr>
        <w:tc>
          <w:tcPr>
            <w:tcW w:w="347" w:type="pct"/>
            <w:noWrap w:val="0"/>
            <w:vAlign w:val="center"/>
          </w:tcPr>
          <w:p w14:paraId="6031EF28">
            <w:pPr>
              <w:pStyle w:val="59"/>
              <w:bidi w:val="0"/>
            </w:pPr>
            <w:r>
              <w:t>1.3</w:t>
            </w:r>
          </w:p>
        </w:tc>
        <w:tc>
          <w:tcPr>
            <w:tcW w:w="808" w:type="pct"/>
            <w:noWrap w:val="0"/>
            <w:vAlign w:val="center"/>
          </w:tcPr>
          <w:p w14:paraId="430A00CC">
            <w:pPr>
              <w:pStyle w:val="59"/>
              <w:bidi w:val="0"/>
            </w:pPr>
            <w:r>
              <w:t>隧洞</w:t>
            </w:r>
          </w:p>
        </w:tc>
        <w:tc>
          <w:tcPr>
            <w:tcW w:w="341" w:type="pct"/>
            <w:noWrap w:val="0"/>
            <w:vAlign w:val="center"/>
          </w:tcPr>
          <w:p w14:paraId="726C0618">
            <w:pPr>
              <w:pStyle w:val="59"/>
              <w:bidi w:val="0"/>
            </w:pPr>
            <w:r>
              <w:t>基本</w:t>
            </w:r>
          </w:p>
        </w:tc>
        <w:tc>
          <w:tcPr>
            <w:tcW w:w="349" w:type="pct"/>
            <w:noWrap w:val="0"/>
            <w:vAlign w:val="center"/>
          </w:tcPr>
          <w:p w14:paraId="7E2DEFC7">
            <w:pPr>
              <w:pStyle w:val="59"/>
              <w:bidi w:val="0"/>
            </w:pPr>
            <w:r>
              <w:t>△</w:t>
            </w:r>
          </w:p>
        </w:tc>
        <w:tc>
          <w:tcPr>
            <w:tcW w:w="2169" w:type="pct"/>
            <w:noWrap w:val="0"/>
            <w:vAlign w:val="center"/>
          </w:tcPr>
          <w:p w14:paraId="2CE774BE">
            <w:pPr>
              <w:pStyle w:val="59"/>
              <w:bidi w:val="0"/>
            </w:pPr>
            <w:r>
              <w:t>检查内容：隧洞的设置与参数是否与批复的安全设施设计一致。</w:t>
            </w:r>
          </w:p>
          <w:p w14:paraId="331C56A7">
            <w:pPr>
              <w:pStyle w:val="59"/>
              <w:bidi w:val="0"/>
            </w:pPr>
            <w:r>
              <w:t>检查方法：查阅安全设施验收评价报告、现场抽查。</w:t>
            </w:r>
          </w:p>
        </w:tc>
        <w:tc>
          <w:tcPr>
            <w:tcW w:w="628" w:type="pct"/>
            <w:noWrap w:val="0"/>
            <w:vAlign w:val="center"/>
          </w:tcPr>
          <w:p w14:paraId="76FA24BB">
            <w:pPr>
              <w:pStyle w:val="59"/>
              <w:bidi w:val="0"/>
            </w:pPr>
          </w:p>
        </w:tc>
        <w:tc>
          <w:tcPr>
            <w:tcW w:w="355" w:type="pct"/>
            <w:noWrap w:val="0"/>
            <w:vAlign w:val="center"/>
          </w:tcPr>
          <w:p w14:paraId="5C60C537">
            <w:pPr>
              <w:pStyle w:val="59"/>
              <w:bidi w:val="0"/>
            </w:pPr>
            <w:r>
              <w:rPr>
                <w:rFonts w:hint="eastAsia"/>
                <w:lang w:val="en-US" w:eastAsia="zh-CN"/>
              </w:rPr>
              <w:t>不涉及</w:t>
            </w:r>
          </w:p>
        </w:tc>
      </w:tr>
      <w:tr w14:paraId="3C27BA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347" w:type="pct"/>
            <w:noWrap w:val="0"/>
            <w:vAlign w:val="center"/>
          </w:tcPr>
          <w:p w14:paraId="488EFF96">
            <w:pPr>
              <w:pStyle w:val="59"/>
              <w:bidi w:val="0"/>
            </w:pPr>
            <w:r>
              <w:t>1.4</w:t>
            </w:r>
          </w:p>
        </w:tc>
        <w:tc>
          <w:tcPr>
            <w:tcW w:w="808" w:type="pct"/>
            <w:noWrap w:val="0"/>
            <w:vAlign w:val="center"/>
          </w:tcPr>
          <w:p w14:paraId="5353F044">
            <w:pPr>
              <w:pStyle w:val="59"/>
              <w:bidi w:val="0"/>
            </w:pPr>
            <w:r>
              <w:t>桥涵</w:t>
            </w:r>
          </w:p>
        </w:tc>
        <w:tc>
          <w:tcPr>
            <w:tcW w:w="341" w:type="pct"/>
            <w:noWrap w:val="0"/>
            <w:vAlign w:val="center"/>
          </w:tcPr>
          <w:p w14:paraId="282C1FDD">
            <w:pPr>
              <w:pStyle w:val="59"/>
              <w:bidi w:val="0"/>
            </w:pPr>
            <w:r>
              <w:t>基本</w:t>
            </w:r>
          </w:p>
        </w:tc>
        <w:tc>
          <w:tcPr>
            <w:tcW w:w="349" w:type="pct"/>
            <w:noWrap w:val="0"/>
            <w:vAlign w:val="center"/>
          </w:tcPr>
          <w:p w14:paraId="16CEBA3F">
            <w:pPr>
              <w:pStyle w:val="59"/>
              <w:bidi w:val="0"/>
            </w:pPr>
            <w:r>
              <w:t>△</w:t>
            </w:r>
          </w:p>
        </w:tc>
        <w:tc>
          <w:tcPr>
            <w:tcW w:w="2169" w:type="pct"/>
            <w:noWrap w:val="0"/>
            <w:vAlign w:val="center"/>
          </w:tcPr>
          <w:p w14:paraId="4C79819F">
            <w:pPr>
              <w:pStyle w:val="59"/>
              <w:bidi w:val="0"/>
            </w:pPr>
            <w:r>
              <w:t>检查内容：桥涵的设置与参数是否与批复的安全设施设计一致。</w:t>
            </w:r>
          </w:p>
          <w:p w14:paraId="54849D21">
            <w:pPr>
              <w:pStyle w:val="59"/>
              <w:bidi w:val="0"/>
            </w:pPr>
            <w:r>
              <w:t>检查方法：查阅安全设施验收评价报告、现场抽查。</w:t>
            </w:r>
          </w:p>
        </w:tc>
        <w:tc>
          <w:tcPr>
            <w:tcW w:w="628" w:type="pct"/>
            <w:noWrap w:val="0"/>
            <w:vAlign w:val="center"/>
          </w:tcPr>
          <w:p w14:paraId="28B335B8">
            <w:pPr>
              <w:pStyle w:val="59"/>
              <w:bidi w:val="0"/>
            </w:pPr>
          </w:p>
        </w:tc>
        <w:tc>
          <w:tcPr>
            <w:tcW w:w="355" w:type="pct"/>
            <w:noWrap w:val="0"/>
            <w:vAlign w:val="center"/>
          </w:tcPr>
          <w:p w14:paraId="5AA7675F">
            <w:pPr>
              <w:pStyle w:val="59"/>
              <w:bidi w:val="0"/>
            </w:pPr>
            <w:r>
              <w:rPr>
                <w:rFonts w:hint="eastAsia"/>
                <w:lang w:val="en-US" w:eastAsia="zh-CN"/>
              </w:rPr>
              <w:t>不涉及</w:t>
            </w:r>
          </w:p>
        </w:tc>
      </w:tr>
      <w:tr w14:paraId="27F61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noWrap w:val="0"/>
            <w:vAlign w:val="center"/>
          </w:tcPr>
          <w:p w14:paraId="109164C1">
            <w:pPr>
              <w:pStyle w:val="59"/>
              <w:bidi w:val="0"/>
            </w:pPr>
            <w:r>
              <w:t>1.5</w:t>
            </w:r>
          </w:p>
        </w:tc>
        <w:tc>
          <w:tcPr>
            <w:tcW w:w="808" w:type="pct"/>
            <w:noWrap w:val="0"/>
            <w:vAlign w:val="center"/>
          </w:tcPr>
          <w:p w14:paraId="646A02A8">
            <w:pPr>
              <w:pStyle w:val="59"/>
              <w:bidi w:val="0"/>
            </w:pPr>
            <w:r>
              <w:t>河床加固工程</w:t>
            </w:r>
          </w:p>
        </w:tc>
        <w:tc>
          <w:tcPr>
            <w:tcW w:w="341" w:type="pct"/>
            <w:noWrap w:val="0"/>
            <w:vAlign w:val="center"/>
          </w:tcPr>
          <w:p w14:paraId="65F1BE98">
            <w:pPr>
              <w:pStyle w:val="59"/>
              <w:bidi w:val="0"/>
            </w:pPr>
            <w:r>
              <w:t>基本</w:t>
            </w:r>
          </w:p>
        </w:tc>
        <w:tc>
          <w:tcPr>
            <w:tcW w:w="349" w:type="pct"/>
            <w:noWrap w:val="0"/>
            <w:vAlign w:val="center"/>
          </w:tcPr>
          <w:p w14:paraId="12C0D2AC">
            <w:pPr>
              <w:pStyle w:val="59"/>
              <w:bidi w:val="0"/>
            </w:pPr>
            <w:r>
              <w:t>△</w:t>
            </w:r>
          </w:p>
        </w:tc>
        <w:tc>
          <w:tcPr>
            <w:tcW w:w="2169" w:type="pct"/>
            <w:noWrap w:val="0"/>
            <w:vAlign w:val="center"/>
          </w:tcPr>
          <w:p w14:paraId="61B9F6DE">
            <w:pPr>
              <w:pStyle w:val="59"/>
              <w:bidi w:val="0"/>
            </w:pPr>
            <w:r>
              <w:t>检查内容：河床加固工程设置与参数是否与批复的安全设施设计一致。</w:t>
            </w:r>
          </w:p>
          <w:p w14:paraId="4A8DC992">
            <w:pPr>
              <w:pStyle w:val="59"/>
              <w:bidi w:val="0"/>
            </w:pPr>
            <w:r>
              <w:t>检查方法：查阅安全设施验收评价报告或现场抽查。</w:t>
            </w:r>
          </w:p>
        </w:tc>
        <w:tc>
          <w:tcPr>
            <w:tcW w:w="628" w:type="pct"/>
            <w:noWrap w:val="0"/>
            <w:vAlign w:val="center"/>
          </w:tcPr>
          <w:p w14:paraId="6FF758EC">
            <w:pPr>
              <w:pStyle w:val="59"/>
              <w:bidi w:val="0"/>
            </w:pPr>
          </w:p>
        </w:tc>
        <w:tc>
          <w:tcPr>
            <w:tcW w:w="355" w:type="pct"/>
            <w:noWrap w:val="0"/>
            <w:vAlign w:val="center"/>
          </w:tcPr>
          <w:p w14:paraId="704A2BD4">
            <w:pPr>
              <w:pStyle w:val="59"/>
              <w:bidi w:val="0"/>
            </w:pPr>
            <w:r>
              <w:rPr>
                <w:rFonts w:hint="eastAsia"/>
                <w:lang w:val="en-US" w:eastAsia="zh-CN"/>
              </w:rPr>
              <w:t>不涉及</w:t>
            </w:r>
          </w:p>
        </w:tc>
      </w:tr>
      <w:tr w14:paraId="2B8B49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47" w:type="pct"/>
            <w:noWrap w:val="0"/>
            <w:vAlign w:val="center"/>
          </w:tcPr>
          <w:p w14:paraId="6C202DE1">
            <w:pPr>
              <w:pStyle w:val="59"/>
              <w:bidi w:val="0"/>
            </w:pPr>
            <w:r>
              <w:t>2</w:t>
            </w:r>
          </w:p>
        </w:tc>
        <w:tc>
          <w:tcPr>
            <w:tcW w:w="808" w:type="pct"/>
            <w:noWrap w:val="0"/>
            <w:vAlign w:val="center"/>
          </w:tcPr>
          <w:p w14:paraId="3693DC97">
            <w:pPr>
              <w:pStyle w:val="59"/>
              <w:bidi w:val="0"/>
            </w:pPr>
            <w:r>
              <w:t>地表截排水工程</w:t>
            </w:r>
          </w:p>
        </w:tc>
        <w:tc>
          <w:tcPr>
            <w:tcW w:w="341" w:type="pct"/>
            <w:noWrap w:val="0"/>
            <w:vAlign w:val="center"/>
          </w:tcPr>
          <w:p w14:paraId="77E61DDC">
            <w:pPr>
              <w:pStyle w:val="59"/>
              <w:bidi w:val="0"/>
            </w:pPr>
          </w:p>
        </w:tc>
        <w:tc>
          <w:tcPr>
            <w:tcW w:w="349" w:type="pct"/>
            <w:noWrap w:val="0"/>
            <w:vAlign w:val="center"/>
          </w:tcPr>
          <w:p w14:paraId="00264022">
            <w:pPr>
              <w:pStyle w:val="59"/>
              <w:bidi w:val="0"/>
            </w:pPr>
          </w:p>
        </w:tc>
        <w:tc>
          <w:tcPr>
            <w:tcW w:w="2169" w:type="pct"/>
            <w:noWrap w:val="0"/>
            <w:vAlign w:val="center"/>
          </w:tcPr>
          <w:p w14:paraId="57DAB178">
            <w:pPr>
              <w:pStyle w:val="59"/>
              <w:bidi w:val="0"/>
            </w:pPr>
          </w:p>
        </w:tc>
        <w:tc>
          <w:tcPr>
            <w:tcW w:w="628" w:type="pct"/>
            <w:noWrap w:val="0"/>
            <w:vAlign w:val="center"/>
          </w:tcPr>
          <w:p w14:paraId="2D1C239D">
            <w:pPr>
              <w:pStyle w:val="59"/>
              <w:bidi w:val="0"/>
            </w:pPr>
          </w:p>
        </w:tc>
        <w:tc>
          <w:tcPr>
            <w:tcW w:w="355" w:type="pct"/>
            <w:noWrap w:val="0"/>
            <w:vAlign w:val="center"/>
          </w:tcPr>
          <w:p w14:paraId="5BB89389">
            <w:pPr>
              <w:pStyle w:val="59"/>
              <w:bidi w:val="0"/>
            </w:pPr>
          </w:p>
        </w:tc>
      </w:tr>
      <w:tr w14:paraId="6A2640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5" w:hRule="atLeast"/>
          <w:jc w:val="center"/>
        </w:trPr>
        <w:tc>
          <w:tcPr>
            <w:tcW w:w="347" w:type="pct"/>
            <w:noWrap w:val="0"/>
            <w:vAlign w:val="center"/>
          </w:tcPr>
          <w:p w14:paraId="40180EB2">
            <w:pPr>
              <w:pStyle w:val="59"/>
              <w:bidi w:val="0"/>
            </w:pPr>
            <w:r>
              <w:t>2.1</w:t>
            </w:r>
          </w:p>
        </w:tc>
        <w:tc>
          <w:tcPr>
            <w:tcW w:w="808" w:type="pct"/>
            <w:noWrap w:val="0"/>
            <w:vAlign w:val="center"/>
          </w:tcPr>
          <w:p w14:paraId="50338EEB">
            <w:pPr>
              <w:pStyle w:val="59"/>
              <w:bidi w:val="0"/>
            </w:pPr>
            <w:r>
              <w:t>地表截水沟</w:t>
            </w:r>
          </w:p>
        </w:tc>
        <w:tc>
          <w:tcPr>
            <w:tcW w:w="341" w:type="pct"/>
            <w:noWrap w:val="0"/>
            <w:vAlign w:val="center"/>
          </w:tcPr>
          <w:p w14:paraId="2BC3B3D6">
            <w:pPr>
              <w:pStyle w:val="59"/>
              <w:bidi w:val="0"/>
            </w:pPr>
            <w:r>
              <w:t>基本</w:t>
            </w:r>
          </w:p>
        </w:tc>
        <w:tc>
          <w:tcPr>
            <w:tcW w:w="349" w:type="pct"/>
            <w:noWrap w:val="0"/>
            <w:vAlign w:val="center"/>
          </w:tcPr>
          <w:p w14:paraId="15D04B30">
            <w:pPr>
              <w:pStyle w:val="59"/>
              <w:bidi w:val="0"/>
            </w:pPr>
            <w:r>
              <w:t>△</w:t>
            </w:r>
          </w:p>
        </w:tc>
        <w:tc>
          <w:tcPr>
            <w:tcW w:w="2169" w:type="pct"/>
            <w:noWrap w:val="0"/>
            <w:vAlign w:val="center"/>
          </w:tcPr>
          <w:p w14:paraId="32A470E9">
            <w:pPr>
              <w:pStyle w:val="59"/>
              <w:bidi w:val="0"/>
            </w:pPr>
            <w:r>
              <w:t>检查内容：地表截水沟的设置与参数是否与批复的安全设施设计一致。</w:t>
            </w:r>
          </w:p>
          <w:p w14:paraId="3634A914">
            <w:pPr>
              <w:pStyle w:val="59"/>
              <w:bidi w:val="0"/>
            </w:pPr>
            <w:r>
              <w:t>检查方法：查阅安全设施验收评价报告、现场抽查。</w:t>
            </w:r>
          </w:p>
        </w:tc>
        <w:tc>
          <w:tcPr>
            <w:tcW w:w="628" w:type="pct"/>
            <w:noWrap w:val="0"/>
            <w:vAlign w:val="center"/>
          </w:tcPr>
          <w:p w14:paraId="04AA7457">
            <w:pPr>
              <w:pStyle w:val="59"/>
              <w:bidi w:val="0"/>
              <w:rPr>
                <w:rFonts w:hint="default" w:eastAsia="宋体"/>
                <w:lang w:val="en-US" w:eastAsia="zh-CN"/>
              </w:rPr>
            </w:pPr>
            <w:r>
              <w:rPr>
                <w:rFonts w:hint="eastAsia"/>
                <w:lang w:val="en-US" w:eastAsia="zh-CN"/>
              </w:rPr>
              <w:t>未设计，无须设置。</w:t>
            </w:r>
          </w:p>
        </w:tc>
        <w:tc>
          <w:tcPr>
            <w:tcW w:w="355" w:type="pct"/>
            <w:noWrap w:val="0"/>
            <w:vAlign w:val="center"/>
          </w:tcPr>
          <w:p w14:paraId="6FE97DCF">
            <w:pPr>
              <w:pStyle w:val="59"/>
              <w:bidi w:val="0"/>
              <w:rPr>
                <w:rFonts w:hint="eastAsia" w:eastAsia="宋体"/>
                <w:lang w:val="en-US" w:eastAsia="zh-CN"/>
              </w:rPr>
            </w:pPr>
            <w:r>
              <w:rPr>
                <w:rFonts w:hint="eastAsia"/>
                <w:lang w:val="en-US" w:eastAsia="zh-CN"/>
              </w:rPr>
              <w:t>符合</w:t>
            </w:r>
          </w:p>
        </w:tc>
      </w:tr>
      <w:tr w14:paraId="4F9117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0" w:hRule="atLeast"/>
          <w:jc w:val="center"/>
        </w:trPr>
        <w:tc>
          <w:tcPr>
            <w:tcW w:w="347" w:type="pct"/>
            <w:noWrap w:val="0"/>
            <w:vAlign w:val="center"/>
          </w:tcPr>
          <w:p w14:paraId="01E149B0">
            <w:pPr>
              <w:pStyle w:val="59"/>
              <w:bidi w:val="0"/>
            </w:pPr>
            <w:r>
              <w:t>2.2</w:t>
            </w:r>
          </w:p>
        </w:tc>
        <w:tc>
          <w:tcPr>
            <w:tcW w:w="808" w:type="pct"/>
            <w:noWrap w:val="0"/>
            <w:vAlign w:val="center"/>
          </w:tcPr>
          <w:p w14:paraId="0A860EAE">
            <w:pPr>
              <w:pStyle w:val="59"/>
              <w:bidi w:val="0"/>
            </w:pPr>
            <w:r>
              <w:t>地表排洪沟（渠）</w:t>
            </w:r>
          </w:p>
        </w:tc>
        <w:tc>
          <w:tcPr>
            <w:tcW w:w="341" w:type="pct"/>
            <w:noWrap w:val="0"/>
            <w:vAlign w:val="center"/>
          </w:tcPr>
          <w:p w14:paraId="285C7C65">
            <w:pPr>
              <w:pStyle w:val="59"/>
              <w:bidi w:val="0"/>
            </w:pPr>
            <w:r>
              <w:t>基本</w:t>
            </w:r>
          </w:p>
        </w:tc>
        <w:tc>
          <w:tcPr>
            <w:tcW w:w="349" w:type="pct"/>
            <w:noWrap w:val="0"/>
            <w:vAlign w:val="center"/>
          </w:tcPr>
          <w:p w14:paraId="65D05D32">
            <w:pPr>
              <w:pStyle w:val="59"/>
              <w:bidi w:val="0"/>
            </w:pPr>
            <w:r>
              <w:t>△</w:t>
            </w:r>
          </w:p>
        </w:tc>
        <w:tc>
          <w:tcPr>
            <w:tcW w:w="2169" w:type="pct"/>
            <w:noWrap w:val="0"/>
            <w:vAlign w:val="center"/>
          </w:tcPr>
          <w:p w14:paraId="4C895419">
            <w:pPr>
              <w:pStyle w:val="59"/>
              <w:bidi w:val="0"/>
            </w:pPr>
            <w:r>
              <w:t>检查内容：地表排洪沟（渠）的设置与参数是否与批复的安全设施设计一致。</w:t>
            </w:r>
          </w:p>
          <w:p w14:paraId="6C71293C">
            <w:pPr>
              <w:pStyle w:val="59"/>
              <w:bidi w:val="0"/>
            </w:pPr>
            <w:r>
              <w:t>检查方法：查阅安全设施验收评价报告、现场抽查。</w:t>
            </w:r>
          </w:p>
        </w:tc>
        <w:tc>
          <w:tcPr>
            <w:tcW w:w="628" w:type="pct"/>
            <w:noWrap w:val="0"/>
            <w:vAlign w:val="center"/>
          </w:tcPr>
          <w:p w14:paraId="76827BDA">
            <w:pPr>
              <w:pStyle w:val="59"/>
              <w:bidi w:val="0"/>
            </w:pPr>
            <w:r>
              <w:rPr>
                <w:rFonts w:hint="eastAsia"/>
                <w:lang w:val="en-US" w:eastAsia="zh-CN"/>
              </w:rPr>
              <w:t>未设计，无须设置</w:t>
            </w:r>
          </w:p>
        </w:tc>
        <w:tc>
          <w:tcPr>
            <w:tcW w:w="355" w:type="pct"/>
            <w:noWrap w:val="0"/>
            <w:vAlign w:val="center"/>
          </w:tcPr>
          <w:p w14:paraId="5BABB692">
            <w:pPr>
              <w:pStyle w:val="59"/>
              <w:bidi w:val="0"/>
              <w:rPr>
                <w:rFonts w:hint="eastAsia" w:eastAsia="宋体"/>
                <w:lang w:val="en-US" w:eastAsia="zh-CN"/>
              </w:rPr>
            </w:pPr>
            <w:r>
              <w:rPr>
                <w:rFonts w:hint="eastAsia"/>
                <w:lang w:val="en-US" w:eastAsia="zh-CN"/>
              </w:rPr>
              <w:t>符合</w:t>
            </w:r>
          </w:p>
        </w:tc>
      </w:tr>
      <w:tr w14:paraId="4EB40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6" w:hRule="atLeast"/>
          <w:jc w:val="center"/>
        </w:trPr>
        <w:tc>
          <w:tcPr>
            <w:tcW w:w="347" w:type="pct"/>
            <w:noWrap w:val="0"/>
            <w:vAlign w:val="center"/>
          </w:tcPr>
          <w:p w14:paraId="6E36528D">
            <w:pPr>
              <w:pStyle w:val="59"/>
              <w:bidi w:val="0"/>
            </w:pPr>
            <w:r>
              <w:t>2.3</w:t>
            </w:r>
          </w:p>
        </w:tc>
        <w:tc>
          <w:tcPr>
            <w:tcW w:w="808" w:type="pct"/>
            <w:noWrap w:val="0"/>
            <w:vAlign w:val="center"/>
          </w:tcPr>
          <w:p w14:paraId="2EC4ED2C">
            <w:pPr>
              <w:pStyle w:val="59"/>
              <w:bidi w:val="0"/>
            </w:pPr>
            <w:r>
              <w:t>防洪堤</w:t>
            </w:r>
          </w:p>
        </w:tc>
        <w:tc>
          <w:tcPr>
            <w:tcW w:w="341" w:type="pct"/>
            <w:noWrap w:val="0"/>
            <w:vAlign w:val="center"/>
          </w:tcPr>
          <w:p w14:paraId="3385FC27">
            <w:pPr>
              <w:pStyle w:val="59"/>
              <w:bidi w:val="0"/>
            </w:pPr>
            <w:r>
              <w:t>基本</w:t>
            </w:r>
          </w:p>
        </w:tc>
        <w:tc>
          <w:tcPr>
            <w:tcW w:w="349" w:type="pct"/>
            <w:noWrap w:val="0"/>
            <w:vAlign w:val="center"/>
          </w:tcPr>
          <w:p w14:paraId="56BA208A">
            <w:pPr>
              <w:pStyle w:val="59"/>
              <w:bidi w:val="0"/>
            </w:pPr>
            <w:r>
              <w:t>△</w:t>
            </w:r>
          </w:p>
        </w:tc>
        <w:tc>
          <w:tcPr>
            <w:tcW w:w="2169" w:type="pct"/>
            <w:noWrap w:val="0"/>
            <w:vAlign w:val="center"/>
          </w:tcPr>
          <w:p w14:paraId="76B7B78C">
            <w:pPr>
              <w:pStyle w:val="59"/>
              <w:bidi w:val="0"/>
            </w:pPr>
            <w:r>
              <w:t>检查内容：防洪堤的设置与参数是否与批复的安全设施设计一致。</w:t>
            </w:r>
          </w:p>
          <w:p w14:paraId="6856EFEC">
            <w:pPr>
              <w:pStyle w:val="59"/>
              <w:bidi w:val="0"/>
            </w:pPr>
            <w:r>
              <w:t>检查方法：查阅安全设施验收评价报告、现场抽查。</w:t>
            </w:r>
          </w:p>
        </w:tc>
        <w:tc>
          <w:tcPr>
            <w:tcW w:w="628" w:type="pct"/>
            <w:noWrap w:val="0"/>
            <w:vAlign w:val="center"/>
          </w:tcPr>
          <w:p w14:paraId="4C60DE34">
            <w:pPr>
              <w:pStyle w:val="59"/>
              <w:bidi w:val="0"/>
            </w:pPr>
          </w:p>
        </w:tc>
        <w:tc>
          <w:tcPr>
            <w:tcW w:w="355" w:type="pct"/>
            <w:noWrap w:val="0"/>
            <w:vAlign w:val="center"/>
          </w:tcPr>
          <w:p w14:paraId="2340EE0B">
            <w:pPr>
              <w:pStyle w:val="59"/>
              <w:bidi w:val="0"/>
            </w:pPr>
            <w:r>
              <w:rPr>
                <w:rFonts w:hint="eastAsia"/>
                <w:lang w:val="en-US" w:eastAsia="zh-CN"/>
              </w:rPr>
              <w:t>不涉及</w:t>
            </w:r>
          </w:p>
        </w:tc>
      </w:tr>
      <w:tr w14:paraId="6C341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347" w:type="pct"/>
            <w:noWrap w:val="0"/>
            <w:vAlign w:val="center"/>
          </w:tcPr>
          <w:p w14:paraId="47B0C99D">
            <w:pPr>
              <w:pStyle w:val="59"/>
              <w:bidi w:val="0"/>
            </w:pPr>
            <w:r>
              <w:t>3</w:t>
            </w:r>
          </w:p>
        </w:tc>
        <w:tc>
          <w:tcPr>
            <w:tcW w:w="808" w:type="pct"/>
            <w:noWrap w:val="0"/>
            <w:vAlign w:val="center"/>
          </w:tcPr>
          <w:p w14:paraId="0D3375D3">
            <w:pPr>
              <w:pStyle w:val="59"/>
              <w:bidi w:val="0"/>
            </w:pPr>
            <w:r>
              <w:t>地下水疏/堵工程及设施</w:t>
            </w:r>
          </w:p>
        </w:tc>
        <w:tc>
          <w:tcPr>
            <w:tcW w:w="341" w:type="pct"/>
            <w:noWrap w:val="0"/>
            <w:vAlign w:val="center"/>
          </w:tcPr>
          <w:p w14:paraId="11E33B67">
            <w:pPr>
              <w:pStyle w:val="59"/>
              <w:bidi w:val="0"/>
            </w:pPr>
          </w:p>
        </w:tc>
        <w:tc>
          <w:tcPr>
            <w:tcW w:w="349" w:type="pct"/>
            <w:noWrap w:val="0"/>
            <w:vAlign w:val="center"/>
          </w:tcPr>
          <w:p w14:paraId="1B032973">
            <w:pPr>
              <w:pStyle w:val="59"/>
              <w:bidi w:val="0"/>
            </w:pPr>
          </w:p>
        </w:tc>
        <w:tc>
          <w:tcPr>
            <w:tcW w:w="2169" w:type="pct"/>
            <w:noWrap w:val="0"/>
            <w:vAlign w:val="center"/>
          </w:tcPr>
          <w:p w14:paraId="09FDEBBF">
            <w:pPr>
              <w:pStyle w:val="59"/>
              <w:bidi w:val="0"/>
            </w:pPr>
          </w:p>
        </w:tc>
        <w:tc>
          <w:tcPr>
            <w:tcW w:w="628" w:type="pct"/>
            <w:noWrap w:val="0"/>
            <w:vAlign w:val="center"/>
          </w:tcPr>
          <w:p w14:paraId="590CF21D">
            <w:pPr>
              <w:pStyle w:val="59"/>
              <w:bidi w:val="0"/>
            </w:pPr>
          </w:p>
        </w:tc>
        <w:tc>
          <w:tcPr>
            <w:tcW w:w="355" w:type="pct"/>
            <w:noWrap w:val="0"/>
            <w:vAlign w:val="center"/>
          </w:tcPr>
          <w:p w14:paraId="7AEC77D6">
            <w:pPr>
              <w:pStyle w:val="59"/>
              <w:bidi w:val="0"/>
            </w:pPr>
            <w:r>
              <w:rPr>
                <w:rFonts w:hint="eastAsia"/>
                <w:lang w:val="en-US" w:eastAsia="zh-CN"/>
              </w:rPr>
              <w:t>不涉及</w:t>
            </w:r>
          </w:p>
        </w:tc>
      </w:tr>
      <w:tr w14:paraId="362BA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78" w:hRule="atLeast"/>
          <w:jc w:val="center"/>
        </w:trPr>
        <w:tc>
          <w:tcPr>
            <w:tcW w:w="347" w:type="pct"/>
            <w:noWrap w:val="0"/>
            <w:vAlign w:val="center"/>
          </w:tcPr>
          <w:p w14:paraId="0794D8E7">
            <w:pPr>
              <w:pStyle w:val="59"/>
              <w:bidi w:val="0"/>
            </w:pPr>
            <w:r>
              <w:t>3.1</w:t>
            </w:r>
          </w:p>
        </w:tc>
        <w:tc>
          <w:tcPr>
            <w:tcW w:w="808" w:type="pct"/>
            <w:noWrap w:val="0"/>
            <w:vAlign w:val="center"/>
          </w:tcPr>
          <w:p w14:paraId="72EBE165">
            <w:pPr>
              <w:pStyle w:val="59"/>
              <w:bidi w:val="0"/>
            </w:pPr>
            <w:r>
              <w:t>疏干井</w:t>
            </w:r>
          </w:p>
        </w:tc>
        <w:tc>
          <w:tcPr>
            <w:tcW w:w="341" w:type="pct"/>
            <w:noWrap w:val="0"/>
            <w:vAlign w:val="center"/>
          </w:tcPr>
          <w:p w14:paraId="3790FA9B">
            <w:pPr>
              <w:pStyle w:val="59"/>
              <w:bidi w:val="0"/>
            </w:pPr>
            <w:r>
              <w:t>基本</w:t>
            </w:r>
          </w:p>
        </w:tc>
        <w:tc>
          <w:tcPr>
            <w:tcW w:w="349" w:type="pct"/>
            <w:noWrap w:val="0"/>
            <w:vAlign w:val="center"/>
          </w:tcPr>
          <w:p w14:paraId="0C008F80">
            <w:pPr>
              <w:pStyle w:val="59"/>
              <w:bidi w:val="0"/>
            </w:pPr>
            <w:r>
              <w:t>△</w:t>
            </w:r>
          </w:p>
        </w:tc>
        <w:tc>
          <w:tcPr>
            <w:tcW w:w="2169" w:type="pct"/>
            <w:noWrap w:val="0"/>
            <w:vAlign w:val="center"/>
          </w:tcPr>
          <w:p w14:paraId="5A767C21">
            <w:pPr>
              <w:pStyle w:val="59"/>
              <w:bidi w:val="0"/>
            </w:pPr>
            <w:r>
              <w:t>检查内容：疏干井布置形式、孔径、孔数、深度、间距、过滤器类型、抽水设备及泵房等辅助设施是否与批复的安全设施设计一致。</w:t>
            </w:r>
          </w:p>
          <w:p w14:paraId="735D37C7">
            <w:pPr>
              <w:pStyle w:val="59"/>
              <w:bidi w:val="0"/>
            </w:pPr>
            <w:r>
              <w:t>检查方法：查阅安全设施验收评价报告、现场抽查。</w:t>
            </w:r>
          </w:p>
        </w:tc>
        <w:tc>
          <w:tcPr>
            <w:tcW w:w="628" w:type="pct"/>
            <w:noWrap w:val="0"/>
            <w:vAlign w:val="center"/>
          </w:tcPr>
          <w:p w14:paraId="12C942AC">
            <w:pPr>
              <w:pStyle w:val="59"/>
              <w:bidi w:val="0"/>
            </w:pPr>
          </w:p>
        </w:tc>
        <w:tc>
          <w:tcPr>
            <w:tcW w:w="355" w:type="pct"/>
            <w:noWrap w:val="0"/>
            <w:vAlign w:val="center"/>
          </w:tcPr>
          <w:p w14:paraId="20320B60">
            <w:pPr>
              <w:pStyle w:val="59"/>
              <w:bidi w:val="0"/>
            </w:pPr>
            <w:r>
              <w:rPr>
                <w:rFonts w:hint="eastAsia"/>
                <w:lang w:val="en-US" w:eastAsia="zh-CN"/>
              </w:rPr>
              <w:t>不涉及</w:t>
            </w:r>
          </w:p>
        </w:tc>
      </w:tr>
      <w:tr w14:paraId="39E9B3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97" w:hRule="atLeast"/>
          <w:jc w:val="center"/>
        </w:trPr>
        <w:tc>
          <w:tcPr>
            <w:tcW w:w="347" w:type="pct"/>
            <w:noWrap w:val="0"/>
            <w:vAlign w:val="center"/>
          </w:tcPr>
          <w:p w14:paraId="193ED3CD">
            <w:pPr>
              <w:pStyle w:val="59"/>
              <w:bidi w:val="0"/>
            </w:pPr>
            <w:r>
              <w:t>3.2</w:t>
            </w:r>
          </w:p>
        </w:tc>
        <w:tc>
          <w:tcPr>
            <w:tcW w:w="808" w:type="pct"/>
            <w:noWrap w:val="0"/>
            <w:vAlign w:val="center"/>
          </w:tcPr>
          <w:p w14:paraId="2F24B705">
            <w:pPr>
              <w:pStyle w:val="59"/>
              <w:bidi w:val="0"/>
            </w:pPr>
            <w:r>
              <w:t>放水孔</w:t>
            </w:r>
          </w:p>
        </w:tc>
        <w:tc>
          <w:tcPr>
            <w:tcW w:w="341" w:type="pct"/>
            <w:noWrap w:val="0"/>
            <w:vAlign w:val="center"/>
          </w:tcPr>
          <w:p w14:paraId="7CC67C9B">
            <w:pPr>
              <w:pStyle w:val="59"/>
              <w:bidi w:val="0"/>
            </w:pPr>
            <w:r>
              <w:t>基本</w:t>
            </w:r>
          </w:p>
        </w:tc>
        <w:tc>
          <w:tcPr>
            <w:tcW w:w="349" w:type="pct"/>
            <w:noWrap w:val="0"/>
            <w:vAlign w:val="center"/>
          </w:tcPr>
          <w:p w14:paraId="2E266A05">
            <w:pPr>
              <w:pStyle w:val="59"/>
              <w:bidi w:val="0"/>
            </w:pPr>
            <w:r>
              <w:t>△</w:t>
            </w:r>
          </w:p>
        </w:tc>
        <w:tc>
          <w:tcPr>
            <w:tcW w:w="2169" w:type="pct"/>
            <w:noWrap w:val="0"/>
            <w:vAlign w:val="center"/>
          </w:tcPr>
          <w:p w14:paraId="150A955F">
            <w:pPr>
              <w:pStyle w:val="59"/>
              <w:bidi w:val="0"/>
            </w:pPr>
            <w:r>
              <w:t>检查内容：放水孔的布置形式、孔径、孔数、深度及孔口装置等是否与批复的安全设施设计一致。</w:t>
            </w:r>
          </w:p>
          <w:p w14:paraId="5C1E117B">
            <w:pPr>
              <w:pStyle w:val="59"/>
              <w:bidi w:val="0"/>
            </w:pPr>
            <w:r>
              <w:t>检查方法：查阅安全设施验收评价报告、现场抽查。</w:t>
            </w:r>
          </w:p>
        </w:tc>
        <w:tc>
          <w:tcPr>
            <w:tcW w:w="628" w:type="pct"/>
            <w:noWrap w:val="0"/>
            <w:vAlign w:val="center"/>
          </w:tcPr>
          <w:p w14:paraId="321EA7D8">
            <w:pPr>
              <w:pStyle w:val="59"/>
              <w:bidi w:val="0"/>
            </w:pPr>
          </w:p>
        </w:tc>
        <w:tc>
          <w:tcPr>
            <w:tcW w:w="355" w:type="pct"/>
            <w:noWrap w:val="0"/>
            <w:vAlign w:val="center"/>
          </w:tcPr>
          <w:p w14:paraId="0D4074BB">
            <w:pPr>
              <w:pStyle w:val="59"/>
              <w:bidi w:val="0"/>
            </w:pPr>
            <w:r>
              <w:rPr>
                <w:rFonts w:hint="eastAsia"/>
                <w:lang w:val="en-US" w:eastAsia="zh-CN"/>
              </w:rPr>
              <w:t>不涉及</w:t>
            </w:r>
          </w:p>
        </w:tc>
      </w:tr>
      <w:tr w14:paraId="486F9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1" w:hRule="atLeast"/>
          <w:jc w:val="center"/>
        </w:trPr>
        <w:tc>
          <w:tcPr>
            <w:tcW w:w="347" w:type="pct"/>
            <w:noWrap w:val="0"/>
            <w:vAlign w:val="center"/>
          </w:tcPr>
          <w:p w14:paraId="6DD38C87">
            <w:pPr>
              <w:pStyle w:val="59"/>
              <w:bidi w:val="0"/>
            </w:pPr>
            <w:r>
              <w:t>3.3</w:t>
            </w:r>
          </w:p>
        </w:tc>
        <w:tc>
          <w:tcPr>
            <w:tcW w:w="808" w:type="pct"/>
            <w:noWrap w:val="0"/>
            <w:vAlign w:val="center"/>
          </w:tcPr>
          <w:p w14:paraId="06090386">
            <w:pPr>
              <w:pStyle w:val="59"/>
              <w:bidi w:val="0"/>
            </w:pPr>
            <w:r>
              <w:t>疏干巷道</w:t>
            </w:r>
          </w:p>
        </w:tc>
        <w:tc>
          <w:tcPr>
            <w:tcW w:w="341" w:type="pct"/>
            <w:noWrap w:val="0"/>
            <w:vAlign w:val="center"/>
          </w:tcPr>
          <w:p w14:paraId="32E267E2">
            <w:pPr>
              <w:pStyle w:val="59"/>
              <w:bidi w:val="0"/>
            </w:pPr>
            <w:r>
              <w:t>基本</w:t>
            </w:r>
          </w:p>
        </w:tc>
        <w:tc>
          <w:tcPr>
            <w:tcW w:w="349" w:type="pct"/>
            <w:noWrap w:val="0"/>
            <w:vAlign w:val="center"/>
          </w:tcPr>
          <w:p w14:paraId="1F775D12">
            <w:pPr>
              <w:pStyle w:val="59"/>
              <w:bidi w:val="0"/>
            </w:pPr>
            <w:r>
              <w:t>△</w:t>
            </w:r>
          </w:p>
        </w:tc>
        <w:tc>
          <w:tcPr>
            <w:tcW w:w="2169" w:type="pct"/>
            <w:noWrap w:val="0"/>
            <w:vAlign w:val="center"/>
          </w:tcPr>
          <w:p w14:paraId="46385570">
            <w:pPr>
              <w:pStyle w:val="59"/>
              <w:bidi w:val="0"/>
            </w:pPr>
            <w:r>
              <w:t>检查内容：疏干巷道的布置、断面尺寸、纵坡度、水沟等是否与批复的安全设施设计一致。</w:t>
            </w:r>
          </w:p>
          <w:p w14:paraId="0A602F7A">
            <w:pPr>
              <w:pStyle w:val="59"/>
              <w:bidi w:val="0"/>
            </w:pPr>
            <w:r>
              <w:t>检查方法：查阅安全设施验收评价报告、现场抽查。</w:t>
            </w:r>
          </w:p>
        </w:tc>
        <w:tc>
          <w:tcPr>
            <w:tcW w:w="628" w:type="pct"/>
            <w:noWrap w:val="0"/>
            <w:vAlign w:val="center"/>
          </w:tcPr>
          <w:p w14:paraId="0FC988A8">
            <w:pPr>
              <w:pStyle w:val="59"/>
              <w:bidi w:val="0"/>
            </w:pPr>
          </w:p>
        </w:tc>
        <w:tc>
          <w:tcPr>
            <w:tcW w:w="355" w:type="pct"/>
            <w:noWrap w:val="0"/>
            <w:vAlign w:val="center"/>
          </w:tcPr>
          <w:p w14:paraId="76ACA289">
            <w:pPr>
              <w:pStyle w:val="59"/>
              <w:bidi w:val="0"/>
            </w:pPr>
            <w:r>
              <w:rPr>
                <w:rFonts w:hint="eastAsia"/>
                <w:lang w:val="en-US" w:eastAsia="zh-CN"/>
              </w:rPr>
              <w:t>不涉及</w:t>
            </w:r>
          </w:p>
        </w:tc>
      </w:tr>
      <w:tr w14:paraId="71CE5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noWrap w:val="0"/>
            <w:vAlign w:val="center"/>
          </w:tcPr>
          <w:p w14:paraId="6759447E">
            <w:pPr>
              <w:pStyle w:val="59"/>
              <w:bidi w:val="0"/>
            </w:pPr>
            <w:r>
              <w:t>3.4</w:t>
            </w:r>
          </w:p>
        </w:tc>
        <w:tc>
          <w:tcPr>
            <w:tcW w:w="808" w:type="pct"/>
            <w:noWrap w:val="0"/>
            <w:vAlign w:val="center"/>
          </w:tcPr>
          <w:p w14:paraId="04862E85">
            <w:pPr>
              <w:pStyle w:val="59"/>
              <w:bidi w:val="0"/>
            </w:pPr>
            <w:r>
              <w:t>防渗帷幕</w:t>
            </w:r>
          </w:p>
        </w:tc>
        <w:tc>
          <w:tcPr>
            <w:tcW w:w="341" w:type="pct"/>
            <w:noWrap w:val="0"/>
            <w:vAlign w:val="center"/>
          </w:tcPr>
          <w:p w14:paraId="6729532A">
            <w:pPr>
              <w:pStyle w:val="59"/>
              <w:bidi w:val="0"/>
            </w:pPr>
            <w:r>
              <w:t>基本</w:t>
            </w:r>
          </w:p>
        </w:tc>
        <w:tc>
          <w:tcPr>
            <w:tcW w:w="349" w:type="pct"/>
            <w:noWrap w:val="0"/>
            <w:vAlign w:val="center"/>
          </w:tcPr>
          <w:p w14:paraId="36838315">
            <w:pPr>
              <w:pStyle w:val="59"/>
              <w:bidi w:val="0"/>
            </w:pPr>
            <w:r>
              <w:t>△</w:t>
            </w:r>
          </w:p>
        </w:tc>
        <w:tc>
          <w:tcPr>
            <w:tcW w:w="2169" w:type="pct"/>
            <w:noWrap w:val="0"/>
            <w:vAlign w:val="center"/>
          </w:tcPr>
          <w:p w14:paraId="186867BE">
            <w:pPr>
              <w:pStyle w:val="59"/>
              <w:bidi w:val="0"/>
            </w:pPr>
            <w:r>
              <w:t>检查内容：防渗帷幕的结构形式、布置形式、注浆工艺、注浆材料、帷幕厚度、堵水效果及检验方法等是否与批复的安全设施设计一致。</w:t>
            </w:r>
          </w:p>
          <w:p w14:paraId="26CFAF2C">
            <w:pPr>
              <w:pStyle w:val="59"/>
              <w:bidi w:val="0"/>
            </w:pPr>
            <w:r>
              <w:t>检查方法：查阅安全设施验收评价报告、现场抽查。</w:t>
            </w:r>
          </w:p>
        </w:tc>
        <w:tc>
          <w:tcPr>
            <w:tcW w:w="628" w:type="pct"/>
            <w:noWrap w:val="0"/>
            <w:vAlign w:val="center"/>
          </w:tcPr>
          <w:p w14:paraId="05BE107C">
            <w:pPr>
              <w:pStyle w:val="59"/>
              <w:bidi w:val="0"/>
            </w:pPr>
          </w:p>
        </w:tc>
        <w:tc>
          <w:tcPr>
            <w:tcW w:w="355" w:type="pct"/>
            <w:noWrap w:val="0"/>
            <w:vAlign w:val="center"/>
          </w:tcPr>
          <w:p w14:paraId="4F08312E">
            <w:pPr>
              <w:pStyle w:val="59"/>
              <w:bidi w:val="0"/>
            </w:pPr>
            <w:r>
              <w:rPr>
                <w:rFonts w:hint="eastAsia"/>
                <w:lang w:val="en-US" w:eastAsia="zh-CN"/>
              </w:rPr>
              <w:t>不涉及</w:t>
            </w:r>
          </w:p>
        </w:tc>
      </w:tr>
      <w:tr w14:paraId="3CD81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noWrap w:val="0"/>
            <w:vAlign w:val="center"/>
          </w:tcPr>
          <w:p w14:paraId="6B762821">
            <w:pPr>
              <w:pStyle w:val="59"/>
              <w:bidi w:val="0"/>
            </w:pPr>
            <w:r>
              <w:t>3.5</w:t>
            </w:r>
          </w:p>
        </w:tc>
        <w:tc>
          <w:tcPr>
            <w:tcW w:w="808" w:type="pct"/>
            <w:noWrap w:val="0"/>
            <w:vAlign w:val="center"/>
          </w:tcPr>
          <w:p w14:paraId="6E862104">
            <w:pPr>
              <w:pStyle w:val="59"/>
              <w:bidi w:val="0"/>
            </w:pPr>
            <w:r>
              <w:t>防水矿柱</w:t>
            </w:r>
          </w:p>
        </w:tc>
        <w:tc>
          <w:tcPr>
            <w:tcW w:w="341" w:type="pct"/>
            <w:noWrap w:val="0"/>
            <w:vAlign w:val="center"/>
          </w:tcPr>
          <w:p w14:paraId="5D610DB6">
            <w:pPr>
              <w:pStyle w:val="59"/>
              <w:bidi w:val="0"/>
            </w:pPr>
            <w:r>
              <w:t>基本</w:t>
            </w:r>
          </w:p>
        </w:tc>
        <w:tc>
          <w:tcPr>
            <w:tcW w:w="349" w:type="pct"/>
            <w:noWrap w:val="0"/>
            <w:vAlign w:val="center"/>
          </w:tcPr>
          <w:p w14:paraId="52A7C09E">
            <w:pPr>
              <w:pStyle w:val="59"/>
              <w:bidi w:val="0"/>
            </w:pPr>
            <w:r>
              <w:t>■</w:t>
            </w:r>
          </w:p>
        </w:tc>
        <w:tc>
          <w:tcPr>
            <w:tcW w:w="2169" w:type="pct"/>
            <w:noWrap w:val="0"/>
            <w:vAlign w:val="center"/>
          </w:tcPr>
          <w:p w14:paraId="303D2883">
            <w:pPr>
              <w:pStyle w:val="59"/>
              <w:bidi w:val="0"/>
            </w:pPr>
            <w:r>
              <w:t>检查内容：防水矿柱的设置是否与批复的安全设施设计一致。</w:t>
            </w:r>
          </w:p>
          <w:p w14:paraId="1B62F9D8">
            <w:pPr>
              <w:pStyle w:val="59"/>
              <w:bidi w:val="0"/>
            </w:pPr>
            <w:r>
              <w:t>检查方法：查阅安全设施验收评价报告、现场</w:t>
            </w:r>
            <w:r>
              <w:rPr>
                <w:rFonts w:hint="eastAsia"/>
              </w:rPr>
              <w:t>检查</w:t>
            </w:r>
            <w:r>
              <w:t>。</w:t>
            </w:r>
          </w:p>
        </w:tc>
        <w:tc>
          <w:tcPr>
            <w:tcW w:w="628" w:type="pct"/>
            <w:noWrap w:val="0"/>
            <w:vAlign w:val="center"/>
          </w:tcPr>
          <w:p w14:paraId="64352E98">
            <w:pPr>
              <w:pStyle w:val="59"/>
              <w:bidi w:val="0"/>
            </w:pPr>
          </w:p>
        </w:tc>
        <w:tc>
          <w:tcPr>
            <w:tcW w:w="355" w:type="pct"/>
            <w:noWrap w:val="0"/>
            <w:vAlign w:val="center"/>
          </w:tcPr>
          <w:p w14:paraId="4DACE92A">
            <w:pPr>
              <w:pStyle w:val="59"/>
              <w:bidi w:val="0"/>
            </w:pPr>
            <w:r>
              <w:rPr>
                <w:rFonts w:hint="eastAsia"/>
                <w:lang w:val="en-US" w:eastAsia="zh-CN"/>
              </w:rPr>
              <w:t>不涉及</w:t>
            </w:r>
          </w:p>
        </w:tc>
      </w:tr>
      <w:tr w14:paraId="335B92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7" w:type="pct"/>
            <w:noWrap w:val="0"/>
            <w:vAlign w:val="center"/>
          </w:tcPr>
          <w:p w14:paraId="1811001A">
            <w:pPr>
              <w:pStyle w:val="59"/>
              <w:bidi w:val="0"/>
            </w:pPr>
            <w:r>
              <w:t>3.6</w:t>
            </w:r>
          </w:p>
        </w:tc>
        <w:tc>
          <w:tcPr>
            <w:tcW w:w="808" w:type="pct"/>
            <w:noWrap w:val="0"/>
            <w:vAlign w:val="center"/>
          </w:tcPr>
          <w:p w14:paraId="359CB063">
            <w:pPr>
              <w:pStyle w:val="59"/>
              <w:bidi w:val="0"/>
            </w:pPr>
            <w:r>
              <w:t>疏干设备</w:t>
            </w:r>
          </w:p>
        </w:tc>
        <w:tc>
          <w:tcPr>
            <w:tcW w:w="341" w:type="pct"/>
            <w:noWrap w:val="0"/>
            <w:vAlign w:val="center"/>
          </w:tcPr>
          <w:p w14:paraId="137E89BD">
            <w:pPr>
              <w:pStyle w:val="59"/>
              <w:bidi w:val="0"/>
            </w:pPr>
            <w:r>
              <w:t>基本</w:t>
            </w:r>
          </w:p>
        </w:tc>
        <w:tc>
          <w:tcPr>
            <w:tcW w:w="349" w:type="pct"/>
            <w:noWrap w:val="0"/>
            <w:vAlign w:val="center"/>
          </w:tcPr>
          <w:p w14:paraId="08E8E873">
            <w:pPr>
              <w:pStyle w:val="59"/>
              <w:bidi w:val="0"/>
            </w:pPr>
            <w:r>
              <w:t>△</w:t>
            </w:r>
          </w:p>
        </w:tc>
        <w:tc>
          <w:tcPr>
            <w:tcW w:w="2169" w:type="pct"/>
            <w:noWrap w:val="0"/>
            <w:vAlign w:val="center"/>
          </w:tcPr>
          <w:p w14:paraId="10AC24F1">
            <w:pPr>
              <w:pStyle w:val="59"/>
              <w:bidi w:val="0"/>
            </w:pPr>
            <w:r>
              <w:t>检查内容：疏干设备的型号、数量等是否与批复的安全设施设计一致。</w:t>
            </w:r>
          </w:p>
          <w:p w14:paraId="3E42AAAB">
            <w:pPr>
              <w:pStyle w:val="59"/>
              <w:bidi w:val="0"/>
            </w:pPr>
            <w:r>
              <w:t>检查方法：查阅安全设施验收评价报告、现场抽查。</w:t>
            </w:r>
          </w:p>
        </w:tc>
        <w:tc>
          <w:tcPr>
            <w:tcW w:w="628" w:type="pct"/>
            <w:noWrap w:val="0"/>
            <w:vAlign w:val="center"/>
          </w:tcPr>
          <w:p w14:paraId="16BCE62B">
            <w:pPr>
              <w:pStyle w:val="59"/>
              <w:bidi w:val="0"/>
            </w:pPr>
          </w:p>
        </w:tc>
        <w:tc>
          <w:tcPr>
            <w:tcW w:w="355" w:type="pct"/>
            <w:noWrap w:val="0"/>
            <w:vAlign w:val="center"/>
          </w:tcPr>
          <w:p w14:paraId="31AFBBA8">
            <w:pPr>
              <w:pStyle w:val="59"/>
              <w:bidi w:val="0"/>
            </w:pPr>
            <w:r>
              <w:rPr>
                <w:rFonts w:hint="eastAsia"/>
                <w:lang w:val="en-US" w:eastAsia="zh-CN"/>
              </w:rPr>
              <w:t>不涉及</w:t>
            </w:r>
          </w:p>
        </w:tc>
      </w:tr>
      <w:tr w14:paraId="683A7A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47" w:type="pct"/>
            <w:noWrap w:val="0"/>
            <w:vAlign w:val="center"/>
          </w:tcPr>
          <w:p w14:paraId="02CAFEB2">
            <w:pPr>
              <w:pStyle w:val="59"/>
              <w:bidi w:val="0"/>
            </w:pPr>
            <w:r>
              <w:t>3.7</w:t>
            </w:r>
          </w:p>
        </w:tc>
        <w:tc>
          <w:tcPr>
            <w:tcW w:w="808" w:type="pct"/>
            <w:noWrap w:val="0"/>
            <w:vAlign w:val="center"/>
          </w:tcPr>
          <w:p w14:paraId="3FAAA4E8">
            <w:pPr>
              <w:pStyle w:val="59"/>
              <w:bidi w:val="0"/>
            </w:pPr>
            <w:r>
              <w:t>截渗墙</w:t>
            </w:r>
          </w:p>
        </w:tc>
        <w:tc>
          <w:tcPr>
            <w:tcW w:w="341" w:type="pct"/>
            <w:noWrap w:val="0"/>
            <w:vAlign w:val="center"/>
          </w:tcPr>
          <w:p w14:paraId="5A92B5BF">
            <w:pPr>
              <w:pStyle w:val="59"/>
              <w:bidi w:val="0"/>
            </w:pPr>
            <w:r>
              <w:t>基本</w:t>
            </w:r>
          </w:p>
        </w:tc>
        <w:tc>
          <w:tcPr>
            <w:tcW w:w="349" w:type="pct"/>
            <w:noWrap w:val="0"/>
            <w:vAlign w:val="center"/>
          </w:tcPr>
          <w:p w14:paraId="45D4D82C">
            <w:pPr>
              <w:pStyle w:val="59"/>
              <w:bidi w:val="0"/>
            </w:pPr>
            <w:r>
              <w:t>△</w:t>
            </w:r>
          </w:p>
        </w:tc>
        <w:tc>
          <w:tcPr>
            <w:tcW w:w="2169" w:type="pct"/>
            <w:noWrap w:val="0"/>
            <w:vAlign w:val="center"/>
          </w:tcPr>
          <w:p w14:paraId="37CB2349">
            <w:pPr>
              <w:pStyle w:val="59"/>
              <w:bidi w:val="0"/>
            </w:pPr>
            <w:r>
              <w:t>检查内容：截渗墙的布置形式、厚度、堵水效果是否与批复的安全设施设计一致。</w:t>
            </w:r>
          </w:p>
          <w:p w14:paraId="33AF930D">
            <w:pPr>
              <w:pStyle w:val="59"/>
              <w:bidi w:val="0"/>
            </w:pPr>
            <w:r>
              <w:t>检查方法：查阅安全设施验收评价报告、现场抽查。</w:t>
            </w:r>
          </w:p>
        </w:tc>
        <w:tc>
          <w:tcPr>
            <w:tcW w:w="628" w:type="pct"/>
            <w:noWrap w:val="0"/>
            <w:vAlign w:val="center"/>
          </w:tcPr>
          <w:p w14:paraId="3E80A23D">
            <w:pPr>
              <w:pStyle w:val="59"/>
              <w:bidi w:val="0"/>
            </w:pPr>
          </w:p>
        </w:tc>
        <w:tc>
          <w:tcPr>
            <w:tcW w:w="355" w:type="pct"/>
            <w:noWrap w:val="0"/>
            <w:vAlign w:val="center"/>
          </w:tcPr>
          <w:p w14:paraId="5DA30C65">
            <w:pPr>
              <w:pStyle w:val="59"/>
              <w:bidi w:val="0"/>
            </w:pPr>
            <w:r>
              <w:rPr>
                <w:rFonts w:hint="eastAsia"/>
                <w:lang w:val="en-US" w:eastAsia="zh-CN"/>
              </w:rPr>
              <w:t>不涉及</w:t>
            </w:r>
          </w:p>
        </w:tc>
      </w:tr>
      <w:tr w14:paraId="73834D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47" w:type="pct"/>
            <w:noWrap w:val="0"/>
            <w:vAlign w:val="center"/>
          </w:tcPr>
          <w:p w14:paraId="24F212EA">
            <w:pPr>
              <w:pStyle w:val="59"/>
              <w:bidi w:val="0"/>
            </w:pPr>
            <w:r>
              <w:t>3.8</w:t>
            </w:r>
          </w:p>
        </w:tc>
        <w:tc>
          <w:tcPr>
            <w:tcW w:w="808" w:type="pct"/>
            <w:noWrap w:val="0"/>
            <w:vAlign w:val="center"/>
          </w:tcPr>
          <w:p w14:paraId="1EAF11DA">
            <w:pPr>
              <w:pStyle w:val="59"/>
              <w:bidi w:val="0"/>
            </w:pPr>
            <w:r>
              <w:t>防水门</w:t>
            </w:r>
          </w:p>
        </w:tc>
        <w:tc>
          <w:tcPr>
            <w:tcW w:w="341" w:type="pct"/>
            <w:noWrap w:val="0"/>
            <w:vAlign w:val="center"/>
          </w:tcPr>
          <w:p w14:paraId="6B50E064">
            <w:pPr>
              <w:pStyle w:val="59"/>
              <w:bidi w:val="0"/>
            </w:pPr>
            <w:r>
              <w:t>专用</w:t>
            </w:r>
          </w:p>
        </w:tc>
        <w:tc>
          <w:tcPr>
            <w:tcW w:w="349" w:type="pct"/>
            <w:noWrap w:val="0"/>
            <w:vAlign w:val="center"/>
          </w:tcPr>
          <w:p w14:paraId="13FFAFC3">
            <w:pPr>
              <w:pStyle w:val="59"/>
              <w:bidi w:val="0"/>
            </w:pPr>
            <w:r>
              <w:t>△</w:t>
            </w:r>
          </w:p>
        </w:tc>
        <w:tc>
          <w:tcPr>
            <w:tcW w:w="2169" w:type="pct"/>
            <w:noWrap w:val="0"/>
            <w:vAlign w:val="center"/>
          </w:tcPr>
          <w:p w14:paraId="4D3A142D">
            <w:pPr>
              <w:pStyle w:val="59"/>
              <w:bidi w:val="0"/>
            </w:pPr>
            <w:r>
              <w:t>检查内容：位置、数量、设防水头、抗压强度等是否与批复的安全设施设计一致。</w:t>
            </w:r>
          </w:p>
          <w:p w14:paraId="2E9CF326">
            <w:pPr>
              <w:pStyle w:val="59"/>
              <w:bidi w:val="0"/>
            </w:pPr>
            <w:r>
              <w:t>检查方法：现场抽查。</w:t>
            </w:r>
          </w:p>
        </w:tc>
        <w:tc>
          <w:tcPr>
            <w:tcW w:w="628" w:type="pct"/>
            <w:noWrap w:val="0"/>
            <w:vAlign w:val="center"/>
          </w:tcPr>
          <w:p w14:paraId="3DD79239">
            <w:pPr>
              <w:pStyle w:val="59"/>
              <w:bidi w:val="0"/>
            </w:pPr>
          </w:p>
        </w:tc>
        <w:tc>
          <w:tcPr>
            <w:tcW w:w="355" w:type="pct"/>
            <w:noWrap w:val="0"/>
            <w:vAlign w:val="center"/>
          </w:tcPr>
          <w:p w14:paraId="3FF2C874">
            <w:pPr>
              <w:pStyle w:val="59"/>
              <w:bidi w:val="0"/>
            </w:pPr>
            <w:r>
              <w:rPr>
                <w:rFonts w:hint="eastAsia"/>
                <w:lang w:val="en-US" w:eastAsia="zh-CN"/>
              </w:rPr>
              <w:t>不涉及</w:t>
            </w:r>
          </w:p>
        </w:tc>
      </w:tr>
      <w:tr w14:paraId="3C551E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07" w:hRule="atLeast"/>
          <w:jc w:val="center"/>
        </w:trPr>
        <w:tc>
          <w:tcPr>
            <w:tcW w:w="347" w:type="pct"/>
            <w:noWrap w:val="0"/>
            <w:vAlign w:val="center"/>
          </w:tcPr>
          <w:p w14:paraId="61240554">
            <w:pPr>
              <w:pStyle w:val="59"/>
              <w:bidi w:val="0"/>
            </w:pPr>
            <w:r>
              <w:t>4</w:t>
            </w:r>
          </w:p>
        </w:tc>
        <w:tc>
          <w:tcPr>
            <w:tcW w:w="808" w:type="pct"/>
            <w:noWrap w:val="0"/>
            <w:vAlign w:val="center"/>
          </w:tcPr>
          <w:p w14:paraId="44D3664D">
            <w:pPr>
              <w:pStyle w:val="59"/>
              <w:bidi w:val="0"/>
            </w:pPr>
            <w:r>
              <w:t>地下水头（水位）、涌水量监测设施</w:t>
            </w:r>
          </w:p>
        </w:tc>
        <w:tc>
          <w:tcPr>
            <w:tcW w:w="341" w:type="pct"/>
            <w:noWrap w:val="0"/>
            <w:vAlign w:val="center"/>
          </w:tcPr>
          <w:p w14:paraId="05EF7FF6">
            <w:pPr>
              <w:pStyle w:val="59"/>
              <w:bidi w:val="0"/>
            </w:pPr>
          </w:p>
        </w:tc>
        <w:tc>
          <w:tcPr>
            <w:tcW w:w="349" w:type="pct"/>
            <w:noWrap w:val="0"/>
            <w:vAlign w:val="center"/>
          </w:tcPr>
          <w:p w14:paraId="7D791EBD">
            <w:pPr>
              <w:pStyle w:val="59"/>
              <w:bidi w:val="0"/>
            </w:pPr>
          </w:p>
        </w:tc>
        <w:tc>
          <w:tcPr>
            <w:tcW w:w="2169" w:type="pct"/>
            <w:noWrap w:val="0"/>
            <w:vAlign w:val="center"/>
          </w:tcPr>
          <w:p w14:paraId="717825F1">
            <w:pPr>
              <w:pStyle w:val="59"/>
              <w:bidi w:val="0"/>
            </w:pPr>
          </w:p>
        </w:tc>
        <w:tc>
          <w:tcPr>
            <w:tcW w:w="628" w:type="pct"/>
            <w:noWrap w:val="0"/>
            <w:vAlign w:val="center"/>
          </w:tcPr>
          <w:p w14:paraId="77E46BA5">
            <w:pPr>
              <w:pStyle w:val="59"/>
              <w:bidi w:val="0"/>
            </w:pPr>
          </w:p>
        </w:tc>
        <w:tc>
          <w:tcPr>
            <w:tcW w:w="355" w:type="pct"/>
            <w:noWrap w:val="0"/>
            <w:vAlign w:val="center"/>
          </w:tcPr>
          <w:p w14:paraId="0C166ED0">
            <w:pPr>
              <w:pStyle w:val="59"/>
              <w:bidi w:val="0"/>
            </w:pPr>
            <w:r>
              <w:rPr>
                <w:rFonts w:hint="eastAsia"/>
                <w:lang w:val="en-US" w:eastAsia="zh-CN"/>
              </w:rPr>
              <w:t>不涉及</w:t>
            </w:r>
          </w:p>
        </w:tc>
      </w:tr>
      <w:tr w14:paraId="1D7B7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1" w:hRule="atLeast"/>
          <w:jc w:val="center"/>
        </w:trPr>
        <w:tc>
          <w:tcPr>
            <w:tcW w:w="347" w:type="pct"/>
            <w:noWrap w:val="0"/>
            <w:vAlign w:val="center"/>
          </w:tcPr>
          <w:p w14:paraId="67C72FF7">
            <w:pPr>
              <w:pStyle w:val="59"/>
              <w:bidi w:val="0"/>
            </w:pPr>
            <w:r>
              <w:t>4.1</w:t>
            </w:r>
          </w:p>
        </w:tc>
        <w:tc>
          <w:tcPr>
            <w:tcW w:w="808" w:type="pct"/>
            <w:noWrap w:val="0"/>
            <w:vAlign w:val="center"/>
          </w:tcPr>
          <w:p w14:paraId="18716B46">
            <w:pPr>
              <w:pStyle w:val="59"/>
              <w:bidi w:val="0"/>
            </w:pPr>
            <w:r>
              <w:t>地下水头（水位）监测设施</w:t>
            </w:r>
          </w:p>
        </w:tc>
        <w:tc>
          <w:tcPr>
            <w:tcW w:w="341" w:type="pct"/>
            <w:noWrap w:val="0"/>
            <w:vAlign w:val="center"/>
          </w:tcPr>
          <w:p w14:paraId="1626A757">
            <w:pPr>
              <w:pStyle w:val="59"/>
              <w:bidi w:val="0"/>
            </w:pPr>
            <w:r>
              <w:t>专用</w:t>
            </w:r>
          </w:p>
        </w:tc>
        <w:tc>
          <w:tcPr>
            <w:tcW w:w="349" w:type="pct"/>
            <w:noWrap w:val="0"/>
            <w:vAlign w:val="center"/>
          </w:tcPr>
          <w:p w14:paraId="48B3D742">
            <w:pPr>
              <w:pStyle w:val="59"/>
              <w:bidi w:val="0"/>
            </w:pPr>
            <w:r>
              <w:t>△</w:t>
            </w:r>
          </w:p>
        </w:tc>
        <w:tc>
          <w:tcPr>
            <w:tcW w:w="2169" w:type="pct"/>
            <w:noWrap w:val="0"/>
            <w:vAlign w:val="center"/>
          </w:tcPr>
          <w:p w14:paraId="2CEC68FA">
            <w:pPr>
              <w:pStyle w:val="59"/>
              <w:bidi w:val="0"/>
            </w:pPr>
            <w:r>
              <w:t>检查内容：地下水头（水位）监测设施的位置、数量。</w:t>
            </w:r>
          </w:p>
          <w:p w14:paraId="36244ABB">
            <w:pPr>
              <w:pStyle w:val="59"/>
              <w:bidi w:val="0"/>
            </w:pPr>
            <w:r>
              <w:t>检查方法：查阅安全验收评价报告或现场抽查。</w:t>
            </w:r>
          </w:p>
        </w:tc>
        <w:tc>
          <w:tcPr>
            <w:tcW w:w="628" w:type="pct"/>
            <w:noWrap w:val="0"/>
            <w:vAlign w:val="center"/>
          </w:tcPr>
          <w:p w14:paraId="0F6F5A67">
            <w:pPr>
              <w:pStyle w:val="59"/>
              <w:bidi w:val="0"/>
              <w:rPr>
                <w:rFonts w:hint="default" w:eastAsia="宋体"/>
                <w:lang w:val="en-US" w:eastAsia="zh-CN"/>
              </w:rPr>
            </w:pPr>
            <w:r>
              <w:rPr>
                <w:rFonts w:hint="eastAsia"/>
                <w:lang w:val="en-US" w:eastAsia="zh-CN"/>
              </w:rPr>
              <w:t>无地下泉眼，无须设置</w:t>
            </w:r>
          </w:p>
        </w:tc>
        <w:tc>
          <w:tcPr>
            <w:tcW w:w="355" w:type="pct"/>
            <w:noWrap w:val="0"/>
            <w:vAlign w:val="center"/>
          </w:tcPr>
          <w:p w14:paraId="15980A3F">
            <w:pPr>
              <w:pStyle w:val="59"/>
              <w:bidi w:val="0"/>
              <w:rPr>
                <w:rFonts w:hint="default" w:eastAsia="宋体"/>
                <w:lang w:val="en-US" w:eastAsia="zh-CN"/>
              </w:rPr>
            </w:pPr>
            <w:r>
              <w:rPr>
                <w:rFonts w:hint="eastAsia"/>
                <w:lang w:val="en-US" w:eastAsia="zh-CN"/>
              </w:rPr>
              <w:t>不涉及</w:t>
            </w:r>
          </w:p>
        </w:tc>
      </w:tr>
      <w:tr w14:paraId="72189D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347" w:type="pct"/>
            <w:noWrap w:val="0"/>
            <w:vAlign w:val="center"/>
          </w:tcPr>
          <w:p w14:paraId="5CD55685">
            <w:pPr>
              <w:pStyle w:val="59"/>
              <w:bidi w:val="0"/>
            </w:pPr>
            <w:r>
              <w:t>4.2</w:t>
            </w:r>
          </w:p>
        </w:tc>
        <w:tc>
          <w:tcPr>
            <w:tcW w:w="808" w:type="pct"/>
            <w:noWrap w:val="0"/>
            <w:vAlign w:val="center"/>
          </w:tcPr>
          <w:p w14:paraId="7D44B15B">
            <w:pPr>
              <w:pStyle w:val="59"/>
              <w:bidi w:val="0"/>
            </w:pPr>
            <w:r>
              <w:t>涌水量监测设施</w:t>
            </w:r>
          </w:p>
        </w:tc>
        <w:tc>
          <w:tcPr>
            <w:tcW w:w="341" w:type="pct"/>
            <w:noWrap w:val="0"/>
            <w:vAlign w:val="center"/>
          </w:tcPr>
          <w:p w14:paraId="568441C8">
            <w:pPr>
              <w:pStyle w:val="59"/>
              <w:bidi w:val="0"/>
            </w:pPr>
            <w:r>
              <w:t>专用</w:t>
            </w:r>
          </w:p>
        </w:tc>
        <w:tc>
          <w:tcPr>
            <w:tcW w:w="349" w:type="pct"/>
            <w:noWrap w:val="0"/>
            <w:vAlign w:val="center"/>
          </w:tcPr>
          <w:p w14:paraId="64F2A72D">
            <w:pPr>
              <w:pStyle w:val="59"/>
              <w:bidi w:val="0"/>
            </w:pPr>
            <w:r>
              <w:t>△</w:t>
            </w:r>
          </w:p>
        </w:tc>
        <w:tc>
          <w:tcPr>
            <w:tcW w:w="2169" w:type="pct"/>
            <w:noWrap w:val="0"/>
            <w:vAlign w:val="center"/>
          </w:tcPr>
          <w:p w14:paraId="0B7BD732">
            <w:pPr>
              <w:pStyle w:val="59"/>
              <w:bidi w:val="0"/>
            </w:pPr>
            <w:r>
              <w:t>检查内容：涌水量监测设施的位置、测量方式等。</w:t>
            </w:r>
          </w:p>
          <w:p w14:paraId="29BBB76A">
            <w:pPr>
              <w:pStyle w:val="59"/>
              <w:bidi w:val="0"/>
            </w:pPr>
            <w:r>
              <w:t>检查方法：查阅安全验收评价报告或现场抽查。</w:t>
            </w:r>
          </w:p>
        </w:tc>
        <w:tc>
          <w:tcPr>
            <w:tcW w:w="628" w:type="pct"/>
            <w:noWrap w:val="0"/>
            <w:vAlign w:val="center"/>
          </w:tcPr>
          <w:p w14:paraId="4C26D19D">
            <w:pPr>
              <w:pStyle w:val="59"/>
              <w:bidi w:val="0"/>
            </w:pPr>
            <w:r>
              <w:rPr>
                <w:rFonts w:hint="eastAsia"/>
                <w:lang w:val="en-US" w:eastAsia="zh-CN"/>
              </w:rPr>
              <w:t>无地下泉眼，无须设置</w:t>
            </w:r>
          </w:p>
        </w:tc>
        <w:tc>
          <w:tcPr>
            <w:tcW w:w="355" w:type="pct"/>
            <w:noWrap w:val="0"/>
            <w:vAlign w:val="center"/>
          </w:tcPr>
          <w:p w14:paraId="31E75B7F">
            <w:pPr>
              <w:pStyle w:val="59"/>
              <w:bidi w:val="0"/>
              <w:rPr>
                <w:rFonts w:hint="default" w:eastAsia="宋体"/>
                <w:lang w:val="en-US" w:eastAsia="zh-CN"/>
              </w:rPr>
            </w:pPr>
            <w:r>
              <w:rPr>
                <w:rFonts w:hint="eastAsia"/>
                <w:lang w:val="en-US" w:eastAsia="zh-CN"/>
              </w:rPr>
              <w:t>不涉及</w:t>
            </w:r>
          </w:p>
        </w:tc>
      </w:tr>
      <w:tr w14:paraId="31169F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47" w:type="pct"/>
            <w:noWrap w:val="0"/>
            <w:vAlign w:val="center"/>
          </w:tcPr>
          <w:p w14:paraId="14FCBA6D">
            <w:pPr>
              <w:pStyle w:val="59"/>
              <w:bidi w:val="0"/>
            </w:pPr>
            <w:r>
              <w:t>5</w:t>
            </w:r>
          </w:p>
        </w:tc>
        <w:tc>
          <w:tcPr>
            <w:tcW w:w="808" w:type="pct"/>
            <w:noWrap w:val="0"/>
            <w:vAlign w:val="center"/>
          </w:tcPr>
          <w:p w14:paraId="60F04768">
            <w:pPr>
              <w:pStyle w:val="59"/>
              <w:bidi w:val="0"/>
            </w:pPr>
            <w:r>
              <w:t>排水系统</w:t>
            </w:r>
          </w:p>
        </w:tc>
        <w:tc>
          <w:tcPr>
            <w:tcW w:w="341" w:type="pct"/>
            <w:noWrap w:val="0"/>
            <w:vAlign w:val="center"/>
          </w:tcPr>
          <w:p w14:paraId="7DEE935F">
            <w:pPr>
              <w:pStyle w:val="59"/>
              <w:bidi w:val="0"/>
            </w:pPr>
          </w:p>
        </w:tc>
        <w:tc>
          <w:tcPr>
            <w:tcW w:w="349" w:type="pct"/>
            <w:noWrap w:val="0"/>
            <w:vAlign w:val="center"/>
          </w:tcPr>
          <w:p w14:paraId="614A4B53">
            <w:pPr>
              <w:pStyle w:val="59"/>
              <w:bidi w:val="0"/>
            </w:pPr>
          </w:p>
        </w:tc>
        <w:tc>
          <w:tcPr>
            <w:tcW w:w="2169" w:type="pct"/>
            <w:noWrap w:val="0"/>
            <w:vAlign w:val="center"/>
          </w:tcPr>
          <w:p w14:paraId="413EE9CA">
            <w:pPr>
              <w:pStyle w:val="59"/>
              <w:bidi w:val="0"/>
            </w:pPr>
          </w:p>
        </w:tc>
        <w:tc>
          <w:tcPr>
            <w:tcW w:w="628" w:type="pct"/>
            <w:noWrap w:val="0"/>
            <w:vAlign w:val="center"/>
          </w:tcPr>
          <w:p w14:paraId="09244776">
            <w:pPr>
              <w:pStyle w:val="59"/>
              <w:bidi w:val="0"/>
            </w:pPr>
          </w:p>
        </w:tc>
        <w:tc>
          <w:tcPr>
            <w:tcW w:w="355" w:type="pct"/>
            <w:noWrap w:val="0"/>
            <w:vAlign w:val="center"/>
          </w:tcPr>
          <w:p w14:paraId="421987A9">
            <w:pPr>
              <w:pStyle w:val="59"/>
              <w:bidi w:val="0"/>
            </w:pPr>
          </w:p>
        </w:tc>
      </w:tr>
      <w:tr w14:paraId="6148B5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84" w:hRule="atLeast"/>
          <w:jc w:val="center"/>
        </w:trPr>
        <w:tc>
          <w:tcPr>
            <w:tcW w:w="347" w:type="pct"/>
            <w:noWrap w:val="0"/>
            <w:vAlign w:val="center"/>
          </w:tcPr>
          <w:p w14:paraId="610C0B9C">
            <w:pPr>
              <w:pStyle w:val="59"/>
              <w:bidi w:val="0"/>
            </w:pPr>
            <w:r>
              <w:t>5.1</w:t>
            </w:r>
          </w:p>
        </w:tc>
        <w:tc>
          <w:tcPr>
            <w:tcW w:w="808" w:type="pct"/>
            <w:noWrap w:val="0"/>
            <w:vAlign w:val="center"/>
          </w:tcPr>
          <w:p w14:paraId="08238428">
            <w:pPr>
              <w:pStyle w:val="59"/>
              <w:bidi w:val="0"/>
            </w:pPr>
            <w:r>
              <w:t>水泵</w:t>
            </w:r>
          </w:p>
        </w:tc>
        <w:tc>
          <w:tcPr>
            <w:tcW w:w="341" w:type="pct"/>
            <w:noWrap w:val="0"/>
            <w:vAlign w:val="center"/>
          </w:tcPr>
          <w:p w14:paraId="0D38F113">
            <w:pPr>
              <w:pStyle w:val="59"/>
              <w:bidi w:val="0"/>
            </w:pPr>
            <w:r>
              <w:t>基本</w:t>
            </w:r>
          </w:p>
        </w:tc>
        <w:tc>
          <w:tcPr>
            <w:tcW w:w="349" w:type="pct"/>
            <w:noWrap w:val="0"/>
            <w:vAlign w:val="center"/>
          </w:tcPr>
          <w:p w14:paraId="1D3EC6A3">
            <w:pPr>
              <w:pStyle w:val="59"/>
              <w:bidi w:val="0"/>
            </w:pPr>
            <w:r>
              <w:t>△</w:t>
            </w:r>
          </w:p>
        </w:tc>
        <w:tc>
          <w:tcPr>
            <w:tcW w:w="2169" w:type="pct"/>
            <w:noWrap w:val="0"/>
            <w:vAlign w:val="center"/>
          </w:tcPr>
          <w:p w14:paraId="149934D6">
            <w:pPr>
              <w:pStyle w:val="59"/>
              <w:bidi w:val="0"/>
            </w:pPr>
            <w:r>
              <w:t>检查内容：水泵的型号和数量等是否与批复的安全设施设计一致。</w:t>
            </w:r>
          </w:p>
          <w:p w14:paraId="3F2A0C49">
            <w:pPr>
              <w:pStyle w:val="59"/>
              <w:bidi w:val="0"/>
            </w:pPr>
            <w:r>
              <w:t>检查方法：查阅安全设施验收评价报告、现场抽查。</w:t>
            </w:r>
          </w:p>
        </w:tc>
        <w:tc>
          <w:tcPr>
            <w:tcW w:w="628" w:type="pct"/>
            <w:noWrap w:val="0"/>
            <w:vAlign w:val="center"/>
          </w:tcPr>
          <w:p w14:paraId="691AB82A">
            <w:pPr>
              <w:pStyle w:val="59"/>
              <w:bidi w:val="0"/>
              <w:rPr>
                <w:color w:val="auto"/>
              </w:rPr>
            </w:pPr>
            <w:r>
              <w:rPr>
                <w:rFonts w:hint="eastAsia"/>
                <w:color w:val="auto"/>
                <w:lang w:val="en-US" w:eastAsia="zh-CN"/>
              </w:rPr>
              <w:t>基建期不涉及</w:t>
            </w:r>
          </w:p>
        </w:tc>
        <w:tc>
          <w:tcPr>
            <w:tcW w:w="355" w:type="pct"/>
            <w:noWrap w:val="0"/>
            <w:vAlign w:val="center"/>
          </w:tcPr>
          <w:p w14:paraId="67EB9641">
            <w:pPr>
              <w:pStyle w:val="59"/>
              <w:bidi w:val="0"/>
              <w:rPr>
                <w:rFonts w:hint="eastAsia" w:eastAsia="宋体"/>
                <w:lang w:val="en-US" w:eastAsia="zh-CN"/>
              </w:rPr>
            </w:pPr>
            <w:r>
              <w:rPr>
                <w:rFonts w:hint="eastAsia"/>
                <w:lang w:val="en-US" w:eastAsia="zh-CN"/>
              </w:rPr>
              <w:t>不涉及</w:t>
            </w:r>
          </w:p>
        </w:tc>
      </w:tr>
      <w:tr w14:paraId="4720F2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34" w:hRule="atLeast"/>
          <w:jc w:val="center"/>
        </w:trPr>
        <w:tc>
          <w:tcPr>
            <w:tcW w:w="347" w:type="pct"/>
            <w:noWrap w:val="0"/>
            <w:vAlign w:val="center"/>
          </w:tcPr>
          <w:p w14:paraId="324144CC">
            <w:pPr>
              <w:pStyle w:val="59"/>
              <w:bidi w:val="0"/>
            </w:pPr>
            <w:r>
              <w:t>5.2</w:t>
            </w:r>
          </w:p>
        </w:tc>
        <w:tc>
          <w:tcPr>
            <w:tcW w:w="808" w:type="pct"/>
            <w:noWrap w:val="0"/>
            <w:vAlign w:val="center"/>
          </w:tcPr>
          <w:p w14:paraId="787C0467">
            <w:pPr>
              <w:pStyle w:val="59"/>
              <w:bidi w:val="0"/>
            </w:pPr>
            <w:r>
              <w:t>管路</w:t>
            </w:r>
          </w:p>
        </w:tc>
        <w:tc>
          <w:tcPr>
            <w:tcW w:w="341" w:type="pct"/>
            <w:noWrap w:val="0"/>
            <w:vAlign w:val="center"/>
          </w:tcPr>
          <w:p w14:paraId="42C20F72">
            <w:pPr>
              <w:pStyle w:val="59"/>
              <w:bidi w:val="0"/>
            </w:pPr>
            <w:r>
              <w:t>基本</w:t>
            </w:r>
          </w:p>
        </w:tc>
        <w:tc>
          <w:tcPr>
            <w:tcW w:w="349" w:type="pct"/>
            <w:noWrap w:val="0"/>
            <w:vAlign w:val="center"/>
          </w:tcPr>
          <w:p w14:paraId="6750FD49">
            <w:pPr>
              <w:pStyle w:val="59"/>
              <w:bidi w:val="0"/>
            </w:pPr>
            <w:r>
              <w:t>△</w:t>
            </w:r>
          </w:p>
        </w:tc>
        <w:tc>
          <w:tcPr>
            <w:tcW w:w="2169" w:type="pct"/>
            <w:noWrap w:val="0"/>
            <w:vAlign w:val="center"/>
          </w:tcPr>
          <w:p w14:paraId="0DBAE3B8">
            <w:pPr>
              <w:pStyle w:val="59"/>
              <w:bidi w:val="0"/>
            </w:pPr>
            <w:r>
              <w:t>检查内容：管路的管径、壁厚等是否与批复的安全设施设计一致。</w:t>
            </w:r>
          </w:p>
          <w:p w14:paraId="46D7D281">
            <w:pPr>
              <w:pStyle w:val="59"/>
              <w:bidi w:val="0"/>
            </w:pPr>
            <w:r>
              <w:t>检查方法：查阅安全设施验收评价报告、现场抽查。</w:t>
            </w:r>
          </w:p>
        </w:tc>
        <w:tc>
          <w:tcPr>
            <w:tcW w:w="628" w:type="pct"/>
            <w:noWrap w:val="0"/>
            <w:vAlign w:val="center"/>
          </w:tcPr>
          <w:p w14:paraId="0D7D799C">
            <w:pPr>
              <w:pStyle w:val="59"/>
              <w:bidi w:val="0"/>
              <w:rPr>
                <w:color w:val="auto"/>
              </w:rPr>
            </w:pPr>
            <w:r>
              <w:rPr>
                <w:rFonts w:hint="eastAsia"/>
                <w:color w:val="auto"/>
                <w:lang w:val="en-US" w:eastAsia="zh-CN"/>
              </w:rPr>
              <w:t>基建期不涉及</w:t>
            </w:r>
          </w:p>
        </w:tc>
        <w:tc>
          <w:tcPr>
            <w:tcW w:w="355" w:type="pct"/>
            <w:noWrap w:val="0"/>
            <w:vAlign w:val="center"/>
          </w:tcPr>
          <w:p w14:paraId="0145E571">
            <w:pPr>
              <w:pStyle w:val="59"/>
              <w:bidi w:val="0"/>
              <w:rPr>
                <w:rFonts w:hint="eastAsia" w:eastAsia="宋体"/>
                <w:lang w:val="en-US" w:eastAsia="zh-CN"/>
              </w:rPr>
            </w:pPr>
            <w:r>
              <w:rPr>
                <w:rFonts w:hint="eastAsia"/>
                <w:lang w:val="en-US" w:eastAsia="zh-CN"/>
              </w:rPr>
              <w:t>不涉及</w:t>
            </w:r>
          </w:p>
        </w:tc>
      </w:tr>
    </w:tbl>
    <w:p w14:paraId="57BE65C3">
      <w:pPr>
        <w:ind w:firstLine="472"/>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符合检查类别中，“■”表示该项为否决项，“</w:t>
      </w:r>
      <w:r>
        <w:rPr>
          <w:rFonts w:ascii="Cambria Math" w:hAnsi="Cambria Math" w:cs="Cambria Math"/>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”表示为一般项。</w:t>
      </w:r>
    </w:p>
    <w:p w14:paraId="739C7D0B">
      <w:pPr>
        <w:adjustRightInd w:val="0"/>
        <w:snapToGrid w:val="0"/>
        <w:ind w:firstLine="562"/>
        <w:rPr>
          <w:rFonts w:ascii="Times New Roman" w:hAnsi="Times New Roman"/>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针对露天采场防排水安全检查表内的2</w:t>
      </w:r>
      <w:r>
        <w:rPr>
          <w:rFonts w:hint="eastAsia" w:ascii="Times New Roman" w:hAnsi="Times New Roman"/>
          <w:color w:val="000000" w:themeColor="text1"/>
          <w:lang w:val="en-US" w:eastAsia="zh-CN"/>
          <w14:textFill>
            <w14:solidFill>
              <w14:schemeClr w14:val="tx1"/>
            </w14:solidFill>
          </w14:textFill>
        </w:rPr>
        <w:t>0</w:t>
      </w:r>
      <w:r>
        <w:rPr>
          <w:rFonts w:ascii="Times New Roman" w:hAnsi="Times New Roman"/>
          <w:color w:val="000000" w:themeColor="text1"/>
          <w14:textFill>
            <w14:solidFill>
              <w14:schemeClr w14:val="tx1"/>
            </w14:solidFill>
          </w14:textFill>
        </w:rPr>
        <w:t>项内容，</w:t>
      </w:r>
      <w:r>
        <w:rPr>
          <w:spacing w:val="-3"/>
        </w:rPr>
        <w:t>其中否决项</w:t>
      </w:r>
      <w:r>
        <w:rPr>
          <w:rFonts w:hint="eastAsia"/>
          <w:spacing w:val="-3"/>
          <w:lang w:val="en-US" w:eastAsia="zh-CN"/>
        </w:rPr>
        <w:t>1</w:t>
      </w:r>
      <w:r>
        <w:rPr>
          <w:spacing w:val="-3"/>
        </w:rPr>
        <w:t>项，；一般项1</w:t>
      </w:r>
      <w:r>
        <w:rPr>
          <w:rFonts w:hint="eastAsia"/>
          <w:spacing w:val="-3"/>
          <w:lang w:val="en-US" w:eastAsia="zh-CN"/>
        </w:rPr>
        <w:t>9</w:t>
      </w:r>
      <w:r>
        <w:rPr>
          <w:spacing w:val="-3"/>
        </w:rPr>
        <w:t>项</w:t>
      </w:r>
      <w:r>
        <w:rPr>
          <w:rFonts w:hint="eastAsia"/>
          <w:spacing w:val="-3"/>
          <w:lang w:eastAsia="zh-CN"/>
        </w:rPr>
        <w:t>。</w:t>
      </w:r>
      <w:r>
        <w:rPr>
          <w:spacing w:val="-3"/>
        </w:rPr>
        <w:t>符合</w:t>
      </w:r>
      <w:r>
        <w:rPr>
          <w:rFonts w:hint="eastAsia"/>
          <w:spacing w:val="-3"/>
          <w:lang w:val="en-US" w:eastAsia="zh-CN"/>
        </w:rPr>
        <w:t>2</w:t>
      </w:r>
      <w:r>
        <w:rPr>
          <w:spacing w:val="-3"/>
        </w:rPr>
        <w:t>项，不</w:t>
      </w:r>
      <w:r>
        <w:rPr>
          <w:rFonts w:hint="eastAsia"/>
          <w:spacing w:val="-3"/>
          <w:lang w:eastAsia="zh-CN"/>
        </w:rPr>
        <w:t>涉及</w:t>
      </w:r>
      <w:r>
        <w:rPr>
          <w:rFonts w:hint="eastAsia"/>
          <w:spacing w:val="-3"/>
          <w:lang w:val="en-US" w:eastAsia="zh-CN"/>
        </w:rPr>
        <w:t>18</w:t>
      </w:r>
      <w:r>
        <w:rPr>
          <w:spacing w:val="-4"/>
        </w:rPr>
        <w:t>项，该单元评价为符合。</w:t>
      </w:r>
    </w:p>
    <w:p w14:paraId="66495F1C">
      <w:pPr>
        <w:bidi w:val="0"/>
        <w:rPr>
          <w:rFonts w:hint="eastAsia"/>
          <w:lang w:val="en-US" w:eastAsia="zh-CN"/>
        </w:rPr>
      </w:pPr>
      <w:r>
        <w:rPr>
          <w:rFonts w:hint="eastAsia"/>
          <w:lang w:val="en-US" w:eastAsia="zh-CN"/>
        </w:rPr>
        <w:t>2、按</w:t>
      </w:r>
      <w:r>
        <w:rPr>
          <w:rFonts w:hint="eastAsia"/>
          <w:lang w:eastAsia="zh-CN"/>
        </w:rPr>
        <w:t>安监</w:t>
      </w:r>
      <w:r>
        <w:rPr>
          <w:rFonts w:hint="eastAsia"/>
        </w:rPr>
        <w:t>总管一〔2016〕</w:t>
      </w:r>
      <w:r>
        <w:rPr>
          <w:rFonts w:hint="eastAsia"/>
          <w:lang w:val="en-US" w:eastAsia="zh-CN"/>
        </w:rPr>
        <w:t>49</w:t>
      </w:r>
      <w:r>
        <w:rPr>
          <w:rFonts w:hint="eastAsia"/>
        </w:rPr>
        <w:t>号</w:t>
      </w:r>
      <w:r>
        <w:rPr>
          <w:rFonts w:hint="eastAsia"/>
          <w:lang w:val="en-US" w:eastAsia="zh-CN"/>
        </w:rPr>
        <w:t>检查。</w:t>
      </w:r>
    </w:p>
    <w:p w14:paraId="47A21D70">
      <w:pPr>
        <w:bidi w:val="0"/>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w:t>
      </w:r>
      <w:r>
        <w:t>《</w:t>
      </w:r>
      <w:r>
        <w:rPr>
          <w:rFonts w:hint="eastAsia"/>
          <w:lang w:val="en-US" w:eastAsia="zh-CN"/>
        </w:rPr>
        <w:t>安全设施设计</w:t>
      </w:r>
      <w:r>
        <w:t>》，</w:t>
      </w:r>
      <w:r>
        <w:rPr>
          <w:rFonts w:hint="eastAsia"/>
          <w:lang w:eastAsia="zh-CN"/>
        </w:rPr>
        <w:t>编制安全</w:t>
      </w:r>
      <w:r>
        <w:t>检查表对铲装作业子单元</w:t>
      </w:r>
      <w:r>
        <w:rPr>
          <w:spacing w:val="-6"/>
        </w:rPr>
        <w:t>进行符合性评价。</w:t>
      </w:r>
    </w:p>
    <w:p w14:paraId="09E6C372">
      <w:pPr>
        <w:pStyle w:val="73"/>
        <w:bidi w:val="0"/>
      </w:pPr>
      <w:r>
        <w:t>表3</w:t>
      </w:r>
      <w:r>
        <w:rPr>
          <w:rFonts w:hint="eastAsia"/>
          <w:lang w:val="en-US" w:eastAsia="zh-CN"/>
        </w:rPr>
        <w:t>.3</w:t>
      </w:r>
      <w:r>
        <w:t>-</w:t>
      </w:r>
      <w:r>
        <w:rPr>
          <w:rFonts w:hint="eastAsia"/>
          <w:lang w:val="en-US" w:eastAsia="zh-CN"/>
        </w:rPr>
        <w:t>2</w:t>
      </w:r>
      <w:r>
        <w:t>露天采场防排水符合性安全检查表</w:t>
      </w:r>
    </w:p>
    <w:tbl>
      <w:tblPr>
        <w:tblStyle w:val="35"/>
        <w:tblW w:w="9384"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99"/>
        <w:gridCol w:w="735"/>
        <w:gridCol w:w="2250"/>
        <w:gridCol w:w="5205"/>
        <w:gridCol w:w="695"/>
      </w:tblGrid>
      <w:tr w14:paraId="7BAA9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89" w:hRule="atLeast"/>
          <w:tblHeader/>
          <w:jc w:val="center"/>
        </w:trPr>
        <w:tc>
          <w:tcPr>
            <w:tcW w:w="499" w:type="dxa"/>
            <w:vAlign w:val="center"/>
          </w:tcPr>
          <w:p w14:paraId="74E4AD99">
            <w:pPr>
              <w:pStyle w:val="56"/>
              <w:bidi w:val="0"/>
            </w:pPr>
            <w:r>
              <w:t>序号</w:t>
            </w:r>
          </w:p>
        </w:tc>
        <w:tc>
          <w:tcPr>
            <w:tcW w:w="735" w:type="dxa"/>
            <w:vAlign w:val="center"/>
          </w:tcPr>
          <w:p w14:paraId="03E4C7D6">
            <w:pPr>
              <w:pStyle w:val="56"/>
              <w:bidi w:val="0"/>
            </w:pPr>
            <w:r>
              <w:t>检查项目</w:t>
            </w:r>
          </w:p>
        </w:tc>
        <w:tc>
          <w:tcPr>
            <w:tcW w:w="2250" w:type="dxa"/>
            <w:vAlign w:val="center"/>
          </w:tcPr>
          <w:p w14:paraId="4FCD8F2A">
            <w:pPr>
              <w:pStyle w:val="56"/>
              <w:bidi w:val="0"/>
            </w:pPr>
            <w:r>
              <w:t>检查内容、检查方法</w:t>
            </w:r>
          </w:p>
        </w:tc>
        <w:tc>
          <w:tcPr>
            <w:tcW w:w="5205" w:type="dxa"/>
            <w:vAlign w:val="center"/>
          </w:tcPr>
          <w:p w14:paraId="64A386F1">
            <w:pPr>
              <w:pStyle w:val="56"/>
              <w:bidi w:val="0"/>
            </w:pPr>
            <w:r>
              <w:t>检查情况</w:t>
            </w:r>
          </w:p>
        </w:tc>
        <w:tc>
          <w:tcPr>
            <w:tcW w:w="695" w:type="dxa"/>
            <w:vAlign w:val="center"/>
          </w:tcPr>
          <w:p w14:paraId="707CB7F8">
            <w:pPr>
              <w:pStyle w:val="56"/>
              <w:bidi w:val="0"/>
            </w:pPr>
            <w:r>
              <w:t>检查结果</w:t>
            </w:r>
          </w:p>
        </w:tc>
      </w:tr>
      <w:tr w14:paraId="6CBE5B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46" w:hRule="atLeast"/>
          <w:jc w:val="center"/>
        </w:trPr>
        <w:tc>
          <w:tcPr>
            <w:tcW w:w="499" w:type="dxa"/>
            <w:vAlign w:val="center"/>
          </w:tcPr>
          <w:p w14:paraId="5B9FD16C">
            <w:pPr>
              <w:pStyle w:val="59"/>
              <w:bidi w:val="0"/>
            </w:pPr>
            <w:r>
              <w:t>1</w:t>
            </w:r>
          </w:p>
        </w:tc>
        <w:tc>
          <w:tcPr>
            <w:tcW w:w="735" w:type="dxa"/>
            <w:vAlign w:val="center"/>
          </w:tcPr>
          <w:p w14:paraId="1D3208A8">
            <w:pPr>
              <w:pStyle w:val="59"/>
              <w:bidi w:val="0"/>
            </w:pPr>
            <w:r>
              <w:t>地表截水沟</w:t>
            </w:r>
          </w:p>
        </w:tc>
        <w:tc>
          <w:tcPr>
            <w:tcW w:w="2250" w:type="dxa"/>
            <w:vAlign w:val="center"/>
          </w:tcPr>
          <w:p w14:paraId="57FC9442">
            <w:pPr>
              <w:pStyle w:val="59"/>
              <w:bidi w:val="0"/>
            </w:pPr>
            <w:r>
              <w:t>检查内容：地表截水沟的设置与参数是否与批复的安全设施设计一致。</w:t>
            </w:r>
          </w:p>
          <w:p w14:paraId="0FD07CB9">
            <w:pPr>
              <w:pStyle w:val="59"/>
              <w:bidi w:val="0"/>
            </w:pPr>
            <w:r>
              <w:t>检查方法：查阅安全设施验收评价报告、现场抽查。</w:t>
            </w:r>
          </w:p>
        </w:tc>
        <w:tc>
          <w:tcPr>
            <w:tcW w:w="5205" w:type="dxa"/>
            <w:vAlign w:val="center"/>
          </w:tcPr>
          <w:p w14:paraId="0F31B84F">
            <w:pPr>
              <w:pStyle w:val="59"/>
              <w:bidi w:val="0"/>
            </w:pPr>
            <w:r>
              <w:rPr>
                <w:rFonts w:hint="eastAsia"/>
                <w:lang w:val="en-US" w:eastAsia="zh-CN"/>
              </w:rPr>
              <w:t>1、设计情况：</w:t>
            </w:r>
            <w:r>
              <w:rPr>
                <w:rFonts w:hint="eastAsia"/>
              </w:rPr>
              <w:t>矿区为独立山头，设计不设置上游截洪沟。</w:t>
            </w:r>
          </w:p>
          <w:p w14:paraId="622B65D7">
            <w:pPr>
              <w:pStyle w:val="59"/>
              <w:bidi w:val="0"/>
              <w:rPr>
                <w:rFonts w:hint="default"/>
                <w:lang w:val="en-US"/>
              </w:rPr>
            </w:pPr>
            <w:r>
              <w:rPr>
                <w:rFonts w:hint="eastAsia"/>
                <w:lang w:val="en-US" w:eastAsia="zh-CN"/>
              </w:rPr>
              <w:t>2、检查情况：与设计一致。</w:t>
            </w:r>
          </w:p>
        </w:tc>
        <w:tc>
          <w:tcPr>
            <w:tcW w:w="695" w:type="dxa"/>
            <w:vAlign w:val="center"/>
          </w:tcPr>
          <w:p w14:paraId="329DD9EE">
            <w:pPr>
              <w:pStyle w:val="59"/>
              <w:bidi w:val="0"/>
            </w:pPr>
            <w:bookmarkStart w:id="311" w:name="OLE_LINK35"/>
            <w:r>
              <w:t>符合</w:t>
            </w:r>
            <w:bookmarkEnd w:id="311"/>
          </w:p>
        </w:tc>
      </w:tr>
      <w:tr w14:paraId="542BE7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17" w:hRule="atLeast"/>
          <w:jc w:val="center"/>
        </w:trPr>
        <w:tc>
          <w:tcPr>
            <w:tcW w:w="499" w:type="dxa"/>
            <w:vAlign w:val="center"/>
          </w:tcPr>
          <w:p w14:paraId="5DB6CDAB">
            <w:pPr>
              <w:pStyle w:val="59"/>
              <w:bidi w:val="0"/>
            </w:pPr>
            <w:r>
              <w:t>2</w:t>
            </w:r>
          </w:p>
        </w:tc>
        <w:tc>
          <w:tcPr>
            <w:tcW w:w="735" w:type="dxa"/>
            <w:vAlign w:val="center"/>
          </w:tcPr>
          <w:p w14:paraId="48FD06E4">
            <w:pPr>
              <w:pStyle w:val="59"/>
              <w:bidi w:val="0"/>
              <w:rPr>
                <w:rFonts w:hint="default"/>
                <w:lang w:val="en-US" w:eastAsia="zh-CN"/>
              </w:rPr>
            </w:pPr>
            <w:r>
              <w:rPr>
                <w:rFonts w:hint="eastAsia"/>
                <w:lang w:val="en-US" w:eastAsia="zh-CN"/>
              </w:rPr>
              <w:t>台阶排水沟</w:t>
            </w:r>
          </w:p>
        </w:tc>
        <w:tc>
          <w:tcPr>
            <w:tcW w:w="2250" w:type="dxa"/>
            <w:vAlign w:val="center"/>
          </w:tcPr>
          <w:p w14:paraId="16FB8058">
            <w:pPr>
              <w:pStyle w:val="59"/>
              <w:bidi w:val="0"/>
            </w:pPr>
            <w:r>
              <w:t>检查内容：地表排洪沟（渠）的设置与参数是否与批复的安全设施设计一致。</w:t>
            </w:r>
          </w:p>
          <w:p w14:paraId="49776BB0">
            <w:pPr>
              <w:pStyle w:val="59"/>
              <w:bidi w:val="0"/>
            </w:pPr>
            <w:r>
              <w:t>检查方法：查阅安全设施验收评价报告、现场抽查。</w:t>
            </w:r>
          </w:p>
        </w:tc>
        <w:tc>
          <w:tcPr>
            <w:tcW w:w="5205" w:type="dxa"/>
            <w:vAlign w:val="center"/>
          </w:tcPr>
          <w:p w14:paraId="2D3E282D">
            <w:pPr>
              <w:pStyle w:val="50"/>
              <w:bidi w:val="0"/>
              <w:rPr>
                <w:rFonts w:hint="default"/>
              </w:rPr>
            </w:pPr>
            <w:r>
              <w:rPr>
                <w:rFonts w:hint="eastAsia"/>
                <w:lang w:val="en-US" w:eastAsia="zh-CN"/>
              </w:rPr>
              <w:t>1、设计情况：（1）</w:t>
            </w:r>
            <w:r>
              <w:rPr>
                <w:rFonts w:hint="eastAsia"/>
              </w:rPr>
              <w:t>平台排水沟</w:t>
            </w:r>
            <w:r>
              <w:rPr>
                <w:rFonts w:hint="eastAsia"/>
                <w:lang w:eastAsia="zh-CN"/>
              </w:rPr>
              <w:t>。</w:t>
            </w:r>
            <w:r>
              <w:rPr>
                <w:rFonts w:hint="default"/>
              </w:rPr>
              <w:t>在平台内侧设置排水沟，排水沟断面尺寸0.4m×0.3m×0.3m，平台工作面自边坡外侧向坡脚设置1～3%的方向坡度，将汇水集中至坡脚排水沟排出，防止汇水冲刷台阶边坡。</w:t>
            </w:r>
          </w:p>
          <w:p w14:paraId="3B45A5DB">
            <w:pPr>
              <w:pStyle w:val="50"/>
              <w:bidi w:val="0"/>
              <w:rPr>
                <w:rFonts w:hint="eastAsia"/>
                <w:lang w:val="en-US" w:eastAsia="zh-CN"/>
              </w:rPr>
            </w:pPr>
            <w:r>
              <w:rPr>
                <w:rFonts w:hint="eastAsia"/>
                <w:lang w:eastAsia="zh-CN"/>
              </w:rPr>
              <w:t>（</w:t>
            </w:r>
            <w:r>
              <w:rPr>
                <w:rFonts w:hint="eastAsia"/>
                <w:lang w:val="en-US" w:eastAsia="zh-CN"/>
              </w:rPr>
              <w:t>2）</w:t>
            </w:r>
            <w:r>
              <w:rPr>
                <w:rFonts w:hint="default"/>
              </w:rPr>
              <w:t>底部凹陷采坑排水：</w:t>
            </w:r>
            <w:r>
              <w:rPr>
                <w:rFonts w:hint="eastAsia"/>
                <w:lang w:val="en-US" w:eastAsia="zh-CN"/>
              </w:rPr>
              <w:t>开采完后矿区西南部</w:t>
            </w:r>
            <w:r>
              <w:rPr>
                <w:rFonts w:hint="default"/>
                <w:lang w:val="en-US" w:eastAsia="zh-CN"/>
              </w:rPr>
              <w:t>16</w:t>
            </w:r>
            <w:r>
              <w:rPr>
                <w:rFonts w:hint="eastAsia"/>
                <w:lang w:val="en-US" w:eastAsia="zh-CN"/>
              </w:rPr>
              <w:t>07</w:t>
            </w:r>
            <w:r>
              <w:rPr>
                <w:rFonts w:hint="default"/>
              </w:rPr>
              <w:t>m标高为凹陷采坑，采用机械排水，在采</w:t>
            </w:r>
            <w:r>
              <w:rPr>
                <w:rFonts w:hint="default"/>
                <w:lang w:val="en-US" w:eastAsia="zh-CN"/>
              </w:rPr>
              <w:t>坑西</w:t>
            </w:r>
            <w:r>
              <w:rPr>
                <w:rFonts w:hint="default"/>
              </w:rPr>
              <w:t>部出入口旁设置一个</w:t>
            </w:r>
            <w:r>
              <w:rPr>
                <w:rFonts w:hint="eastAsia"/>
                <w:lang w:eastAsia="zh-CN"/>
              </w:rPr>
              <w:t>4m×2m×2m</w:t>
            </w:r>
            <w:r>
              <w:rPr>
                <w:rFonts w:hint="default"/>
              </w:rPr>
              <w:t>的汇水池，利用水泵抽至场区外，水池最低标高</w:t>
            </w:r>
            <w:r>
              <w:rPr>
                <w:rFonts w:hint="eastAsia"/>
                <w:lang w:val="en-US" w:eastAsia="zh-CN"/>
              </w:rPr>
              <w:t>1603</w:t>
            </w:r>
            <w:r>
              <w:rPr>
                <w:rFonts w:hint="default"/>
              </w:rPr>
              <w:t>m，抽出位置标高1</w:t>
            </w:r>
            <w:r>
              <w:rPr>
                <w:rFonts w:hint="default"/>
                <w:lang w:val="en-US" w:eastAsia="zh-CN"/>
              </w:rPr>
              <w:t>6</w:t>
            </w:r>
            <w:r>
              <w:rPr>
                <w:rFonts w:hint="eastAsia"/>
                <w:lang w:val="en-US" w:eastAsia="zh-CN"/>
              </w:rPr>
              <w:t>30</w:t>
            </w:r>
            <w:r>
              <w:rPr>
                <w:rFonts w:hint="default"/>
              </w:rPr>
              <w:t>m</w:t>
            </w:r>
            <w:r>
              <w:rPr>
                <w:rFonts w:hint="eastAsia"/>
                <w:lang w:eastAsia="zh-CN"/>
              </w:rPr>
              <w:t>，</w:t>
            </w:r>
            <w:r>
              <w:rPr>
                <w:rFonts w:hint="default"/>
              </w:rPr>
              <w:t>高差</w:t>
            </w:r>
            <w:r>
              <w:rPr>
                <w:rFonts w:hint="eastAsia"/>
                <w:lang w:val="en-US" w:eastAsia="zh-CN"/>
              </w:rPr>
              <w:t>27</w:t>
            </w:r>
            <w:r>
              <w:rPr>
                <w:rFonts w:hint="default"/>
              </w:rPr>
              <w:t>m，选用抽水泵，型号为</w:t>
            </w:r>
            <w:r>
              <w:rPr>
                <w:rFonts w:hint="eastAsia"/>
                <w:lang w:eastAsia="zh-CN"/>
              </w:rPr>
              <w:t>40QW15-30-2.2</w:t>
            </w:r>
            <w:r>
              <w:rPr>
                <w:rFonts w:hint="default"/>
              </w:rPr>
              <w:t>潜水泵（抽水泵共计两台，型号为</w:t>
            </w:r>
            <w:r>
              <w:rPr>
                <w:rFonts w:hint="eastAsia"/>
                <w:lang w:eastAsia="zh-CN"/>
              </w:rPr>
              <w:t>40QW15-30-2.2</w:t>
            </w:r>
            <w:r>
              <w:rPr>
                <w:rFonts w:hint="default"/>
              </w:rPr>
              <w:t>潜水泵，</w:t>
            </w:r>
            <w:r>
              <w:rPr>
                <w:rFonts w:hint="eastAsia"/>
                <w:lang w:eastAsia="zh-CN"/>
              </w:rPr>
              <w:t>扬程30m，</w:t>
            </w:r>
            <w:r>
              <w:rPr>
                <w:rFonts w:hint="default"/>
              </w:rPr>
              <w:t>一台工作，一台备用）</w:t>
            </w:r>
            <w:r>
              <w:t>。</w:t>
            </w:r>
          </w:p>
          <w:p w14:paraId="74A80525">
            <w:pPr>
              <w:pStyle w:val="50"/>
              <w:bidi w:val="0"/>
              <w:rPr>
                <w:rFonts w:hint="eastAsia"/>
              </w:rPr>
            </w:pPr>
            <w:r>
              <w:rPr>
                <w:rFonts w:hint="eastAsia"/>
                <w:lang w:val="en-US" w:eastAsia="zh-CN"/>
              </w:rPr>
              <w:t>2、检查情况：（1）平台排水沟：</w:t>
            </w:r>
            <w:r>
              <w:rPr>
                <w:rFonts w:hint="eastAsia"/>
              </w:rPr>
              <w:t>在</w:t>
            </w:r>
            <w:r>
              <w:rPr>
                <w:rFonts w:hint="eastAsia"/>
                <w:lang w:val="en-US" w:eastAsia="zh-CN"/>
              </w:rPr>
              <w:t>1705m、1690m、1775m、1660m</w:t>
            </w:r>
            <w:r>
              <w:rPr>
                <w:rFonts w:hint="eastAsia"/>
              </w:rPr>
              <w:t>平台内侧设置排水沟，</w:t>
            </w:r>
            <w:r>
              <w:rPr>
                <w:rFonts w:hint="eastAsia"/>
                <w:lang w:val="en-US" w:eastAsia="zh-CN"/>
              </w:rPr>
              <w:t>平台为坚硬岩石，靠帮开凿</w:t>
            </w:r>
            <w:r>
              <w:rPr>
                <w:rFonts w:hint="eastAsia"/>
              </w:rPr>
              <w:t>排水沟断面尺寸</w:t>
            </w:r>
            <w:r>
              <w:rPr>
                <w:rFonts w:hint="eastAsia"/>
                <w:lang w:eastAsia="zh-CN"/>
              </w:rPr>
              <w:t>（</w:t>
            </w:r>
            <w:r>
              <w:rPr>
                <w:rFonts w:hint="eastAsia"/>
              </w:rPr>
              <w:t>0.4m＋0.3m</w:t>
            </w:r>
            <w:r>
              <w:rPr>
                <w:rFonts w:hint="eastAsia"/>
                <w:lang w:eastAsia="zh-CN"/>
              </w:rPr>
              <w:t>）×</w:t>
            </w:r>
            <w:r>
              <w:rPr>
                <w:rFonts w:hint="eastAsia"/>
              </w:rPr>
              <w:t>0.3m</w:t>
            </w:r>
          </w:p>
          <w:p w14:paraId="774C4B5A">
            <w:pPr>
              <w:pStyle w:val="50"/>
              <w:bidi w:val="0"/>
              <w:rPr>
                <w:rFonts w:hint="default"/>
                <w:lang w:val="en-US"/>
              </w:rPr>
            </w:pPr>
            <w:r>
              <w:rPr>
                <w:rFonts w:hint="eastAsia"/>
                <w:lang w:val="en-US" w:eastAsia="zh-CN"/>
              </w:rPr>
              <w:t>（2）汇水池：采矿未终了，未形成设置条件。</w:t>
            </w:r>
          </w:p>
        </w:tc>
        <w:tc>
          <w:tcPr>
            <w:tcW w:w="695" w:type="dxa"/>
            <w:vAlign w:val="center"/>
          </w:tcPr>
          <w:p w14:paraId="44F3B322">
            <w:pPr>
              <w:pStyle w:val="59"/>
              <w:bidi w:val="0"/>
            </w:pPr>
            <w:r>
              <w:t>符合</w:t>
            </w:r>
          </w:p>
        </w:tc>
      </w:tr>
    </w:tbl>
    <w:p w14:paraId="01DC8488">
      <w:pPr>
        <w:bidi w:val="0"/>
        <w:rPr>
          <w:lang w:val="en-US" w:eastAsia="en-US"/>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检查2项内容，其中</w:t>
      </w: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14:textFill>
            <w14:solidFill>
              <w14:schemeClr w14:val="tx1"/>
            </w14:solidFill>
          </w14:textFill>
        </w:rPr>
        <w:t>项符合，</w:t>
      </w:r>
      <w:r>
        <w:rPr>
          <w:rFonts w:hint="eastAsia" w:ascii="Times New Roman" w:hAnsi="Times New Roman"/>
          <w:color w:val="000000" w:themeColor="text1"/>
          <w:lang w:val="en-US" w:eastAsia="zh-CN"/>
          <w14:textFill>
            <w14:solidFill>
              <w14:schemeClr w14:val="tx1"/>
            </w14:solidFill>
          </w14:textFill>
        </w:rPr>
        <w:t>0</w:t>
      </w:r>
      <w:r>
        <w:rPr>
          <w:rFonts w:ascii="Times New Roman" w:hAnsi="Times New Roman"/>
          <w:color w:val="000000" w:themeColor="text1"/>
          <w14:textFill>
            <w14:solidFill>
              <w14:schemeClr w14:val="tx1"/>
            </w14:solidFill>
          </w14:textFill>
        </w:rPr>
        <w:t>项不符合</w:t>
      </w:r>
      <w:r>
        <w:rPr>
          <w:lang w:val="en-US" w:eastAsia="en-US"/>
        </w:rPr>
        <w:t>。</w:t>
      </w:r>
    </w:p>
    <w:p w14:paraId="7AC071B3">
      <w:pPr>
        <w:pStyle w:val="4"/>
        <w:rPr>
          <w:snapToGrid w:val="0"/>
        </w:rPr>
      </w:pPr>
      <w:bookmarkStart w:id="312" w:name="_Toc23600"/>
      <w:bookmarkStart w:id="313" w:name="_Toc5568"/>
      <w:bookmarkStart w:id="314" w:name="_Toc17467"/>
      <w:bookmarkStart w:id="315" w:name="_Toc483865736"/>
      <w:bookmarkStart w:id="316" w:name="_Toc476244164"/>
      <w:bookmarkStart w:id="317" w:name="_Toc14961"/>
      <w:bookmarkStart w:id="318" w:name="_Toc454614323"/>
      <w:bookmarkStart w:id="319" w:name="_Toc20986"/>
      <w:bookmarkStart w:id="320" w:name="_Toc214284038"/>
      <w:r>
        <w:t>3.3.2单元小结</w:t>
      </w:r>
      <w:bookmarkEnd w:id="312"/>
      <w:bookmarkEnd w:id="313"/>
      <w:bookmarkEnd w:id="314"/>
      <w:bookmarkEnd w:id="315"/>
      <w:bookmarkEnd w:id="316"/>
      <w:bookmarkEnd w:id="317"/>
      <w:bookmarkEnd w:id="318"/>
      <w:bookmarkEnd w:id="319"/>
      <w:bookmarkEnd w:id="320"/>
    </w:p>
    <w:p w14:paraId="578939F8">
      <w:pPr>
        <w:bidi w:val="0"/>
        <w:rPr>
          <w:color w:val="auto"/>
        </w:rPr>
      </w:pPr>
      <w:r>
        <w:rPr>
          <w:color w:val="auto"/>
        </w:rPr>
        <w:t>矿区属山坡露天开采，强降雨或暴雨会造成采坑少量积水，由于属山坡露天开采，地形有利于自然排泄。已按设计要求在</w:t>
      </w:r>
      <w:r>
        <w:rPr>
          <w:rFonts w:hint="eastAsia"/>
          <w:color w:val="auto"/>
          <w:lang w:val="en-US" w:eastAsia="zh-CN"/>
        </w:rPr>
        <w:t>露天采场平台</w:t>
      </w:r>
      <w:r>
        <w:rPr>
          <w:color w:val="auto"/>
        </w:rPr>
        <w:t>内侧修建</w:t>
      </w:r>
      <w:r>
        <w:rPr>
          <w:rFonts w:hint="eastAsia"/>
          <w:color w:val="auto"/>
          <w:lang w:val="en-US" w:eastAsia="zh-CN"/>
        </w:rPr>
        <w:t>岩石</w:t>
      </w:r>
      <w:r>
        <w:rPr>
          <w:rFonts w:hint="eastAsia"/>
          <w:color w:val="auto"/>
        </w:rPr>
        <w:t>毛沟</w:t>
      </w:r>
      <w:r>
        <w:rPr>
          <w:color w:val="auto"/>
        </w:rPr>
        <w:t>排水，大气降水多以地表径流方式向矿区外围低凹的沟谷进行排泄。</w:t>
      </w:r>
      <w:r>
        <w:rPr>
          <w:rFonts w:hint="eastAsia"/>
          <w:color w:val="auto"/>
          <w:lang w:val="en-US" w:eastAsia="zh-CN"/>
        </w:rPr>
        <w:t>1607m标高平台未形成，未建汇水池</w:t>
      </w:r>
      <w:r>
        <w:rPr>
          <w:rFonts w:hint="eastAsia" w:ascii="Times New Roman" w:hAnsi="Times New Roman" w:cs="Times New Roman"/>
          <w:color w:val="auto"/>
          <w:szCs w:val="28"/>
          <w:lang w:eastAsia="zh-CN"/>
        </w:rPr>
        <w:t>，</w:t>
      </w:r>
      <w:r>
        <w:rPr>
          <w:color w:val="auto"/>
        </w:rPr>
        <w:t>符合安全设施设计要求。</w:t>
      </w:r>
    </w:p>
    <w:p w14:paraId="43D6EB9E">
      <w:pPr>
        <w:bidi w:val="0"/>
        <w:rPr>
          <w:color w:val="auto"/>
        </w:rPr>
      </w:pPr>
      <w:r>
        <w:rPr>
          <w:color w:val="auto"/>
        </w:rPr>
        <w:t>经评价认为采场防排水采用自然排泄以及</w:t>
      </w:r>
      <w:r>
        <w:rPr>
          <w:rFonts w:hint="eastAsia"/>
          <w:color w:val="auto"/>
          <w:lang w:val="en-US" w:eastAsia="zh-CN"/>
        </w:rPr>
        <w:t>机械</w:t>
      </w:r>
      <w:r>
        <w:rPr>
          <w:color w:val="auto"/>
        </w:rPr>
        <w:t>排水，能满足安全生产的要求。</w:t>
      </w:r>
    </w:p>
    <w:p w14:paraId="2719F586">
      <w:pPr>
        <w:pStyle w:val="3"/>
      </w:pPr>
      <w:bookmarkStart w:id="321" w:name="_Toc16700"/>
      <w:bookmarkStart w:id="322" w:name="_Toc28317"/>
      <w:bookmarkStart w:id="323" w:name="_Toc214284039"/>
      <w:r>
        <w:t>3.4矿岩运输</w:t>
      </w:r>
      <w:bookmarkEnd w:id="321"/>
      <w:bookmarkEnd w:id="322"/>
      <w:bookmarkEnd w:id="323"/>
    </w:p>
    <w:p w14:paraId="29ECE974">
      <w:pPr>
        <w:pStyle w:val="4"/>
      </w:pPr>
      <w:bookmarkStart w:id="324" w:name="_Toc402444168"/>
      <w:bookmarkStart w:id="325" w:name="_Toc483865740"/>
      <w:bookmarkStart w:id="326" w:name="_Toc15775"/>
      <w:bookmarkStart w:id="327" w:name="_Toc454614327"/>
      <w:bookmarkStart w:id="328" w:name="_Toc12886"/>
      <w:bookmarkStart w:id="329" w:name="_Toc214284040"/>
      <w:bookmarkStart w:id="330" w:name="_Toc476244168"/>
      <w:r>
        <w:t>3.4.1矿岩运输系统符合性评价</w:t>
      </w:r>
      <w:bookmarkEnd w:id="324"/>
      <w:bookmarkEnd w:id="325"/>
      <w:bookmarkEnd w:id="326"/>
      <w:bookmarkEnd w:id="327"/>
      <w:bookmarkEnd w:id="328"/>
      <w:bookmarkEnd w:id="329"/>
      <w:bookmarkEnd w:id="330"/>
    </w:p>
    <w:p w14:paraId="00C4BD78">
      <w:pPr>
        <w:bidi w:val="0"/>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w:t>
      </w:r>
      <w:r>
        <w:rPr>
          <w:rFonts w:hint="eastAsia"/>
          <w:lang w:eastAsia="zh-CN"/>
        </w:rPr>
        <w:t>内容</w:t>
      </w:r>
      <w:r>
        <w:t>对</w:t>
      </w:r>
      <w:r>
        <w:rPr>
          <w:rFonts w:hint="eastAsia"/>
          <w:lang w:val="en-US" w:eastAsia="zh-CN"/>
        </w:rPr>
        <w:t>矿山开拓运输</w:t>
      </w:r>
      <w:r>
        <w:t>进行符合性检查。</w:t>
      </w:r>
    </w:p>
    <w:p w14:paraId="16A54C29">
      <w:pPr>
        <w:pStyle w:val="73"/>
        <w:bidi w:val="0"/>
      </w:pPr>
      <w:r>
        <w:t>表</w:t>
      </w:r>
      <w:r>
        <w:rPr>
          <w:rFonts w:hint="eastAsia"/>
          <w:lang w:val="en-US" w:eastAsia="zh-CN"/>
        </w:rPr>
        <w:t>3.4-1矿山开拓运输</w:t>
      </w:r>
      <w:r>
        <w:rPr>
          <w:rFonts w:hint="eastAsia"/>
          <w:lang w:eastAsia="zh-CN"/>
        </w:rPr>
        <w:t>验收</w:t>
      </w:r>
      <w:r>
        <w:t>检查表</w:t>
      </w:r>
    </w:p>
    <w:tbl>
      <w:tblPr>
        <w:tblStyle w:val="35"/>
        <w:tblW w:w="5191"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06"/>
        <w:gridCol w:w="1169"/>
        <w:gridCol w:w="713"/>
        <w:gridCol w:w="728"/>
        <w:gridCol w:w="4692"/>
        <w:gridCol w:w="1385"/>
        <w:gridCol w:w="643"/>
      </w:tblGrid>
      <w:tr w14:paraId="6CDB65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304" w:type="pct"/>
            <w:noWrap w:val="0"/>
            <w:vAlign w:val="center"/>
          </w:tcPr>
          <w:p w14:paraId="4A7794C4">
            <w:pPr>
              <w:pStyle w:val="47"/>
              <w:bidi w:val="0"/>
            </w:pPr>
            <w:r>
              <w:t>序号</w:t>
            </w:r>
          </w:p>
        </w:tc>
        <w:tc>
          <w:tcPr>
            <w:tcW w:w="588" w:type="pct"/>
            <w:noWrap w:val="0"/>
            <w:vAlign w:val="center"/>
          </w:tcPr>
          <w:p w14:paraId="55C06BC4">
            <w:pPr>
              <w:pStyle w:val="47"/>
              <w:bidi w:val="0"/>
            </w:pPr>
            <w:r>
              <w:t>检查项目</w:t>
            </w:r>
          </w:p>
        </w:tc>
        <w:tc>
          <w:tcPr>
            <w:tcW w:w="358" w:type="pct"/>
            <w:noWrap w:val="0"/>
            <w:vAlign w:val="center"/>
          </w:tcPr>
          <w:p w14:paraId="1E0BAF2F">
            <w:pPr>
              <w:pStyle w:val="47"/>
              <w:bidi w:val="0"/>
            </w:pPr>
            <w:r>
              <w:t>安全设施类别</w:t>
            </w:r>
          </w:p>
        </w:tc>
        <w:tc>
          <w:tcPr>
            <w:tcW w:w="366" w:type="pct"/>
            <w:noWrap w:val="0"/>
            <w:vAlign w:val="center"/>
          </w:tcPr>
          <w:p w14:paraId="602FA69A">
            <w:pPr>
              <w:pStyle w:val="47"/>
              <w:bidi w:val="0"/>
            </w:pPr>
            <w:r>
              <w:t>检查</w:t>
            </w:r>
          </w:p>
          <w:p w14:paraId="277DF0B2">
            <w:pPr>
              <w:pStyle w:val="47"/>
              <w:bidi w:val="0"/>
            </w:pPr>
            <w:r>
              <w:t>类别</w:t>
            </w:r>
          </w:p>
        </w:tc>
        <w:tc>
          <w:tcPr>
            <w:tcW w:w="2361" w:type="pct"/>
            <w:noWrap w:val="0"/>
            <w:vAlign w:val="center"/>
          </w:tcPr>
          <w:p w14:paraId="5F1CFBE9">
            <w:pPr>
              <w:pStyle w:val="47"/>
              <w:bidi w:val="0"/>
            </w:pPr>
            <w:r>
              <w:t>检查内容、检查方法</w:t>
            </w:r>
          </w:p>
        </w:tc>
        <w:tc>
          <w:tcPr>
            <w:tcW w:w="696" w:type="pct"/>
            <w:noWrap w:val="0"/>
            <w:vAlign w:val="center"/>
          </w:tcPr>
          <w:p w14:paraId="5BEAC4F9">
            <w:pPr>
              <w:pStyle w:val="47"/>
              <w:bidi w:val="0"/>
              <w:rPr>
                <w:rFonts w:hint="default" w:eastAsia="宋体"/>
                <w:lang w:val="en-US" w:eastAsia="zh-CN"/>
              </w:rPr>
            </w:pPr>
            <w:r>
              <w:rPr>
                <w:rFonts w:hint="eastAsia"/>
                <w:lang w:val="en-US" w:eastAsia="zh-CN"/>
              </w:rPr>
              <w:t>检查情况</w:t>
            </w:r>
          </w:p>
        </w:tc>
        <w:tc>
          <w:tcPr>
            <w:tcW w:w="323" w:type="pct"/>
            <w:noWrap w:val="0"/>
            <w:vAlign w:val="center"/>
          </w:tcPr>
          <w:p w14:paraId="03F91A7B">
            <w:pPr>
              <w:pStyle w:val="47"/>
              <w:bidi w:val="0"/>
            </w:pPr>
            <w:r>
              <w:t>检查结果</w:t>
            </w:r>
          </w:p>
        </w:tc>
      </w:tr>
      <w:tr w14:paraId="6EE08B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8" w:hRule="atLeast"/>
          <w:jc w:val="center"/>
        </w:trPr>
        <w:tc>
          <w:tcPr>
            <w:tcW w:w="304" w:type="pct"/>
            <w:noWrap/>
            <w:vAlign w:val="center"/>
          </w:tcPr>
          <w:p w14:paraId="2B92FE5E">
            <w:pPr>
              <w:pStyle w:val="50"/>
              <w:bidi w:val="0"/>
            </w:pPr>
            <w:r>
              <w:t>1</w:t>
            </w:r>
          </w:p>
        </w:tc>
        <w:tc>
          <w:tcPr>
            <w:tcW w:w="588" w:type="pct"/>
            <w:noWrap/>
            <w:vAlign w:val="center"/>
          </w:tcPr>
          <w:p w14:paraId="25766646">
            <w:pPr>
              <w:pStyle w:val="50"/>
              <w:bidi w:val="0"/>
            </w:pPr>
            <w:r>
              <w:rPr>
                <w:rFonts w:hint="eastAsia"/>
              </w:rPr>
              <w:t>公路</w:t>
            </w:r>
            <w:r>
              <w:t>运输</w:t>
            </w:r>
          </w:p>
        </w:tc>
        <w:tc>
          <w:tcPr>
            <w:tcW w:w="358" w:type="pct"/>
            <w:noWrap w:val="0"/>
            <w:vAlign w:val="center"/>
          </w:tcPr>
          <w:p w14:paraId="771CB75C">
            <w:pPr>
              <w:pStyle w:val="50"/>
              <w:bidi w:val="0"/>
            </w:pPr>
          </w:p>
        </w:tc>
        <w:tc>
          <w:tcPr>
            <w:tcW w:w="366" w:type="pct"/>
            <w:noWrap w:val="0"/>
            <w:vAlign w:val="center"/>
          </w:tcPr>
          <w:p w14:paraId="296B2506">
            <w:pPr>
              <w:pStyle w:val="50"/>
              <w:bidi w:val="0"/>
            </w:pPr>
          </w:p>
        </w:tc>
        <w:tc>
          <w:tcPr>
            <w:tcW w:w="2361" w:type="pct"/>
            <w:noWrap w:val="0"/>
            <w:vAlign w:val="center"/>
          </w:tcPr>
          <w:p w14:paraId="3D25B2B5">
            <w:pPr>
              <w:pStyle w:val="50"/>
              <w:bidi w:val="0"/>
            </w:pPr>
          </w:p>
        </w:tc>
        <w:tc>
          <w:tcPr>
            <w:tcW w:w="696" w:type="pct"/>
            <w:noWrap w:val="0"/>
            <w:vAlign w:val="top"/>
          </w:tcPr>
          <w:p w14:paraId="156E2E2F">
            <w:pPr>
              <w:pStyle w:val="50"/>
              <w:bidi w:val="0"/>
            </w:pPr>
          </w:p>
        </w:tc>
        <w:tc>
          <w:tcPr>
            <w:tcW w:w="323" w:type="pct"/>
            <w:noWrap w:val="0"/>
            <w:vAlign w:val="top"/>
          </w:tcPr>
          <w:p w14:paraId="523D36CF">
            <w:pPr>
              <w:pStyle w:val="50"/>
              <w:bidi w:val="0"/>
            </w:pPr>
          </w:p>
        </w:tc>
      </w:tr>
      <w:tr w14:paraId="537DF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1" w:hRule="atLeast"/>
          <w:jc w:val="center"/>
        </w:trPr>
        <w:tc>
          <w:tcPr>
            <w:tcW w:w="304" w:type="pct"/>
            <w:noWrap/>
            <w:vAlign w:val="center"/>
          </w:tcPr>
          <w:p w14:paraId="50BD29B5">
            <w:pPr>
              <w:pStyle w:val="50"/>
              <w:bidi w:val="0"/>
            </w:pPr>
            <w:r>
              <w:t>1.1</w:t>
            </w:r>
          </w:p>
        </w:tc>
        <w:tc>
          <w:tcPr>
            <w:tcW w:w="588" w:type="pct"/>
            <w:noWrap/>
            <w:vAlign w:val="center"/>
          </w:tcPr>
          <w:p w14:paraId="25DF91AA">
            <w:pPr>
              <w:pStyle w:val="50"/>
              <w:bidi w:val="0"/>
            </w:pPr>
            <w:r>
              <w:t>道路参数</w:t>
            </w:r>
          </w:p>
        </w:tc>
        <w:tc>
          <w:tcPr>
            <w:tcW w:w="358" w:type="pct"/>
            <w:noWrap w:val="0"/>
            <w:vAlign w:val="center"/>
          </w:tcPr>
          <w:p w14:paraId="6765EF0E">
            <w:pPr>
              <w:pStyle w:val="50"/>
              <w:bidi w:val="0"/>
            </w:pPr>
            <w:r>
              <w:t>基本</w:t>
            </w:r>
          </w:p>
        </w:tc>
        <w:tc>
          <w:tcPr>
            <w:tcW w:w="366" w:type="pct"/>
            <w:noWrap w:val="0"/>
            <w:vAlign w:val="center"/>
          </w:tcPr>
          <w:p w14:paraId="2C06D286">
            <w:pPr>
              <w:pStyle w:val="50"/>
              <w:bidi w:val="0"/>
            </w:pPr>
            <w:r>
              <w:t>△</w:t>
            </w:r>
          </w:p>
        </w:tc>
        <w:tc>
          <w:tcPr>
            <w:tcW w:w="2361" w:type="pct"/>
            <w:noWrap w:val="0"/>
            <w:vAlign w:val="center"/>
          </w:tcPr>
          <w:p w14:paraId="4CE202E0">
            <w:pPr>
              <w:pStyle w:val="50"/>
              <w:bidi w:val="0"/>
              <w:rPr>
                <w:rFonts w:hint="eastAsia" w:eastAsia="宋体"/>
                <w:lang w:val="en-US" w:eastAsia="zh-CN"/>
              </w:rPr>
            </w:pPr>
            <w:r>
              <w:t>检查内容：运输道路等级、道路参数（包括宽度、坡度、最小转弯半径、缓坡段等）是否与批复的安全设施设计一致</w:t>
            </w:r>
            <w:r>
              <w:rPr>
                <w:rFonts w:hint="eastAsia"/>
                <w:lang w:eastAsia="zh-CN"/>
              </w:rPr>
              <w:t>。</w:t>
            </w:r>
          </w:p>
          <w:p w14:paraId="6453B260">
            <w:pPr>
              <w:pStyle w:val="50"/>
              <w:bidi w:val="0"/>
            </w:pPr>
            <w:r>
              <w:t>检查方法：查阅安全设施验收评价报告、现场抽查。</w:t>
            </w:r>
          </w:p>
        </w:tc>
        <w:tc>
          <w:tcPr>
            <w:tcW w:w="696" w:type="pct"/>
            <w:noWrap w:val="0"/>
            <w:vAlign w:val="center"/>
          </w:tcPr>
          <w:p w14:paraId="506FD1D0">
            <w:pPr>
              <w:pStyle w:val="55"/>
              <w:numPr>
                <w:ilvl w:val="0"/>
                <w:numId w:val="0"/>
              </w:numPr>
              <w:bidi w:val="0"/>
              <w:ind w:left="0" w:leftChars="0" w:firstLine="0" w:firstLineChars="0"/>
            </w:pPr>
            <w:r>
              <w:rPr>
                <w:rFonts w:hint="eastAsia"/>
                <w:lang w:val="en-US" w:eastAsia="zh-CN"/>
              </w:rPr>
              <w:t>道路宽约</w:t>
            </w:r>
            <w:r>
              <w:rPr>
                <w:rFonts w:hint="eastAsia"/>
                <w:color w:val="auto"/>
                <w:lang w:val="en-US" w:eastAsia="zh-CN"/>
              </w:rPr>
              <w:t>6m-8m，无急弯，除上破</w:t>
            </w:r>
            <w:r>
              <w:rPr>
                <w:rFonts w:hint="eastAsia"/>
                <w:lang w:val="en-US" w:eastAsia="zh-CN"/>
              </w:rPr>
              <w:t>碎站道路外，无陡坡</w:t>
            </w:r>
            <w:r>
              <w:t>。</w:t>
            </w:r>
          </w:p>
        </w:tc>
        <w:tc>
          <w:tcPr>
            <w:tcW w:w="323" w:type="pct"/>
            <w:noWrap w:val="0"/>
            <w:vAlign w:val="center"/>
          </w:tcPr>
          <w:p w14:paraId="5ADCABAC">
            <w:pPr>
              <w:pStyle w:val="50"/>
              <w:bidi w:val="0"/>
              <w:rPr>
                <w:rFonts w:hint="eastAsia" w:eastAsia="宋体"/>
                <w:lang w:val="en-US" w:eastAsia="zh-CN"/>
              </w:rPr>
            </w:pPr>
            <w:r>
              <w:rPr>
                <w:rFonts w:hint="eastAsia"/>
                <w:lang w:val="en-US" w:eastAsia="zh-CN"/>
              </w:rPr>
              <w:t>符合</w:t>
            </w:r>
          </w:p>
        </w:tc>
      </w:tr>
      <w:tr w14:paraId="531B11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50" w:hRule="atLeast"/>
          <w:jc w:val="center"/>
        </w:trPr>
        <w:tc>
          <w:tcPr>
            <w:tcW w:w="304" w:type="pct"/>
            <w:noWrap/>
            <w:vAlign w:val="center"/>
          </w:tcPr>
          <w:p w14:paraId="1748C579">
            <w:pPr>
              <w:pStyle w:val="50"/>
              <w:bidi w:val="0"/>
            </w:pPr>
            <w:r>
              <w:t>1.2</w:t>
            </w:r>
          </w:p>
        </w:tc>
        <w:tc>
          <w:tcPr>
            <w:tcW w:w="588" w:type="pct"/>
            <w:noWrap/>
            <w:vAlign w:val="center"/>
          </w:tcPr>
          <w:p w14:paraId="39524A09">
            <w:pPr>
              <w:pStyle w:val="50"/>
              <w:bidi w:val="0"/>
            </w:pPr>
            <w:r>
              <w:t>警示标志</w:t>
            </w:r>
          </w:p>
        </w:tc>
        <w:tc>
          <w:tcPr>
            <w:tcW w:w="358" w:type="pct"/>
            <w:noWrap w:val="0"/>
            <w:vAlign w:val="center"/>
          </w:tcPr>
          <w:p w14:paraId="7DA82400">
            <w:pPr>
              <w:pStyle w:val="50"/>
              <w:bidi w:val="0"/>
            </w:pPr>
            <w:r>
              <w:t>专用</w:t>
            </w:r>
          </w:p>
        </w:tc>
        <w:tc>
          <w:tcPr>
            <w:tcW w:w="366" w:type="pct"/>
            <w:noWrap w:val="0"/>
            <w:vAlign w:val="center"/>
          </w:tcPr>
          <w:p w14:paraId="1E4242B2">
            <w:pPr>
              <w:pStyle w:val="50"/>
              <w:bidi w:val="0"/>
            </w:pPr>
            <w:r>
              <w:t>△</w:t>
            </w:r>
          </w:p>
        </w:tc>
        <w:tc>
          <w:tcPr>
            <w:tcW w:w="2361" w:type="pct"/>
            <w:noWrap w:val="0"/>
            <w:vAlign w:val="center"/>
          </w:tcPr>
          <w:p w14:paraId="7D2D2383">
            <w:pPr>
              <w:pStyle w:val="50"/>
              <w:bidi w:val="0"/>
            </w:pPr>
            <w:r>
              <w:t>检查内容：道路的急弯、陡坡、危险地段的警示标志的设置是否符合国家的有关规定。</w:t>
            </w:r>
          </w:p>
          <w:p w14:paraId="7C92191E">
            <w:pPr>
              <w:pStyle w:val="50"/>
              <w:bidi w:val="0"/>
            </w:pPr>
            <w:r>
              <w:t>检查方法：查阅安全设施验收评价报告、现场抽查。</w:t>
            </w:r>
          </w:p>
        </w:tc>
        <w:tc>
          <w:tcPr>
            <w:tcW w:w="696" w:type="pct"/>
            <w:noWrap w:val="0"/>
            <w:vAlign w:val="center"/>
          </w:tcPr>
          <w:p w14:paraId="2770A51B">
            <w:pPr>
              <w:pStyle w:val="55"/>
              <w:numPr>
                <w:ilvl w:val="0"/>
                <w:numId w:val="0"/>
              </w:numPr>
              <w:bidi w:val="0"/>
              <w:ind w:left="0" w:leftChars="0" w:firstLine="0" w:firstLineChars="0"/>
              <w:rPr>
                <w:color w:val="auto"/>
              </w:rPr>
            </w:pPr>
            <w:r>
              <w:rPr>
                <w:rFonts w:hint="eastAsia"/>
                <w:color w:val="auto"/>
                <w:lang w:val="en-US" w:eastAsia="zh-CN"/>
              </w:rPr>
              <w:t>现场检查，</w:t>
            </w:r>
            <w:r>
              <w:rPr>
                <w:color w:val="auto"/>
              </w:rPr>
              <w:t>运输道路设置有</w:t>
            </w:r>
            <w:r>
              <w:rPr>
                <w:rFonts w:hint="eastAsia"/>
                <w:color w:val="auto"/>
                <w:lang w:eastAsia="zh-CN"/>
              </w:rPr>
              <w:t>“</w:t>
            </w:r>
            <w:r>
              <w:rPr>
                <w:rFonts w:hint="eastAsia"/>
                <w:color w:val="auto"/>
                <w:lang w:val="en-US" w:eastAsia="zh-CN"/>
              </w:rPr>
              <w:t>限速”</w:t>
            </w:r>
            <w:r>
              <w:rPr>
                <w:color w:val="auto"/>
              </w:rPr>
              <w:t>等安全警示标志</w:t>
            </w:r>
          </w:p>
        </w:tc>
        <w:tc>
          <w:tcPr>
            <w:tcW w:w="323" w:type="pct"/>
            <w:noWrap w:val="0"/>
            <w:vAlign w:val="center"/>
          </w:tcPr>
          <w:p w14:paraId="2AD828A5">
            <w:pPr>
              <w:pStyle w:val="50"/>
              <w:bidi w:val="0"/>
            </w:pPr>
            <w:r>
              <w:rPr>
                <w:rFonts w:hint="eastAsia"/>
                <w:lang w:val="en-US" w:eastAsia="zh-CN"/>
              </w:rPr>
              <w:t>符合</w:t>
            </w:r>
          </w:p>
        </w:tc>
      </w:tr>
      <w:tr w14:paraId="2579C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9" w:hRule="atLeast"/>
          <w:jc w:val="center"/>
        </w:trPr>
        <w:tc>
          <w:tcPr>
            <w:tcW w:w="304" w:type="pct"/>
            <w:noWrap w:val="0"/>
            <w:vAlign w:val="center"/>
          </w:tcPr>
          <w:p w14:paraId="2B350F01">
            <w:pPr>
              <w:pStyle w:val="50"/>
              <w:bidi w:val="0"/>
            </w:pPr>
            <w:r>
              <w:t>1.3</w:t>
            </w:r>
          </w:p>
        </w:tc>
        <w:tc>
          <w:tcPr>
            <w:tcW w:w="588" w:type="pct"/>
            <w:noWrap w:val="0"/>
            <w:vAlign w:val="center"/>
          </w:tcPr>
          <w:p w14:paraId="3209F993">
            <w:pPr>
              <w:pStyle w:val="50"/>
              <w:bidi w:val="0"/>
            </w:pPr>
            <w:r>
              <w:t>护栏及挡车墙（堆）</w:t>
            </w:r>
          </w:p>
        </w:tc>
        <w:tc>
          <w:tcPr>
            <w:tcW w:w="358" w:type="pct"/>
            <w:noWrap w:val="0"/>
            <w:vAlign w:val="center"/>
          </w:tcPr>
          <w:p w14:paraId="76AB70E6">
            <w:pPr>
              <w:pStyle w:val="50"/>
              <w:bidi w:val="0"/>
            </w:pPr>
            <w:r>
              <w:t>专用</w:t>
            </w:r>
          </w:p>
        </w:tc>
        <w:tc>
          <w:tcPr>
            <w:tcW w:w="366" w:type="pct"/>
            <w:noWrap w:val="0"/>
            <w:vAlign w:val="center"/>
          </w:tcPr>
          <w:p w14:paraId="0B6EDF11">
            <w:pPr>
              <w:pStyle w:val="50"/>
              <w:bidi w:val="0"/>
            </w:pPr>
            <w:r>
              <w:t>△</w:t>
            </w:r>
          </w:p>
        </w:tc>
        <w:tc>
          <w:tcPr>
            <w:tcW w:w="2361" w:type="pct"/>
            <w:noWrap w:val="0"/>
            <w:vAlign w:val="center"/>
          </w:tcPr>
          <w:p w14:paraId="4D4777EA">
            <w:pPr>
              <w:pStyle w:val="50"/>
              <w:bidi w:val="0"/>
            </w:pPr>
            <w:r>
              <w:t>检查内容：山坡填方的弯道、坡度较大的填方地段以及高堤路基路段，外侧护栏、挡车墙（堆）等的设置是否与批复的安全设施设计一致。</w:t>
            </w:r>
          </w:p>
          <w:p w14:paraId="7248ED25">
            <w:pPr>
              <w:pStyle w:val="50"/>
              <w:bidi w:val="0"/>
            </w:pPr>
            <w:r>
              <w:t>检查方法：查阅安全设施验收评价报告、现场抽查。</w:t>
            </w:r>
          </w:p>
        </w:tc>
        <w:tc>
          <w:tcPr>
            <w:tcW w:w="696" w:type="pct"/>
            <w:noWrap w:val="0"/>
            <w:vAlign w:val="center"/>
          </w:tcPr>
          <w:p w14:paraId="09466CB6">
            <w:pPr>
              <w:pStyle w:val="55"/>
              <w:bidi w:val="0"/>
              <w:ind w:firstLine="0" w:firstLineChars="0"/>
              <w:rPr>
                <w:color w:val="auto"/>
              </w:rPr>
            </w:pPr>
            <w:r>
              <w:rPr>
                <w:rFonts w:hint="eastAsia"/>
                <w:color w:val="auto"/>
                <w:lang w:val="en-US" w:eastAsia="zh-CN"/>
              </w:rPr>
              <w:t>现场检查：</w:t>
            </w:r>
            <w:r>
              <w:rPr>
                <w:rFonts w:hint="default"/>
                <w:color w:val="auto"/>
              </w:rPr>
              <w:t>路外侧设置车挡设施（顶宽0.6m</w:t>
            </w:r>
            <w:r>
              <w:rPr>
                <w:rFonts w:hint="eastAsia"/>
                <w:color w:val="auto"/>
                <w:lang w:val="en-US" w:eastAsia="zh-CN"/>
              </w:rPr>
              <w:t>+</w:t>
            </w:r>
            <w:r>
              <w:rPr>
                <w:rFonts w:hint="default"/>
                <w:color w:val="auto"/>
              </w:rPr>
              <w:t>底宽1.2m</w:t>
            </w:r>
            <w:r>
              <w:rPr>
                <w:rFonts w:hint="eastAsia"/>
                <w:color w:val="auto"/>
                <w:lang w:eastAsia="zh-CN"/>
              </w:rPr>
              <w:t>）</w:t>
            </w:r>
            <w:r>
              <w:rPr>
                <w:color w:val="auto"/>
              </w:rPr>
              <w:t>×</w:t>
            </w:r>
            <w:r>
              <w:rPr>
                <w:rFonts w:hint="default"/>
                <w:color w:val="auto"/>
              </w:rPr>
              <w:t>高1.0m。</w:t>
            </w:r>
          </w:p>
        </w:tc>
        <w:tc>
          <w:tcPr>
            <w:tcW w:w="323" w:type="pct"/>
            <w:noWrap w:val="0"/>
            <w:vAlign w:val="center"/>
          </w:tcPr>
          <w:p w14:paraId="3367670A">
            <w:pPr>
              <w:pStyle w:val="50"/>
              <w:bidi w:val="0"/>
            </w:pPr>
            <w:r>
              <w:rPr>
                <w:rFonts w:hint="eastAsia"/>
                <w:lang w:val="en-US" w:eastAsia="zh-CN"/>
              </w:rPr>
              <w:t>符合</w:t>
            </w:r>
          </w:p>
        </w:tc>
      </w:tr>
      <w:tr w14:paraId="411278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69" w:hRule="atLeast"/>
          <w:jc w:val="center"/>
        </w:trPr>
        <w:tc>
          <w:tcPr>
            <w:tcW w:w="304" w:type="pct"/>
            <w:noWrap w:val="0"/>
            <w:vAlign w:val="center"/>
          </w:tcPr>
          <w:p w14:paraId="303A1E81">
            <w:pPr>
              <w:pStyle w:val="50"/>
              <w:bidi w:val="0"/>
            </w:pPr>
            <w:r>
              <w:t>1.4</w:t>
            </w:r>
          </w:p>
        </w:tc>
        <w:tc>
          <w:tcPr>
            <w:tcW w:w="588" w:type="pct"/>
            <w:noWrap w:val="0"/>
            <w:vAlign w:val="center"/>
          </w:tcPr>
          <w:p w14:paraId="0A7E7666">
            <w:pPr>
              <w:pStyle w:val="50"/>
              <w:bidi w:val="0"/>
            </w:pPr>
            <w:r>
              <w:t>避让道</w:t>
            </w:r>
          </w:p>
        </w:tc>
        <w:tc>
          <w:tcPr>
            <w:tcW w:w="358" w:type="pct"/>
            <w:noWrap w:val="0"/>
            <w:vAlign w:val="center"/>
          </w:tcPr>
          <w:p w14:paraId="5B2A0586">
            <w:pPr>
              <w:pStyle w:val="50"/>
              <w:bidi w:val="0"/>
            </w:pPr>
            <w:r>
              <w:t>专用</w:t>
            </w:r>
          </w:p>
        </w:tc>
        <w:tc>
          <w:tcPr>
            <w:tcW w:w="366" w:type="pct"/>
            <w:noWrap w:val="0"/>
            <w:vAlign w:val="center"/>
          </w:tcPr>
          <w:p w14:paraId="0DCD5D85">
            <w:pPr>
              <w:pStyle w:val="50"/>
              <w:bidi w:val="0"/>
            </w:pPr>
            <w:r>
              <w:t>△</w:t>
            </w:r>
          </w:p>
        </w:tc>
        <w:tc>
          <w:tcPr>
            <w:tcW w:w="2361" w:type="pct"/>
            <w:noWrap w:val="0"/>
            <w:vAlign w:val="center"/>
          </w:tcPr>
          <w:p w14:paraId="6ECC225D">
            <w:pPr>
              <w:pStyle w:val="50"/>
              <w:bidi w:val="0"/>
            </w:pPr>
            <w:r>
              <w:t>检查内容：主要运输道路及联络道的长大坡道，汽车避让道的设置是否与批复的安全设施设计一致。</w:t>
            </w:r>
          </w:p>
          <w:p w14:paraId="5AD729EC">
            <w:pPr>
              <w:pStyle w:val="50"/>
              <w:bidi w:val="0"/>
            </w:pPr>
            <w:r>
              <w:t>检查方法：查阅安全设施验收评价报告、现场抽查。</w:t>
            </w:r>
          </w:p>
        </w:tc>
        <w:tc>
          <w:tcPr>
            <w:tcW w:w="696" w:type="pct"/>
            <w:noWrap w:val="0"/>
            <w:vAlign w:val="center"/>
          </w:tcPr>
          <w:p w14:paraId="375C19A7">
            <w:pPr>
              <w:pStyle w:val="55"/>
              <w:numPr>
                <w:ilvl w:val="0"/>
                <w:numId w:val="0"/>
              </w:numPr>
              <w:bidi w:val="0"/>
              <w:ind w:left="0" w:leftChars="0" w:firstLine="0" w:firstLineChars="0"/>
              <w:rPr>
                <w:color w:val="auto"/>
              </w:rPr>
            </w:pPr>
            <w:r>
              <w:rPr>
                <w:rFonts w:hint="eastAsia"/>
                <w:color w:val="auto"/>
                <w:lang w:val="en-US" w:eastAsia="zh-CN"/>
              </w:rPr>
              <w:t>基建期无须</w:t>
            </w:r>
            <w:r>
              <w:rPr>
                <w:color w:val="auto"/>
              </w:rPr>
              <w:t>设置错车道。</w:t>
            </w:r>
          </w:p>
        </w:tc>
        <w:tc>
          <w:tcPr>
            <w:tcW w:w="323" w:type="pct"/>
            <w:noWrap w:val="0"/>
            <w:vAlign w:val="center"/>
          </w:tcPr>
          <w:p w14:paraId="053A5CBB">
            <w:pPr>
              <w:pStyle w:val="50"/>
              <w:bidi w:val="0"/>
            </w:pPr>
            <w:r>
              <w:rPr>
                <w:rFonts w:hint="eastAsia"/>
                <w:lang w:val="en-US" w:eastAsia="zh-CN"/>
              </w:rPr>
              <w:t>符合</w:t>
            </w:r>
          </w:p>
        </w:tc>
      </w:tr>
      <w:tr w14:paraId="2DB535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89" w:hRule="atLeast"/>
          <w:jc w:val="center"/>
        </w:trPr>
        <w:tc>
          <w:tcPr>
            <w:tcW w:w="304" w:type="pct"/>
            <w:noWrap w:val="0"/>
            <w:vAlign w:val="center"/>
          </w:tcPr>
          <w:p w14:paraId="32C7657D">
            <w:pPr>
              <w:pStyle w:val="50"/>
              <w:bidi w:val="0"/>
            </w:pPr>
            <w:r>
              <w:t>1.5</w:t>
            </w:r>
          </w:p>
        </w:tc>
        <w:tc>
          <w:tcPr>
            <w:tcW w:w="588" w:type="pct"/>
            <w:noWrap w:val="0"/>
            <w:vAlign w:val="center"/>
          </w:tcPr>
          <w:p w14:paraId="13CB3635">
            <w:pPr>
              <w:pStyle w:val="50"/>
              <w:bidi w:val="0"/>
            </w:pPr>
            <w:r>
              <w:t>紧急避险道</w:t>
            </w:r>
          </w:p>
        </w:tc>
        <w:tc>
          <w:tcPr>
            <w:tcW w:w="358" w:type="pct"/>
            <w:noWrap w:val="0"/>
            <w:vAlign w:val="center"/>
          </w:tcPr>
          <w:p w14:paraId="1B4B6307">
            <w:pPr>
              <w:pStyle w:val="50"/>
              <w:bidi w:val="0"/>
            </w:pPr>
            <w:r>
              <w:t>专用</w:t>
            </w:r>
          </w:p>
        </w:tc>
        <w:tc>
          <w:tcPr>
            <w:tcW w:w="366" w:type="pct"/>
            <w:noWrap w:val="0"/>
            <w:vAlign w:val="center"/>
          </w:tcPr>
          <w:p w14:paraId="50DF3C01">
            <w:pPr>
              <w:pStyle w:val="50"/>
              <w:bidi w:val="0"/>
            </w:pPr>
            <w:r>
              <w:t>△</w:t>
            </w:r>
          </w:p>
        </w:tc>
        <w:tc>
          <w:tcPr>
            <w:tcW w:w="2361" w:type="pct"/>
            <w:noWrap w:val="0"/>
            <w:vAlign w:val="center"/>
          </w:tcPr>
          <w:p w14:paraId="324E5407">
            <w:pPr>
              <w:pStyle w:val="50"/>
              <w:bidi w:val="0"/>
            </w:pPr>
            <w:r>
              <w:t>检查内容：连续长陡下坡路段，危及运行安全处紧急避险车道的设置是否与批复的安全设施设计一致。</w:t>
            </w:r>
          </w:p>
          <w:p w14:paraId="648FB4DE">
            <w:pPr>
              <w:pStyle w:val="50"/>
              <w:bidi w:val="0"/>
            </w:pPr>
            <w:r>
              <w:t>检查方法：查阅安全设施验收评价报告、现场抽查。</w:t>
            </w:r>
          </w:p>
        </w:tc>
        <w:tc>
          <w:tcPr>
            <w:tcW w:w="696" w:type="pct"/>
            <w:noWrap w:val="0"/>
            <w:vAlign w:val="top"/>
          </w:tcPr>
          <w:p w14:paraId="237C4A91">
            <w:pPr>
              <w:pStyle w:val="50"/>
              <w:bidi w:val="0"/>
              <w:rPr>
                <w:rFonts w:hint="default" w:eastAsia="宋体"/>
                <w:color w:val="auto"/>
                <w:lang w:val="en-US" w:eastAsia="zh-CN"/>
              </w:rPr>
            </w:pPr>
            <w:r>
              <w:rPr>
                <w:rFonts w:hint="eastAsia"/>
                <w:color w:val="auto"/>
                <w:lang w:val="en-US" w:eastAsia="zh-CN"/>
              </w:rPr>
              <w:t>未设计，无须设置</w:t>
            </w:r>
          </w:p>
        </w:tc>
        <w:tc>
          <w:tcPr>
            <w:tcW w:w="323" w:type="pct"/>
            <w:noWrap w:val="0"/>
            <w:vAlign w:val="center"/>
          </w:tcPr>
          <w:p w14:paraId="5451229F">
            <w:pPr>
              <w:pStyle w:val="50"/>
              <w:bidi w:val="0"/>
              <w:rPr>
                <w:rFonts w:hint="eastAsia" w:eastAsia="宋体"/>
                <w:lang w:val="en-US" w:eastAsia="zh-CN"/>
              </w:rPr>
            </w:pPr>
            <w:r>
              <w:rPr>
                <w:rFonts w:hint="eastAsia"/>
                <w:lang w:val="en-US" w:eastAsia="zh-CN"/>
              </w:rPr>
              <w:t>符合</w:t>
            </w:r>
          </w:p>
        </w:tc>
      </w:tr>
      <w:tr w14:paraId="0C96BB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037" w:hRule="atLeast"/>
          <w:jc w:val="center"/>
        </w:trPr>
        <w:tc>
          <w:tcPr>
            <w:tcW w:w="304" w:type="pct"/>
            <w:noWrap w:val="0"/>
            <w:vAlign w:val="center"/>
          </w:tcPr>
          <w:p w14:paraId="4E68F1EE">
            <w:pPr>
              <w:pStyle w:val="50"/>
              <w:bidi w:val="0"/>
            </w:pPr>
            <w:r>
              <w:t>1.6</w:t>
            </w:r>
          </w:p>
        </w:tc>
        <w:tc>
          <w:tcPr>
            <w:tcW w:w="588" w:type="pct"/>
            <w:noWrap w:val="0"/>
            <w:vAlign w:val="center"/>
          </w:tcPr>
          <w:p w14:paraId="111D145E">
            <w:pPr>
              <w:pStyle w:val="50"/>
              <w:bidi w:val="0"/>
            </w:pPr>
            <w:r>
              <w:t>卸载点安全挡车设施</w:t>
            </w:r>
          </w:p>
        </w:tc>
        <w:tc>
          <w:tcPr>
            <w:tcW w:w="358" w:type="pct"/>
            <w:noWrap w:val="0"/>
            <w:vAlign w:val="center"/>
          </w:tcPr>
          <w:p w14:paraId="3CA5B2A0">
            <w:pPr>
              <w:pStyle w:val="50"/>
              <w:bidi w:val="0"/>
            </w:pPr>
            <w:r>
              <w:t>专用</w:t>
            </w:r>
          </w:p>
        </w:tc>
        <w:tc>
          <w:tcPr>
            <w:tcW w:w="366" w:type="pct"/>
            <w:noWrap w:val="0"/>
            <w:vAlign w:val="center"/>
          </w:tcPr>
          <w:p w14:paraId="33EB5BA6">
            <w:pPr>
              <w:pStyle w:val="50"/>
              <w:bidi w:val="0"/>
            </w:pPr>
            <w:r>
              <w:t>△</w:t>
            </w:r>
          </w:p>
        </w:tc>
        <w:tc>
          <w:tcPr>
            <w:tcW w:w="2361" w:type="pct"/>
            <w:noWrap w:val="0"/>
            <w:vAlign w:val="center"/>
          </w:tcPr>
          <w:p w14:paraId="389FA0B7">
            <w:pPr>
              <w:pStyle w:val="50"/>
              <w:bidi w:val="0"/>
            </w:pPr>
            <w:r>
              <w:t>检查内容：卸矿平台</w:t>
            </w:r>
            <w:r>
              <w:rPr>
                <w:rFonts w:hint="eastAsia"/>
                <w:lang w:eastAsia="zh-CN"/>
              </w:rPr>
              <w:t>（</w:t>
            </w:r>
            <w:r>
              <w:t>包括溜井口、栈桥卸矿口等处</w:t>
            </w:r>
            <w:r>
              <w:rPr>
                <w:rFonts w:hint="eastAsia"/>
                <w:lang w:eastAsia="zh-CN"/>
              </w:rPr>
              <w:t>）</w:t>
            </w:r>
            <w:r>
              <w:t>的调车宽度、卸矿地点挡车设施的设置及其高度是否与批复的安全设施设计一致。</w:t>
            </w:r>
          </w:p>
          <w:p w14:paraId="6CB34E64">
            <w:pPr>
              <w:pStyle w:val="50"/>
              <w:bidi w:val="0"/>
            </w:pPr>
            <w:r>
              <w:t>检查方法：查阅安全设施验收评价报告、现场抽查。</w:t>
            </w:r>
          </w:p>
        </w:tc>
        <w:tc>
          <w:tcPr>
            <w:tcW w:w="696" w:type="pct"/>
            <w:noWrap w:val="0"/>
            <w:vAlign w:val="top"/>
          </w:tcPr>
          <w:p w14:paraId="63905041">
            <w:pPr>
              <w:pStyle w:val="50"/>
              <w:bidi w:val="0"/>
              <w:rPr>
                <w:color w:val="auto"/>
              </w:rPr>
            </w:pPr>
            <w:r>
              <w:rPr>
                <w:rFonts w:hint="eastAsia"/>
                <w:color w:val="auto"/>
                <w:lang w:val="en-US" w:eastAsia="zh-CN"/>
              </w:rPr>
              <w:t>现场检查，在</w:t>
            </w:r>
            <w:r>
              <w:rPr>
                <w:rFonts w:hint="default"/>
                <w:color w:val="auto"/>
              </w:rPr>
              <w:t>破碎站装卸</w:t>
            </w:r>
            <w:r>
              <w:rPr>
                <w:rFonts w:hint="eastAsia"/>
                <w:color w:val="auto"/>
                <w:lang w:val="en-US" w:eastAsia="zh-CN"/>
              </w:rPr>
              <w:t>口，</w:t>
            </w:r>
            <w:r>
              <w:rPr>
                <w:rFonts w:hint="default"/>
                <w:color w:val="auto"/>
              </w:rPr>
              <w:t>利用废旧钢材焊接设置车挡，车挡的高度</w:t>
            </w:r>
            <w:r>
              <w:rPr>
                <w:rFonts w:hint="eastAsia"/>
                <w:color w:val="auto"/>
                <w:lang w:val="en-US" w:eastAsia="zh-CN"/>
              </w:rPr>
              <w:t>大</w:t>
            </w:r>
            <w:r>
              <w:rPr>
                <w:rFonts w:hint="default"/>
                <w:color w:val="auto"/>
              </w:rPr>
              <w:t>于轮胎直径的1/2，车挡顶宽和底宽分别不小于轮胎直径的1/4和3/4。</w:t>
            </w:r>
          </w:p>
        </w:tc>
        <w:tc>
          <w:tcPr>
            <w:tcW w:w="323" w:type="pct"/>
            <w:noWrap w:val="0"/>
            <w:vAlign w:val="center"/>
          </w:tcPr>
          <w:p w14:paraId="058D7E1E">
            <w:pPr>
              <w:pStyle w:val="50"/>
              <w:bidi w:val="0"/>
              <w:rPr>
                <w:rFonts w:hint="eastAsia" w:eastAsia="宋体"/>
                <w:lang w:val="en-US" w:eastAsia="zh-CN"/>
              </w:rPr>
            </w:pPr>
            <w:r>
              <w:rPr>
                <w:rFonts w:hint="eastAsia"/>
                <w:lang w:val="en-US" w:eastAsia="zh-CN"/>
              </w:rPr>
              <w:t>符合</w:t>
            </w:r>
          </w:p>
        </w:tc>
      </w:tr>
      <w:tr w14:paraId="66E47F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304" w:type="pct"/>
            <w:noWrap w:val="0"/>
            <w:vAlign w:val="center"/>
          </w:tcPr>
          <w:p w14:paraId="6C94E2A3">
            <w:pPr>
              <w:pStyle w:val="50"/>
              <w:bidi w:val="0"/>
            </w:pPr>
            <w:r>
              <w:t>1.7</w:t>
            </w:r>
          </w:p>
        </w:tc>
        <w:tc>
          <w:tcPr>
            <w:tcW w:w="588" w:type="pct"/>
            <w:noWrap w:val="0"/>
            <w:vAlign w:val="center"/>
          </w:tcPr>
          <w:p w14:paraId="6AD9602A">
            <w:pPr>
              <w:pStyle w:val="50"/>
              <w:bidi w:val="0"/>
            </w:pPr>
            <w:r>
              <w:t>照明系统</w:t>
            </w:r>
          </w:p>
        </w:tc>
        <w:tc>
          <w:tcPr>
            <w:tcW w:w="358" w:type="pct"/>
            <w:noWrap w:val="0"/>
            <w:vAlign w:val="center"/>
          </w:tcPr>
          <w:p w14:paraId="251AE7E3">
            <w:pPr>
              <w:pStyle w:val="50"/>
              <w:bidi w:val="0"/>
            </w:pPr>
            <w:r>
              <w:t>基本</w:t>
            </w:r>
          </w:p>
        </w:tc>
        <w:tc>
          <w:tcPr>
            <w:tcW w:w="366" w:type="pct"/>
            <w:noWrap w:val="0"/>
            <w:vAlign w:val="center"/>
          </w:tcPr>
          <w:p w14:paraId="1E45227B">
            <w:pPr>
              <w:pStyle w:val="50"/>
              <w:bidi w:val="0"/>
            </w:pPr>
            <w:r>
              <w:t>△</w:t>
            </w:r>
          </w:p>
        </w:tc>
        <w:tc>
          <w:tcPr>
            <w:tcW w:w="2361" w:type="pct"/>
            <w:noWrap w:val="0"/>
            <w:vAlign w:val="center"/>
          </w:tcPr>
          <w:p w14:paraId="6ABD9D06">
            <w:pPr>
              <w:pStyle w:val="50"/>
              <w:bidi w:val="0"/>
            </w:pPr>
            <w:r>
              <w:t>检查内容：夜间运输的生产道路照明系统是否与批复的安全设施设计一致。</w:t>
            </w:r>
          </w:p>
          <w:p w14:paraId="16AAEA96">
            <w:pPr>
              <w:pStyle w:val="50"/>
              <w:bidi w:val="0"/>
            </w:pPr>
            <w:r>
              <w:t>检查方法：查阅安全设施验收评价报告、现场抽查。</w:t>
            </w:r>
          </w:p>
        </w:tc>
        <w:tc>
          <w:tcPr>
            <w:tcW w:w="696" w:type="pct"/>
            <w:shd w:val="clear" w:color="auto" w:fill="auto"/>
            <w:noWrap w:val="0"/>
            <w:vAlign w:val="top"/>
          </w:tcPr>
          <w:p w14:paraId="56A1D9CE">
            <w:pPr>
              <w:pStyle w:val="50"/>
              <w:bidi w:val="0"/>
              <w:ind w:firstLine="0" w:firstLineChars="0"/>
              <w:rPr>
                <w:rFonts w:hint="default" w:ascii="Times New Roman" w:hAnsi="Times New Roman" w:eastAsia="宋体" w:cs="Times New Roman"/>
                <w:spacing w:val="-2"/>
                <w:kern w:val="0"/>
                <w:sz w:val="21"/>
                <w:szCs w:val="20"/>
                <w:lang w:val="en-US" w:eastAsia="zh-CN" w:bidi="ar-SA"/>
              </w:rPr>
            </w:pPr>
            <w:r>
              <w:rPr>
                <w:rFonts w:hint="eastAsia"/>
                <w:lang w:val="en-US" w:eastAsia="zh-CN"/>
              </w:rPr>
              <w:t>未设置。与设计一致，</w:t>
            </w:r>
          </w:p>
        </w:tc>
        <w:tc>
          <w:tcPr>
            <w:tcW w:w="323" w:type="pct"/>
            <w:shd w:val="clear" w:color="auto" w:fill="auto"/>
            <w:noWrap w:val="0"/>
            <w:vAlign w:val="center"/>
          </w:tcPr>
          <w:p w14:paraId="7773E895">
            <w:pPr>
              <w:pStyle w:val="50"/>
              <w:bidi w:val="0"/>
              <w:ind w:firstLine="0" w:firstLineChars="0"/>
              <w:rPr>
                <w:rFonts w:hint="eastAsia" w:ascii="Times New Roman" w:hAnsi="Times New Roman" w:eastAsia="宋体" w:cs="Times New Roman"/>
                <w:spacing w:val="-2"/>
                <w:kern w:val="0"/>
                <w:sz w:val="21"/>
                <w:szCs w:val="20"/>
                <w:lang w:val="en-US" w:eastAsia="zh-CN" w:bidi="ar-SA"/>
              </w:rPr>
            </w:pPr>
            <w:r>
              <w:rPr>
                <w:rFonts w:hint="eastAsia"/>
                <w:lang w:val="en-US" w:eastAsia="zh-CN"/>
              </w:rPr>
              <w:t>符合</w:t>
            </w:r>
          </w:p>
        </w:tc>
      </w:tr>
      <w:tr w14:paraId="61021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304" w:type="pct"/>
            <w:noWrap w:val="0"/>
            <w:vAlign w:val="center"/>
          </w:tcPr>
          <w:p w14:paraId="4880C68D">
            <w:pPr>
              <w:pStyle w:val="50"/>
              <w:bidi w:val="0"/>
            </w:pPr>
            <w:r>
              <w:t>2</w:t>
            </w:r>
          </w:p>
        </w:tc>
        <w:tc>
          <w:tcPr>
            <w:tcW w:w="588" w:type="pct"/>
            <w:noWrap/>
            <w:vAlign w:val="center"/>
          </w:tcPr>
          <w:p w14:paraId="69098F84">
            <w:pPr>
              <w:pStyle w:val="50"/>
              <w:bidi w:val="0"/>
            </w:pPr>
            <w:r>
              <w:t>铁路运输</w:t>
            </w:r>
          </w:p>
        </w:tc>
        <w:tc>
          <w:tcPr>
            <w:tcW w:w="358" w:type="pct"/>
            <w:noWrap w:val="0"/>
            <w:vAlign w:val="center"/>
          </w:tcPr>
          <w:p w14:paraId="6375E64E">
            <w:pPr>
              <w:pStyle w:val="50"/>
              <w:bidi w:val="0"/>
            </w:pPr>
          </w:p>
        </w:tc>
        <w:tc>
          <w:tcPr>
            <w:tcW w:w="366" w:type="pct"/>
            <w:noWrap w:val="0"/>
            <w:vAlign w:val="center"/>
          </w:tcPr>
          <w:p w14:paraId="645114BC">
            <w:pPr>
              <w:pStyle w:val="50"/>
              <w:bidi w:val="0"/>
            </w:pPr>
          </w:p>
        </w:tc>
        <w:tc>
          <w:tcPr>
            <w:tcW w:w="2361" w:type="pct"/>
            <w:noWrap w:val="0"/>
            <w:vAlign w:val="center"/>
          </w:tcPr>
          <w:p w14:paraId="5413E2F4">
            <w:pPr>
              <w:pStyle w:val="50"/>
              <w:bidi w:val="0"/>
            </w:pPr>
          </w:p>
        </w:tc>
        <w:tc>
          <w:tcPr>
            <w:tcW w:w="696" w:type="pct"/>
            <w:noWrap w:val="0"/>
            <w:vAlign w:val="top"/>
          </w:tcPr>
          <w:p w14:paraId="3E8F0208">
            <w:pPr>
              <w:pStyle w:val="50"/>
              <w:bidi w:val="0"/>
            </w:pPr>
          </w:p>
        </w:tc>
        <w:tc>
          <w:tcPr>
            <w:tcW w:w="323" w:type="pct"/>
            <w:noWrap w:val="0"/>
            <w:vAlign w:val="center"/>
          </w:tcPr>
          <w:p w14:paraId="3DA4AD92">
            <w:pPr>
              <w:pStyle w:val="50"/>
              <w:bidi w:val="0"/>
              <w:rPr>
                <w:rFonts w:hint="default" w:eastAsia="宋体"/>
                <w:lang w:val="en-US" w:eastAsia="zh-CN"/>
              </w:rPr>
            </w:pPr>
            <w:r>
              <w:rPr>
                <w:rFonts w:hint="eastAsia"/>
                <w:lang w:val="en-US" w:eastAsia="zh-CN"/>
              </w:rPr>
              <w:t>不涉及</w:t>
            </w:r>
          </w:p>
        </w:tc>
      </w:tr>
      <w:tr w14:paraId="318A79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2" w:hRule="atLeast"/>
          <w:jc w:val="center"/>
        </w:trPr>
        <w:tc>
          <w:tcPr>
            <w:tcW w:w="304" w:type="pct"/>
            <w:noWrap w:val="0"/>
            <w:vAlign w:val="center"/>
          </w:tcPr>
          <w:p w14:paraId="79FED6D2">
            <w:pPr>
              <w:pStyle w:val="50"/>
              <w:bidi w:val="0"/>
            </w:pPr>
            <w:r>
              <w:t>2.1</w:t>
            </w:r>
          </w:p>
        </w:tc>
        <w:tc>
          <w:tcPr>
            <w:tcW w:w="588" w:type="pct"/>
            <w:noWrap/>
            <w:vAlign w:val="center"/>
          </w:tcPr>
          <w:p w14:paraId="0B9D9583">
            <w:pPr>
              <w:pStyle w:val="50"/>
              <w:bidi w:val="0"/>
            </w:pPr>
            <w:r>
              <w:t>铁路运输线路的技术参数</w:t>
            </w:r>
          </w:p>
        </w:tc>
        <w:tc>
          <w:tcPr>
            <w:tcW w:w="358" w:type="pct"/>
            <w:noWrap w:val="0"/>
            <w:vAlign w:val="center"/>
          </w:tcPr>
          <w:p w14:paraId="65CC42E1">
            <w:pPr>
              <w:pStyle w:val="50"/>
              <w:bidi w:val="0"/>
            </w:pPr>
            <w:r>
              <w:t>基本</w:t>
            </w:r>
          </w:p>
        </w:tc>
        <w:tc>
          <w:tcPr>
            <w:tcW w:w="366" w:type="pct"/>
            <w:noWrap w:val="0"/>
            <w:vAlign w:val="center"/>
          </w:tcPr>
          <w:p w14:paraId="48F01F08">
            <w:pPr>
              <w:pStyle w:val="50"/>
              <w:bidi w:val="0"/>
            </w:pPr>
            <w:r>
              <w:t>△</w:t>
            </w:r>
          </w:p>
        </w:tc>
        <w:tc>
          <w:tcPr>
            <w:tcW w:w="2361" w:type="pct"/>
            <w:noWrap w:val="0"/>
            <w:vAlign w:val="center"/>
          </w:tcPr>
          <w:p w14:paraId="1D234E98">
            <w:pPr>
              <w:pStyle w:val="50"/>
              <w:bidi w:val="0"/>
            </w:pPr>
            <w:r>
              <w:t>检查内容求：铁路运输线路的技术参数是否与批复的安全设施设计一致。</w:t>
            </w:r>
          </w:p>
          <w:p w14:paraId="10F5F41A">
            <w:pPr>
              <w:pStyle w:val="50"/>
              <w:bidi w:val="0"/>
            </w:pPr>
            <w:r>
              <w:t>检查方法：查阅安全设施验收评价报告、现场抽查。</w:t>
            </w:r>
          </w:p>
        </w:tc>
        <w:tc>
          <w:tcPr>
            <w:tcW w:w="696" w:type="pct"/>
            <w:noWrap w:val="0"/>
            <w:vAlign w:val="top"/>
          </w:tcPr>
          <w:p w14:paraId="25B0CE0E">
            <w:pPr>
              <w:pStyle w:val="50"/>
              <w:bidi w:val="0"/>
            </w:pPr>
          </w:p>
        </w:tc>
        <w:tc>
          <w:tcPr>
            <w:tcW w:w="323" w:type="pct"/>
            <w:noWrap w:val="0"/>
            <w:vAlign w:val="center"/>
          </w:tcPr>
          <w:p w14:paraId="6E4F3B1C">
            <w:pPr>
              <w:pStyle w:val="50"/>
              <w:bidi w:val="0"/>
              <w:rPr>
                <w:rFonts w:hint="default" w:eastAsia="宋体"/>
                <w:lang w:val="en-US" w:eastAsia="zh-CN"/>
              </w:rPr>
            </w:pPr>
            <w:r>
              <w:rPr>
                <w:rFonts w:hint="eastAsia"/>
                <w:lang w:val="en-US" w:eastAsia="zh-CN"/>
              </w:rPr>
              <w:t>不涉及</w:t>
            </w:r>
          </w:p>
        </w:tc>
      </w:tr>
      <w:tr w14:paraId="340D4C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70" w:hRule="atLeast"/>
          <w:jc w:val="center"/>
        </w:trPr>
        <w:tc>
          <w:tcPr>
            <w:tcW w:w="304" w:type="pct"/>
            <w:noWrap w:val="0"/>
            <w:vAlign w:val="center"/>
          </w:tcPr>
          <w:p w14:paraId="3461E17E">
            <w:pPr>
              <w:pStyle w:val="50"/>
              <w:bidi w:val="0"/>
            </w:pPr>
            <w:r>
              <w:t>2.2</w:t>
            </w:r>
          </w:p>
        </w:tc>
        <w:tc>
          <w:tcPr>
            <w:tcW w:w="588" w:type="pct"/>
            <w:noWrap/>
            <w:vAlign w:val="center"/>
          </w:tcPr>
          <w:p w14:paraId="46985F2D">
            <w:pPr>
              <w:pStyle w:val="50"/>
              <w:bidi w:val="0"/>
            </w:pPr>
            <w:r>
              <w:t>安全线，避让线，制动检查所</w:t>
            </w:r>
          </w:p>
        </w:tc>
        <w:tc>
          <w:tcPr>
            <w:tcW w:w="358" w:type="pct"/>
            <w:noWrap w:val="0"/>
            <w:vAlign w:val="center"/>
          </w:tcPr>
          <w:p w14:paraId="324AC224">
            <w:pPr>
              <w:pStyle w:val="50"/>
              <w:bidi w:val="0"/>
            </w:pPr>
            <w:r>
              <w:t>基本</w:t>
            </w:r>
          </w:p>
        </w:tc>
        <w:tc>
          <w:tcPr>
            <w:tcW w:w="366" w:type="pct"/>
            <w:noWrap w:val="0"/>
            <w:vAlign w:val="center"/>
          </w:tcPr>
          <w:p w14:paraId="2B990B89">
            <w:pPr>
              <w:pStyle w:val="50"/>
              <w:bidi w:val="0"/>
            </w:pPr>
            <w:r>
              <w:t>△</w:t>
            </w:r>
          </w:p>
        </w:tc>
        <w:tc>
          <w:tcPr>
            <w:tcW w:w="2361" w:type="pct"/>
            <w:noWrap w:val="0"/>
            <w:vAlign w:val="center"/>
          </w:tcPr>
          <w:p w14:paraId="611B00B7">
            <w:pPr>
              <w:pStyle w:val="50"/>
              <w:bidi w:val="0"/>
            </w:pPr>
            <w:r>
              <w:t>检查内容：铁路的安全线，避让线，制动检查所、用于甩挂、停放制动失灵车辆所需的站线是否与批复的安全设施设计一致。</w:t>
            </w:r>
          </w:p>
          <w:p w14:paraId="2AFBEDF3">
            <w:pPr>
              <w:pStyle w:val="50"/>
              <w:bidi w:val="0"/>
            </w:pPr>
            <w:r>
              <w:t>检查方法：查阅安全设施验收评价报告、现场抽查。</w:t>
            </w:r>
          </w:p>
        </w:tc>
        <w:tc>
          <w:tcPr>
            <w:tcW w:w="696" w:type="pct"/>
            <w:noWrap w:val="0"/>
            <w:vAlign w:val="top"/>
          </w:tcPr>
          <w:p w14:paraId="051A4F4D">
            <w:pPr>
              <w:pStyle w:val="50"/>
              <w:bidi w:val="0"/>
            </w:pPr>
          </w:p>
        </w:tc>
        <w:tc>
          <w:tcPr>
            <w:tcW w:w="323" w:type="pct"/>
            <w:noWrap w:val="0"/>
            <w:vAlign w:val="center"/>
          </w:tcPr>
          <w:p w14:paraId="3E68B2AF">
            <w:pPr>
              <w:pStyle w:val="50"/>
              <w:bidi w:val="0"/>
            </w:pPr>
            <w:r>
              <w:rPr>
                <w:rFonts w:hint="eastAsia"/>
                <w:lang w:val="en-US" w:eastAsia="zh-CN"/>
              </w:rPr>
              <w:t>不涉及</w:t>
            </w:r>
          </w:p>
        </w:tc>
      </w:tr>
      <w:tr w14:paraId="3BE04E5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2" w:hRule="atLeast"/>
          <w:jc w:val="center"/>
        </w:trPr>
        <w:tc>
          <w:tcPr>
            <w:tcW w:w="304" w:type="pct"/>
            <w:noWrap w:val="0"/>
            <w:vAlign w:val="center"/>
          </w:tcPr>
          <w:p w14:paraId="31EDC27F">
            <w:pPr>
              <w:pStyle w:val="50"/>
              <w:bidi w:val="0"/>
            </w:pPr>
            <w:r>
              <w:t>2.3</w:t>
            </w:r>
          </w:p>
        </w:tc>
        <w:tc>
          <w:tcPr>
            <w:tcW w:w="588" w:type="pct"/>
            <w:noWrap/>
            <w:vAlign w:val="center"/>
          </w:tcPr>
          <w:p w14:paraId="4A4855FD">
            <w:pPr>
              <w:pStyle w:val="50"/>
              <w:bidi w:val="0"/>
            </w:pPr>
            <w:r>
              <w:t>道口护拦、警示报警</w:t>
            </w:r>
          </w:p>
        </w:tc>
        <w:tc>
          <w:tcPr>
            <w:tcW w:w="358" w:type="pct"/>
            <w:noWrap w:val="0"/>
            <w:vAlign w:val="center"/>
          </w:tcPr>
          <w:p w14:paraId="0A762CB0">
            <w:pPr>
              <w:pStyle w:val="50"/>
              <w:bidi w:val="0"/>
            </w:pPr>
            <w:r>
              <w:t>专用</w:t>
            </w:r>
          </w:p>
        </w:tc>
        <w:tc>
          <w:tcPr>
            <w:tcW w:w="366" w:type="pct"/>
            <w:noWrap w:val="0"/>
            <w:vAlign w:val="center"/>
          </w:tcPr>
          <w:p w14:paraId="3D63A5DD">
            <w:pPr>
              <w:pStyle w:val="50"/>
              <w:bidi w:val="0"/>
            </w:pPr>
            <w:r>
              <w:t>△</w:t>
            </w:r>
          </w:p>
        </w:tc>
        <w:tc>
          <w:tcPr>
            <w:tcW w:w="2361" w:type="pct"/>
            <w:noWrap w:val="0"/>
            <w:vAlign w:val="center"/>
          </w:tcPr>
          <w:p w14:paraId="6A9FCF83">
            <w:pPr>
              <w:pStyle w:val="50"/>
              <w:bidi w:val="0"/>
            </w:pPr>
            <w:r>
              <w:t>检查内容：有人看守道口看守房以及栏杆、通信、自动道口信号装置等安全预警设备，无人看守道口警示报警设施，自动信号和道口监护设施的设置是否与批复的安全设施设计一致。</w:t>
            </w:r>
          </w:p>
          <w:p w14:paraId="20072807">
            <w:pPr>
              <w:pStyle w:val="50"/>
              <w:bidi w:val="0"/>
            </w:pPr>
            <w:r>
              <w:t>检查方法：查阅安全设施验收评价报告、现场抽查。</w:t>
            </w:r>
          </w:p>
        </w:tc>
        <w:tc>
          <w:tcPr>
            <w:tcW w:w="696" w:type="pct"/>
            <w:noWrap w:val="0"/>
            <w:vAlign w:val="top"/>
          </w:tcPr>
          <w:p w14:paraId="3E67DF55">
            <w:pPr>
              <w:pStyle w:val="50"/>
              <w:bidi w:val="0"/>
            </w:pPr>
          </w:p>
        </w:tc>
        <w:tc>
          <w:tcPr>
            <w:tcW w:w="323" w:type="pct"/>
            <w:noWrap w:val="0"/>
            <w:vAlign w:val="center"/>
          </w:tcPr>
          <w:p w14:paraId="0FF69C09">
            <w:pPr>
              <w:pStyle w:val="50"/>
              <w:bidi w:val="0"/>
            </w:pPr>
            <w:r>
              <w:rPr>
                <w:rFonts w:hint="eastAsia"/>
                <w:lang w:val="en-US" w:eastAsia="zh-CN"/>
              </w:rPr>
              <w:t>不涉及</w:t>
            </w:r>
          </w:p>
        </w:tc>
      </w:tr>
      <w:tr w14:paraId="0A2581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0" w:hRule="atLeast"/>
          <w:jc w:val="center"/>
        </w:trPr>
        <w:tc>
          <w:tcPr>
            <w:tcW w:w="304" w:type="pct"/>
            <w:noWrap w:val="0"/>
            <w:vAlign w:val="center"/>
          </w:tcPr>
          <w:p w14:paraId="6C39FC9A">
            <w:pPr>
              <w:pStyle w:val="50"/>
              <w:bidi w:val="0"/>
            </w:pPr>
            <w:r>
              <w:t>2.4</w:t>
            </w:r>
          </w:p>
        </w:tc>
        <w:tc>
          <w:tcPr>
            <w:tcW w:w="588" w:type="pct"/>
            <w:noWrap/>
            <w:vAlign w:val="center"/>
          </w:tcPr>
          <w:p w14:paraId="6F8D706F">
            <w:pPr>
              <w:pStyle w:val="50"/>
              <w:bidi w:val="0"/>
            </w:pPr>
            <w:r>
              <w:t>安全栅网、防护网</w:t>
            </w:r>
          </w:p>
        </w:tc>
        <w:tc>
          <w:tcPr>
            <w:tcW w:w="358" w:type="pct"/>
            <w:noWrap w:val="0"/>
            <w:vAlign w:val="center"/>
          </w:tcPr>
          <w:p w14:paraId="7B00481B">
            <w:pPr>
              <w:pStyle w:val="50"/>
              <w:bidi w:val="0"/>
            </w:pPr>
            <w:r>
              <w:t>专用</w:t>
            </w:r>
          </w:p>
        </w:tc>
        <w:tc>
          <w:tcPr>
            <w:tcW w:w="366" w:type="pct"/>
            <w:noWrap w:val="0"/>
            <w:vAlign w:val="center"/>
          </w:tcPr>
          <w:p w14:paraId="077B5705">
            <w:pPr>
              <w:pStyle w:val="50"/>
              <w:bidi w:val="0"/>
            </w:pPr>
            <w:r>
              <w:t>△</w:t>
            </w:r>
          </w:p>
        </w:tc>
        <w:tc>
          <w:tcPr>
            <w:tcW w:w="2361" w:type="pct"/>
            <w:noWrap w:val="0"/>
            <w:vAlign w:val="center"/>
          </w:tcPr>
          <w:p w14:paraId="52994F89">
            <w:pPr>
              <w:pStyle w:val="50"/>
              <w:bidi w:val="0"/>
            </w:pPr>
            <w:r>
              <w:t>检查内容：电气化铁路道口处铁路两侧设置限界架、大桥及跨线桥跨越铁路电网的相应部位的安全栅网、跨线桥两侧防止矿车落石的防护网的设置是否与批复的安全设施设计一致。</w:t>
            </w:r>
          </w:p>
          <w:p w14:paraId="51EE54DB">
            <w:pPr>
              <w:pStyle w:val="50"/>
              <w:bidi w:val="0"/>
            </w:pPr>
            <w:r>
              <w:t>检查方法：查阅安全设施验收评价报告、现场抽查。</w:t>
            </w:r>
          </w:p>
        </w:tc>
        <w:tc>
          <w:tcPr>
            <w:tcW w:w="696" w:type="pct"/>
            <w:noWrap w:val="0"/>
            <w:vAlign w:val="top"/>
          </w:tcPr>
          <w:p w14:paraId="277CBE9C">
            <w:pPr>
              <w:pStyle w:val="50"/>
              <w:bidi w:val="0"/>
            </w:pPr>
          </w:p>
        </w:tc>
        <w:tc>
          <w:tcPr>
            <w:tcW w:w="323" w:type="pct"/>
            <w:noWrap w:val="0"/>
            <w:vAlign w:val="top"/>
          </w:tcPr>
          <w:p w14:paraId="64F5690E">
            <w:pPr>
              <w:pStyle w:val="50"/>
              <w:bidi w:val="0"/>
            </w:pPr>
            <w:r>
              <w:rPr>
                <w:rFonts w:hint="eastAsia"/>
                <w:lang w:val="en-US" w:eastAsia="zh-CN"/>
              </w:rPr>
              <w:t>不涉及</w:t>
            </w:r>
          </w:p>
        </w:tc>
      </w:tr>
      <w:tr w14:paraId="59A188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17" w:hRule="atLeast"/>
          <w:jc w:val="center"/>
        </w:trPr>
        <w:tc>
          <w:tcPr>
            <w:tcW w:w="304" w:type="pct"/>
            <w:noWrap w:val="0"/>
            <w:vAlign w:val="center"/>
          </w:tcPr>
          <w:p w14:paraId="6185FB61">
            <w:pPr>
              <w:pStyle w:val="50"/>
              <w:bidi w:val="0"/>
            </w:pPr>
            <w:r>
              <w:t>2.5</w:t>
            </w:r>
          </w:p>
        </w:tc>
        <w:tc>
          <w:tcPr>
            <w:tcW w:w="588" w:type="pct"/>
            <w:noWrap/>
            <w:vAlign w:val="center"/>
          </w:tcPr>
          <w:p w14:paraId="0A980723">
            <w:pPr>
              <w:pStyle w:val="50"/>
              <w:bidi w:val="0"/>
            </w:pPr>
            <w:r>
              <w:t>线路护轮轨</w:t>
            </w:r>
          </w:p>
        </w:tc>
        <w:tc>
          <w:tcPr>
            <w:tcW w:w="358" w:type="pct"/>
            <w:noWrap w:val="0"/>
            <w:vAlign w:val="center"/>
          </w:tcPr>
          <w:p w14:paraId="3DBC510C">
            <w:pPr>
              <w:pStyle w:val="50"/>
              <w:bidi w:val="0"/>
            </w:pPr>
            <w:r>
              <w:t>基本</w:t>
            </w:r>
          </w:p>
        </w:tc>
        <w:tc>
          <w:tcPr>
            <w:tcW w:w="366" w:type="pct"/>
            <w:noWrap w:val="0"/>
            <w:vAlign w:val="center"/>
          </w:tcPr>
          <w:p w14:paraId="63036067">
            <w:pPr>
              <w:pStyle w:val="50"/>
              <w:bidi w:val="0"/>
            </w:pPr>
            <w:r>
              <w:t>△</w:t>
            </w:r>
          </w:p>
        </w:tc>
        <w:tc>
          <w:tcPr>
            <w:tcW w:w="2361" w:type="pct"/>
            <w:noWrap w:val="0"/>
            <w:vAlign w:val="center"/>
          </w:tcPr>
          <w:p w14:paraId="1698AFBD">
            <w:pPr>
              <w:pStyle w:val="50"/>
              <w:bidi w:val="0"/>
            </w:pPr>
            <w:r>
              <w:t>检查内容：铁路线路护轮轨的设置是否与批复的安全设施设计一致。</w:t>
            </w:r>
          </w:p>
          <w:p w14:paraId="25DFE151">
            <w:pPr>
              <w:pStyle w:val="50"/>
              <w:bidi w:val="0"/>
            </w:pPr>
            <w:r>
              <w:t>检查方法：查阅安全设施验收评价报告、现场抽查。</w:t>
            </w:r>
          </w:p>
        </w:tc>
        <w:tc>
          <w:tcPr>
            <w:tcW w:w="696" w:type="pct"/>
            <w:noWrap w:val="0"/>
            <w:vAlign w:val="top"/>
          </w:tcPr>
          <w:p w14:paraId="6727C3F7">
            <w:pPr>
              <w:pStyle w:val="50"/>
              <w:bidi w:val="0"/>
            </w:pPr>
          </w:p>
        </w:tc>
        <w:tc>
          <w:tcPr>
            <w:tcW w:w="323" w:type="pct"/>
            <w:noWrap w:val="0"/>
            <w:vAlign w:val="center"/>
          </w:tcPr>
          <w:p w14:paraId="01205322">
            <w:pPr>
              <w:pStyle w:val="50"/>
              <w:bidi w:val="0"/>
            </w:pPr>
            <w:r>
              <w:rPr>
                <w:rFonts w:hint="eastAsia"/>
                <w:lang w:val="en-US" w:eastAsia="zh-CN"/>
              </w:rPr>
              <w:t>不涉及</w:t>
            </w:r>
          </w:p>
        </w:tc>
      </w:tr>
      <w:tr w14:paraId="224021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9" w:hRule="atLeast"/>
          <w:jc w:val="center"/>
        </w:trPr>
        <w:tc>
          <w:tcPr>
            <w:tcW w:w="304" w:type="pct"/>
            <w:noWrap w:val="0"/>
            <w:vAlign w:val="center"/>
          </w:tcPr>
          <w:p w14:paraId="5A6347A4">
            <w:pPr>
              <w:pStyle w:val="50"/>
              <w:bidi w:val="0"/>
            </w:pPr>
            <w:r>
              <w:t>2.6</w:t>
            </w:r>
          </w:p>
        </w:tc>
        <w:tc>
          <w:tcPr>
            <w:tcW w:w="588" w:type="pct"/>
            <w:noWrap/>
            <w:vAlign w:val="center"/>
          </w:tcPr>
          <w:p w14:paraId="001C212C">
            <w:pPr>
              <w:pStyle w:val="50"/>
              <w:bidi w:val="0"/>
            </w:pPr>
            <w:r>
              <w:t>防溜设施</w:t>
            </w:r>
          </w:p>
        </w:tc>
        <w:tc>
          <w:tcPr>
            <w:tcW w:w="358" w:type="pct"/>
            <w:noWrap w:val="0"/>
            <w:vAlign w:val="center"/>
          </w:tcPr>
          <w:p w14:paraId="2B1514D6">
            <w:pPr>
              <w:pStyle w:val="50"/>
              <w:bidi w:val="0"/>
            </w:pPr>
            <w:r>
              <w:t>基本</w:t>
            </w:r>
          </w:p>
        </w:tc>
        <w:tc>
          <w:tcPr>
            <w:tcW w:w="366" w:type="pct"/>
            <w:noWrap w:val="0"/>
            <w:vAlign w:val="center"/>
          </w:tcPr>
          <w:p w14:paraId="281D49DD">
            <w:pPr>
              <w:pStyle w:val="50"/>
              <w:bidi w:val="0"/>
            </w:pPr>
            <w:r>
              <w:t>△</w:t>
            </w:r>
          </w:p>
        </w:tc>
        <w:tc>
          <w:tcPr>
            <w:tcW w:w="2361" w:type="pct"/>
            <w:noWrap w:val="0"/>
            <w:vAlign w:val="center"/>
          </w:tcPr>
          <w:p w14:paraId="4BA5D872">
            <w:pPr>
              <w:pStyle w:val="50"/>
              <w:bidi w:val="0"/>
            </w:pPr>
            <w:r>
              <w:t>检查内容：站线坡度大于2.5‰(滚动轴承车辆大于1.5‰，窄轨大于3‰)的坡道上进行甩车作业时的防溜设施是否与批复的安全设施设计一致。</w:t>
            </w:r>
          </w:p>
          <w:p w14:paraId="500F7EAD">
            <w:pPr>
              <w:pStyle w:val="50"/>
              <w:bidi w:val="0"/>
            </w:pPr>
            <w:r>
              <w:t>检查方法：查阅安全设施验收评价报告、现场抽查。</w:t>
            </w:r>
          </w:p>
        </w:tc>
        <w:tc>
          <w:tcPr>
            <w:tcW w:w="696" w:type="pct"/>
            <w:noWrap w:val="0"/>
            <w:vAlign w:val="top"/>
          </w:tcPr>
          <w:p w14:paraId="655DE618">
            <w:pPr>
              <w:pStyle w:val="50"/>
              <w:bidi w:val="0"/>
            </w:pPr>
          </w:p>
        </w:tc>
        <w:tc>
          <w:tcPr>
            <w:tcW w:w="323" w:type="pct"/>
            <w:noWrap w:val="0"/>
            <w:vAlign w:val="center"/>
          </w:tcPr>
          <w:p w14:paraId="0911727D">
            <w:pPr>
              <w:pStyle w:val="50"/>
              <w:bidi w:val="0"/>
            </w:pPr>
            <w:r>
              <w:rPr>
                <w:rFonts w:hint="eastAsia"/>
                <w:lang w:val="en-US" w:eastAsia="zh-CN"/>
              </w:rPr>
              <w:t>不涉及</w:t>
            </w:r>
          </w:p>
        </w:tc>
      </w:tr>
      <w:tr w14:paraId="1586F86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0" w:hRule="atLeast"/>
          <w:jc w:val="center"/>
        </w:trPr>
        <w:tc>
          <w:tcPr>
            <w:tcW w:w="304" w:type="pct"/>
            <w:noWrap w:val="0"/>
            <w:vAlign w:val="center"/>
          </w:tcPr>
          <w:p w14:paraId="53C49BB2">
            <w:pPr>
              <w:pStyle w:val="50"/>
              <w:bidi w:val="0"/>
            </w:pPr>
            <w:r>
              <w:t>2.7</w:t>
            </w:r>
          </w:p>
        </w:tc>
        <w:tc>
          <w:tcPr>
            <w:tcW w:w="588" w:type="pct"/>
            <w:noWrap/>
            <w:vAlign w:val="center"/>
          </w:tcPr>
          <w:p w14:paraId="2736AE95">
            <w:pPr>
              <w:pStyle w:val="50"/>
              <w:bidi w:val="0"/>
            </w:pPr>
            <w:r>
              <w:t>减速器、阻车器</w:t>
            </w:r>
          </w:p>
        </w:tc>
        <w:tc>
          <w:tcPr>
            <w:tcW w:w="358" w:type="pct"/>
            <w:noWrap w:val="0"/>
            <w:vAlign w:val="center"/>
          </w:tcPr>
          <w:p w14:paraId="20892CD9">
            <w:pPr>
              <w:pStyle w:val="50"/>
              <w:bidi w:val="0"/>
            </w:pPr>
            <w:r>
              <w:t>基本</w:t>
            </w:r>
          </w:p>
        </w:tc>
        <w:tc>
          <w:tcPr>
            <w:tcW w:w="366" w:type="pct"/>
            <w:noWrap w:val="0"/>
            <w:vAlign w:val="center"/>
          </w:tcPr>
          <w:p w14:paraId="0DBEB329">
            <w:pPr>
              <w:pStyle w:val="50"/>
              <w:bidi w:val="0"/>
            </w:pPr>
            <w:r>
              <w:t>△</w:t>
            </w:r>
          </w:p>
        </w:tc>
        <w:tc>
          <w:tcPr>
            <w:tcW w:w="2361" w:type="pct"/>
            <w:noWrap w:val="0"/>
            <w:vAlign w:val="center"/>
          </w:tcPr>
          <w:p w14:paraId="762B5AB9">
            <w:pPr>
              <w:pStyle w:val="50"/>
              <w:bidi w:val="0"/>
            </w:pPr>
            <w:r>
              <w:t>检查内容：沿线减速器或阻车器的设置是否与批复的安全设施设计一致。</w:t>
            </w:r>
          </w:p>
          <w:p w14:paraId="0AA09DF4">
            <w:pPr>
              <w:pStyle w:val="50"/>
              <w:bidi w:val="0"/>
            </w:pPr>
            <w:r>
              <w:t>检查方法：查阅安全设施验收评价报告、现场抽查。</w:t>
            </w:r>
          </w:p>
        </w:tc>
        <w:tc>
          <w:tcPr>
            <w:tcW w:w="696" w:type="pct"/>
            <w:noWrap w:val="0"/>
            <w:vAlign w:val="top"/>
          </w:tcPr>
          <w:p w14:paraId="6372DDF8">
            <w:pPr>
              <w:pStyle w:val="50"/>
              <w:bidi w:val="0"/>
            </w:pPr>
          </w:p>
        </w:tc>
        <w:tc>
          <w:tcPr>
            <w:tcW w:w="323" w:type="pct"/>
            <w:noWrap w:val="0"/>
            <w:vAlign w:val="center"/>
          </w:tcPr>
          <w:p w14:paraId="3045F897">
            <w:pPr>
              <w:pStyle w:val="50"/>
              <w:bidi w:val="0"/>
            </w:pPr>
            <w:r>
              <w:rPr>
                <w:rFonts w:hint="eastAsia"/>
                <w:lang w:val="en-US" w:eastAsia="zh-CN"/>
              </w:rPr>
              <w:t>不涉及</w:t>
            </w:r>
          </w:p>
        </w:tc>
      </w:tr>
      <w:tr w14:paraId="658C28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jc w:val="center"/>
        </w:trPr>
        <w:tc>
          <w:tcPr>
            <w:tcW w:w="304" w:type="pct"/>
            <w:noWrap w:val="0"/>
            <w:vAlign w:val="center"/>
          </w:tcPr>
          <w:p w14:paraId="4121F3E8">
            <w:pPr>
              <w:pStyle w:val="50"/>
              <w:bidi w:val="0"/>
            </w:pPr>
            <w:r>
              <w:t>2.8</w:t>
            </w:r>
          </w:p>
        </w:tc>
        <w:tc>
          <w:tcPr>
            <w:tcW w:w="588" w:type="pct"/>
            <w:noWrap/>
            <w:vAlign w:val="center"/>
          </w:tcPr>
          <w:p w14:paraId="5CE006BC">
            <w:pPr>
              <w:pStyle w:val="50"/>
              <w:bidi w:val="0"/>
            </w:pPr>
            <w:r>
              <w:t>车档与警示标志</w:t>
            </w:r>
          </w:p>
        </w:tc>
        <w:tc>
          <w:tcPr>
            <w:tcW w:w="358" w:type="pct"/>
            <w:noWrap w:val="0"/>
            <w:vAlign w:val="center"/>
          </w:tcPr>
          <w:p w14:paraId="2FA5A577">
            <w:pPr>
              <w:pStyle w:val="50"/>
              <w:bidi w:val="0"/>
            </w:pPr>
            <w:r>
              <w:t>专用</w:t>
            </w:r>
          </w:p>
        </w:tc>
        <w:tc>
          <w:tcPr>
            <w:tcW w:w="366" w:type="pct"/>
            <w:noWrap w:val="0"/>
            <w:vAlign w:val="center"/>
          </w:tcPr>
          <w:p w14:paraId="57D1B7C6">
            <w:pPr>
              <w:pStyle w:val="50"/>
              <w:bidi w:val="0"/>
            </w:pPr>
            <w:r>
              <w:t>△</w:t>
            </w:r>
          </w:p>
        </w:tc>
        <w:tc>
          <w:tcPr>
            <w:tcW w:w="2361" w:type="pct"/>
            <w:noWrap w:val="0"/>
            <w:vAlign w:val="center"/>
          </w:tcPr>
          <w:p w14:paraId="71EE7764">
            <w:pPr>
              <w:pStyle w:val="50"/>
              <w:bidi w:val="0"/>
            </w:pPr>
            <w:r>
              <w:t>检查内容：铁路尽头线的终端车档与警示标志是否与批复的安全设施设计一致。</w:t>
            </w:r>
          </w:p>
          <w:p w14:paraId="6E5117E6">
            <w:pPr>
              <w:pStyle w:val="50"/>
              <w:bidi w:val="0"/>
            </w:pPr>
            <w:r>
              <w:t>检查方法：查阅安全设施验收评价报告、现场抽查。</w:t>
            </w:r>
          </w:p>
        </w:tc>
        <w:tc>
          <w:tcPr>
            <w:tcW w:w="696" w:type="pct"/>
            <w:noWrap w:val="0"/>
            <w:vAlign w:val="top"/>
          </w:tcPr>
          <w:p w14:paraId="67310F43">
            <w:pPr>
              <w:pStyle w:val="50"/>
              <w:bidi w:val="0"/>
            </w:pPr>
          </w:p>
        </w:tc>
        <w:tc>
          <w:tcPr>
            <w:tcW w:w="323" w:type="pct"/>
            <w:noWrap w:val="0"/>
            <w:vAlign w:val="center"/>
          </w:tcPr>
          <w:p w14:paraId="58FF5039">
            <w:pPr>
              <w:pStyle w:val="50"/>
              <w:bidi w:val="0"/>
            </w:pPr>
            <w:r>
              <w:rPr>
                <w:rFonts w:hint="eastAsia"/>
                <w:lang w:val="en-US" w:eastAsia="zh-CN"/>
              </w:rPr>
              <w:t>不涉及</w:t>
            </w:r>
          </w:p>
        </w:tc>
      </w:tr>
      <w:tr w14:paraId="5B1EB1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02" w:hRule="atLeast"/>
          <w:jc w:val="center"/>
        </w:trPr>
        <w:tc>
          <w:tcPr>
            <w:tcW w:w="304" w:type="pct"/>
            <w:noWrap w:val="0"/>
            <w:vAlign w:val="center"/>
          </w:tcPr>
          <w:p w14:paraId="6285CA7E">
            <w:pPr>
              <w:pStyle w:val="50"/>
              <w:bidi w:val="0"/>
            </w:pPr>
            <w:r>
              <w:t>2.9</w:t>
            </w:r>
          </w:p>
        </w:tc>
        <w:tc>
          <w:tcPr>
            <w:tcW w:w="588" w:type="pct"/>
            <w:noWrap/>
            <w:vAlign w:val="center"/>
          </w:tcPr>
          <w:p w14:paraId="7AED9D4B">
            <w:pPr>
              <w:pStyle w:val="50"/>
              <w:bidi w:val="0"/>
            </w:pPr>
            <w:r>
              <w:t>防爬设施</w:t>
            </w:r>
          </w:p>
        </w:tc>
        <w:tc>
          <w:tcPr>
            <w:tcW w:w="358" w:type="pct"/>
            <w:noWrap w:val="0"/>
            <w:vAlign w:val="center"/>
          </w:tcPr>
          <w:p w14:paraId="795DFCC6">
            <w:pPr>
              <w:pStyle w:val="50"/>
              <w:bidi w:val="0"/>
            </w:pPr>
            <w:r>
              <w:t>专用</w:t>
            </w:r>
          </w:p>
        </w:tc>
        <w:tc>
          <w:tcPr>
            <w:tcW w:w="366" w:type="pct"/>
            <w:noWrap w:val="0"/>
            <w:vAlign w:val="center"/>
          </w:tcPr>
          <w:p w14:paraId="1F010A05">
            <w:pPr>
              <w:pStyle w:val="50"/>
              <w:bidi w:val="0"/>
            </w:pPr>
            <w:r>
              <w:t>△</w:t>
            </w:r>
          </w:p>
        </w:tc>
        <w:tc>
          <w:tcPr>
            <w:tcW w:w="2361" w:type="pct"/>
            <w:noWrap w:val="0"/>
            <w:vAlign w:val="center"/>
          </w:tcPr>
          <w:p w14:paraId="1BD1E8E0">
            <w:pPr>
              <w:pStyle w:val="50"/>
              <w:bidi w:val="0"/>
            </w:pPr>
            <w:r>
              <w:t>检查内容：陡坡铁路运输时的线路防爬设施（含防爬器、抗滑桩等）的设置是否与批复的安全设施设计一致。</w:t>
            </w:r>
          </w:p>
          <w:p w14:paraId="599CF35B">
            <w:pPr>
              <w:pStyle w:val="50"/>
              <w:bidi w:val="0"/>
            </w:pPr>
            <w:r>
              <w:t>检查方法：查阅安全设施验收评价报告、现场抽查。</w:t>
            </w:r>
          </w:p>
        </w:tc>
        <w:tc>
          <w:tcPr>
            <w:tcW w:w="696" w:type="pct"/>
            <w:noWrap w:val="0"/>
            <w:vAlign w:val="top"/>
          </w:tcPr>
          <w:p w14:paraId="7CD7C995">
            <w:pPr>
              <w:pStyle w:val="50"/>
              <w:bidi w:val="0"/>
            </w:pPr>
          </w:p>
        </w:tc>
        <w:tc>
          <w:tcPr>
            <w:tcW w:w="323" w:type="pct"/>
            <w:noWrap w:val="0"/>
            <w:vAlign w:val="center"/>
          </w:tcPr>
          <w:p w14:paraId="2C70309B">
            <w:pPr>
              <w:pStyle w:val="50"/>
              <w:bidi w:val="0"/>
            </w:pPr>
            <w:r>
              <w:rPr>
                <w:rFonts w:hint="eastAsia"/>
                <w:lang w:val="en-US" w:eastAsia="zh-CN"/>
              </w:rPr>
              <w:t>不涉及</w:t>
            </w:r>
          </w:p>
        </w:tc>
      </w:tr>
      <w:tr w14:paraId="11748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noWrap w:val="0"/>
            <w:vAlign w:val="center"/>
          </w:tcPr>
          <w:p w14:paraId="6F018D9D">
            <w:pPr>
              <w:pStyle w:val="50"/>
              <w:bidi w:val="0"/>
            </w:pPr>
            <w:r>
              <w:t>2.10</w:t>
            </w:r>
          </w:p>
        </w:tc>
        <w:tc>
          <w:tcPr>
            <w:tcW w:w="588" w:type="pct"/>
            <w:noWrap/>
            <w:vAlign w:val="center"/>
          </w:tcPr>
          <w:p w14:paraId="08279CAC">
            <w:pPr>
              <w:pStyle w:val="50"/>
              <w:bidi w:val="0"/>
            </w:pPr>
            <w:r>
              <w:t>曲线轨道加固措施</w:t>
            </w:r>
          </w:p>
        </w:tc>
        <w:tc>
          <w:tcPr>
            <w:tcW w:w="358" w:type="pct"/>
            <w:noWrap w:val="0"/>
            <w:vAlign w:val="center"/>
          </w:tcPr>
          <w:p w14:paraId="7E4EB134">
            <w:pPr>
              <w:pStyle w:val="50"/>
              <w:bidi w:val="0"/>
            </w:pPr>
            <w:r>
              <w:t>专用</w:t>
            </w:r>
          </w:p>
        </w:tc>
        <w:tc>
          <w:tcPr>
            <w:tcW w:w="366" w:type="pct"/>
            <w:noWrap w:val="0"/>
            <w:vAlign w:val="center"/>
          </w:tcPr>
          <w:p w14:paraId="63ACC941">
            <w:pPr>
              <w:pStyle w:val="50"/>
              <w:bidi w:val="0"/>
            </w:pPr>
            <w:r>
              <w:t>△</w:t>
            </w:r>
          </w:p>
        </w:tc>
        <w:tc>
          <w:tcPr>
            <w:tcW w:w="2361" w:type="pct"/>
            <w:noWrap w:val="0"/>
            <w:vAlign w:val="center"/>
          </w:tcPr>
          <w:p w14:paraId="5C4DCA0E">
            <w:pPr>
              <w:pStyle w:val="50"/>
              <w:bidi w:val="0"/>
            </w:pPr>
            <w:r>
              <w:t>检查内容：曲线地段的轨距杆或轨撑是否与批复的安全设施设计一致。</w:t>
            </w:r>
          </w:p>
          <w:p w14:paraId="519D0DB6">
            <w:pPr>
              <w:pStyle w:val="50"/>
              <w:bidi w:val="0"/>
            </w:pPr>
            <w:r>
              <w:t>检查方法：查阅安全设施验收评价报告、现场抽查。</w:t>
            </w:r>
          </w:p>
        </w:tc>
        <w:tc>
          <w:tcPr>
            <w:tcW w:w="696" w:type="pct"/>
            <w:noWrap w:val="0"/>
            <w:vAlign w:val="top"/>
          </w:tcPr>
          <w:p w14:paraId="4516CFCE">
            <w:pPr>
              <w:pStyle w:val="50"/>
              <w:bidi w:val="0"/>
            </w:pPr>
          </w:p>
        </w:tc>
        <w:tc>
          <w:tcPr>
            <w:tcW w:w="323" w:type="pct"/>
            <w:noWrap w:val="0"/>
            <w:vAlign w:val="center"/>
          </w:tcPr>
          <w:p w14:paraId="7F9A1752">
            <w:pPr>
              <w:pStyle w:val="50"/>
              <w:bidi w:val="0"/>
            </w:pPr>
            <w:r>
              <w:rPr>
                <w:rFonts w:hint="eastAsia"/>
                <w:lang w:val="en-US" w:eastAsia="zh-CN"/>
              </w:rPr>
              <w:t>不涉及</w:t>
            </w:r>
          </w:p>
        </w:tc>
      </w:tr>
      <w:tr w14:paraId="25260D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6" w:hRule="atLeast"/>
          <w:jc w:val="center"/>
        </w:trPr>
        <w:tc>
          <w:tcPr>
            <w:tcW w:w="304" w:type="pct"/>
            <w:noWrap w:val="0"/>
            <w:vAlign w:val="center"/>
          </w:tcPr>
          <w:p w14:paraId="4CD8EAA0">
            <w:pPr>
              <w:pStyle w:val="50"/>
              <w:bidi w:val="0"/>
            </w:pPr>
            <w:r>
              <w:t>3</w:t>
            </w:r>
          </w:p>
        </w:tc>
        <w:tc>
          <w:tcPr>
            <w:tcW w:w="588" w:type="pct"/>
            <w:noWrap/>
            <w:vAlign w:val="center"/>
          </w:tcPr>
          <w:p w14:paraId="64FC650A">
            <w:pPr>
              <w:pStyle w:val="50"/>
              <w:bidi w:val="0"/>
            </w:pPr>
            <w:r>
              <w:t>平硐溜井运输</w:t>
            </w:r>
          </w:p>
        </w:tc>
        <w:tc>
          <w:tcPr>
            <w:tcW w:w="358" w:type="pct"/>
            <w:noWrap w:val="0"/>
            <w:vAlign w:val="center"/>
          </w:tcPr>
          <w:p w14:paraId="616FA085">
            <w:pPr>
              <w:pStyle w:val="50"/>
              <w:bidi w:val="0"/>
            </w:pPr>
          </w:p>
        </w:tc>
        <w:tc>
          <w:tcPr>
            <w:tcW w:w="366" w:type="pct"/>
            <w:noWrap w:val="0"/>
            <w:vAlign w:val="center"/>
          </w:tcPr>
          <w:p w14:paraId="253A2284">
            <w:pPr>
              <w:pStyle w:val="50"/>
              <w:bidi w:val="0"/>
            </w:pPr>
          </w:p>
        </w:tc>
        <w:tc>
          <w:tcPr>
            <w:tcW w:w="2361" w:type="pct"/>
            <w:noWrap w:val="0"/>
            <w:vAlign w:val="center"/>
          </w:tcPr>
          <w:p w14:paraId="200B85E8">
            <w:pPr>
              <w:pStyle w:val="50"/>
              <w:bidi w:val="0"/>
            </w:pPr>
          </w:p>
        </w:tc>
        <w:tc>
          <w:tcPr>
            <w:tcW w:w="696" w:type="pct"/>
            <w:noWrap w:val="0"/>
            <w:vAlign w:val="top"/>
          </w:tcPr>
          <w:p w14:paraId="1F95D1CD">
            <w:pPr>
              <w:pStyle w:val="50"/>
              <w:bidi w:val="0"/>
            </w:pPr>
          </w:p>
        </w:tc>
        <w:tc>
          <w:tcPr>
            <w:tcW w:w="323" w:type="pct"/>
            <w:noWrap w:val="0"/>
            <w:vAlign w:val="center"/>
          </w:tcPr>
          <w:p w14:paraId="1A3846FD">
            <w:pPr>
              <w:pStyle w:val="50"/>
              <w:bidi w:val="0"/>
              <w:rPr>
                <w:rFonts w:hint="default" w:eastAsia="宋体"/>
                <w:lang w:val="en-US" w:eastAsia="zh-CN"/>
              </w:rPr>
            </w:pPr>
            <w:r>
              <w:rPr>
                <w:rFonts w:hint="eastAsia"/>
                <w:lang w:val="en-US" w:eastAsia="zh-CN"/>
              </w:rPr>
              <w:t>不涉及</w:t>
            </w:r>
          </w:p>
        </w:tc>
      </w:tr>
      <w:tr w14:paraId="274AB7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76" w:hRule="atLeast"/>
          <w:jc w:val="center"/>
        </w:trPr>
        <w:tc>
          <w:tcPr>
            <w:tcW w:w="304" w:type="pct"/>
            <w:noWrap w:val="0"/>
            <w:vAlign w:val="center"/>
          </w:tcPr>
          <w:p w14:paraId="292832A5">
            <w:pPr>
              <w:pStyle w:val="50"/>
              <w:bidi w:val="0"/>
            </w:pPr>
            <w:r>
              <w:t>3.1</w:t>
            </w:r>
          </w:p>
        </w:tc>
        <w:tc>
          <w:tcPr>
            <w:tcW w:w="588" w:type="pct"/>
            <w:noWrap/>
            <w:vAlign w:val="center"/>
          </w:tcPr>
          <w:p w14:paraId="7D9D1100">
            <w:pPr>
              <w:pStyle w:val="50"/>
              <w:bidi w:val="0"/>
            </w:pPr>
            <w:r>
              <w:t>卸矿安全挡车设施、安全护栏</w:t>
            </w:r>
          </w:p>
        </w:tc>
        <w:tc>
          <w:tcPr>
            <w:tcW w:w="358" w:type="pct"/>
            <w:noWrap w:val="0"/>
            <w:vAlign w:val="center"/>
          </w:tcPr>
          <w:p w14:paraId="18FA5048">
            <w:pPr>
              <w:pStyle w:val="50"/>
              <w:bidi w:val="0"/>
            </w:pPr>
            <w:r>
              <w:t>专用</w:t>
            </w:r>
          </w:p>
        </w:tc>
        <w:tc>
          <w:tcPr>
            <w:tcW w:w="366" w:type="pct"/>
            <w:noWrap w:val="0"/>
            <w:vAlign w:val="center"/>
          </w:tcPr>
          <w:p w14:paraId="3A49E732">
            <w:pPr>
              <w:pStyle w:val="50"/>
              <w:bidi w:val="0"/>
            </w:pPr>
            <w:r>
              <w:t>△</w:t>
            </w:r>
          </w:p>
        </w:tc>
        <w:tc>
          <w:tcPr>
            <w:tcW w:w="2361" w:type="pct"/>
            <w:noWrap w:val="0"/>
            <w:vAlign w:val="center"/>
          </w:tcPr>
          <w:p w14:paraId="29E891C5">
            <w:pPr>
              <w:pStyle w:val="50"/>
              <w:bidi w:val="0"/>
            </w:pPr>
            <w:r>
              <w:t>检查内容：溜井的卸矿口挡墙，标志、照明和安全护栏的设置是否与批复的安全设施设计一致。</w:t>
            </w:r>
          </w:p>
          <w:p w14:paraId="2CB47CA8">
            <w:pPr>
              <w:pStyle w:val="50"/>
              <w:bidi w:val="0"/>
            </w:pPr>
            <w:r>
              <w:t>检查方法：查阅安全设施验收评价报告、现场抽查。</w:t>
            </w:r>
          </w:p>
        </w:tc>
        <w:tc>
          <w:tcPr>
            <w:tcW w:w="696" w:type="pct"/>
            <w:noWrap w:val="0"/>
            <w:vAlign w:val="top"/>
          </w:tcPr>
          <w:p w14:paraId="579C6703">
            <w:pPr>
              <w:pStyle w:val="50"/>
              <w:bidi w:val="0"/>
            </w:pPr>
          </w:p>
        </w:tc>
        <w:tc>
          <w:tcPr>
            <w:tcW w:w="323" w:type="pct"/>
            <w:noWrap w:val="0"/>
            <w:vAlign w:val="center"/>
          </w:tcPr>
          <w:p w14:paraId="7C3968BE">
            <w:pPr>
              <w:pStyle w:val="50"/>
              <w:bidi w:val="0"/>
            </w:pPr>
            <w:r>
              <w:rPr>
                <w:rFonts w:hint="eastAsia"/>
                <w:lang w:val="en-US" w:eastAsia="zh-CN"/>
              </w:rPr>
              <w:t>不涉及</w:t>
            </w:r>
          </w:p>
        </w:tc>
      </w:tr>
      <w:tr w14:paraId="5DB08F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304" w:type="pct"/>
            <w:noWrap w:val="0"/>
            <w:vAlign w:val="center"/>
          </w:tcPr>
          <w:p w14:paraId="25B3B8FF">
            <w:pPr>
              <w:pStyle w:val="50"/>
              <w:bidi w:val="0"/>
            </w:pPr>
            <w:r>
              <w:t>3.2</w:t>
            </w:r>
          </w:p>
        </w:tc>
        <w:tc>
          <w:tcPr>
            <w:tcW w:w="588" w:type="pct"/>
            <w:noWrap/>
            <w:vAlign w:val="center"/>
          </w:tcPr>
          <w:p w14:paraId="3F01A0B0">
            <w:pPr>
              <w:pStyle w:val="50"/>
              <w:bidi w:val="0"/>
            </w:pPr>
            <w:r>
              <w:t>人行道</w:t>
            </w:r>
          </w:p>
        </w:tc>
        <w:tc>
          <w:tcPr>
            <w:tcW w:w="358" w:type="pct"/>
            <w:noWrap w:val="0"/>
            <w:vAlign w:val="center"/>
          </w:tcPr>
          <w:p w14:paraId="720A072B">
            <w:pPr>
              <w:pStyle w:val="50"/>
              <w:bidi w:val="0"/>
            </w:pPr>
            <w:r>
              <w:t>基本</w:t>
            </w:r>
          </w:p>
        </w:tc>
        <w:tc>
          <w:tcPr>
            <w:tcW w:w="366" w:type="pct"/>
            <w:noWrap w:val="0"/>
            <w:vAlign w:val="center"/>
          </w:tcPr>
          <w:p w14:paraId="5194F560">
            <w:pPr>
              <w:pStyle w:val="50"/>
              <w:bidi w:val="0"/>
            </w:pPr>
            <w:r>
              <w:t>△</w:t>
            </w:r>
          </w:p>
        </w:tc>
        <w:tc>
          <w:tcPr>
            <w:tcW w:w="2361" w:type="pct"/>
            <w:noWrap w:val="0"/>
            <w:vAlign w:val="center"/>
          </w:tcPr>
          <w:p w14:paraId="730C4AD8">
            <w:pPr>
              <w:pStyle w:val="50"/>
              <w:bidi w:val="0"/>
            </w:pPr>
            <w:r>
              <w:t>检查或：运输平硐内人行道宽度、高度是否与批复的安全设施设计一致。</w:t>
            </w:r>
          </w:p>
          <w:p w14:paraId="75F60252">
            <w:pPr>
              <w:pStyle w:val="50"/>
              <w:bidi w:val="0"/>
            </w:pPr>
            <w:r>
              <w:t>检查方法：查阅安全设施验收评价报告、现场抽查。</w:t>
            </w:r>
          </w:p>
        </w:tc>
        <w:tc>
          <w:tcPr>
            <w:tcW w:w="696" w:type="pct"/>
            <w:noWrap w:val="0"/>
            <w:vAlign w:val="top"/>
          </w:tcPr>
          <w:p w14:paraId="4C32F577">
            <w:pPr>
              <w:pStyle w:val="50"/>
              <w:bidi w:val="0"/>
            </w:pPr>
          </w:p>
        </w:tc>
        <w:tc>
          <w:tcPr>
            <w:tcW w:w="323" w:type="pct"/>
            <w:noWrap w:val="0"/>
            <w:vAlign w:val="center"/>
          </w:tcPr>
          <w:p w14:paraId="53FA017D">
            <w:pPr>
              <w:pStyle w:val="50"/>
              <w:bidi w:val="0"/>
            </w:pPr>
            <w:r>
              <w:rPr>
                <w:rFonts w:hint="eastAsia"/>
                <w:lang w:val="en-US" w:eastAsia="zh-CN"/>
              </w:rPr>
              <w:t>不涉及</w:t>
            </w:r>
          </w:p>
        </w:tc>
      </w:tr>
      <w:tr w14:paraId="5278CE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29" w:hRule="atLeast"/>
          <w:jc w:val="center"/>
        </w:trPr>
        <w:tc>
          <w:tcPr>
            <w:tcW w:w="304" w:type="pct"/>
            <w:noWrap w:val="0"/>
            <w:vAlign w:val="center"/>
          </w:tcPr>
          <w:p w14:paraId="2C182A20">
            <w:pPr>
              <w:pStyle w:val="50"/>
              <w:bidi w:val="0"/>
            </w:pPr>
            <w:r>
              <w:t>3.3</w:t>
            </w:r>
          </w:p>
        </w:tc>
        <w:tc>
          <w:tcPr>
            <w:tcW w:w="588" w:type="pct"/>
            <w:noWrap/>
            <w:vAlign w:val="center"/>
          </w:tcPr>
          <w:p w14:paraId="7A35B5E1">
            <w:pPr>
              <w:pStyle w:val="50"/>
              <w:bidi w:val="0"/>
            </w:pPr>
            <w:r>
              <w:t>照明设施和联络信号</w:t>
            </w:r>
          </w:p>
        </w:tc>
        <w:tc>
          <w:tcPr>
            <w:tcW w:w="358" w:type="pct"/>
            <w:noWrap w:val="0"/>
            <w:vAlign w:val="center"/>
          </w:tcPr>
          <w:p w14:paraId="1782A7D9">
            <w:pPr>
              <w:pStyle w:val="50"/>
              <w:bidi w:val="0"/>
            </w:pPr>
            <w:r>
              <w:t>基本</w:t>
            </w:r>
          </w:p>
        </w:tc>
        <w:tc>
          <w:tcPr>
            <w:tcW w:w="366" w:type="pct"/>
            <w:noWrap w:val="0"/>
            <w:vAlign w:val="center"/>
          </w:tcPr>
          <w:p w14:paraId="210C3916">
            <w:pPr>
              <w:pStyle w:val="50"/>
              <w:bidi w:val="0"/>
            </w:pPr>
            <w:r>
              <w:t>△</w:t>
            </w:r>
          </w:p>
        </w:tc>
        <w:tc>
          <w:tcPr>
            <w:tcW w:w="2361" w:type="pct"/>
            <w:noWrap w:val="0"/>
            <w:vAlign w:val="center"/>
          </w:tcPr>
          <w:p w14:paraId="767A2CB5">
            <w:pPr>
              <w:pStyle w:val="50"/>
              <w:bidi w:val="0"/>
            </w:pPr>
            <w:r>
              <w:t>检查内容：平硐内照明设施和联络信号设置是否与批复的安全设施设计一致。</w:t>
            </w:r>
          </w:p>
          <w:p w14:paraId="62FFAA6D">
            <w:pPr>
              <w:pStyle w:val="50"/>
              <w:bidi w:val="0"/>
            </w:pPr>
            <w:r>
              <w:t>检查方法：查阅安全设施验收评价报告、现场抽查。</w:t>
            </w:r>
          </w:p>
        </w:tc>
        <w:tc>
          <w:tcPr>
            <w:tcW w:w="696" w:type="pct"/>
            <w:noWrap w:val="0"/>
            <w:vAlign w:val="top"/>
          </w:tcPr>
          <w:p w14:paraId="478FE313">
            <w:pPr>
              <w:pStyle w:val="50"/>
              <w:bidi w:val="0"/>
            </w:pPr>
          </w:p>
        </w:tc>
        <w:tc>
          <w:tcPr>
            <w:tcW w:w="323" w:type="pct"/>
            <w:noWrap w:val="0"/>
            <w:vAlign w:val="center"/>
          </w:tcPr>
          <w:p w14:paraId="2E49D543">
            <w:pPr>
              <w:pStyle w:val="50"/>
              <w:bidi w:val="0"/>
            </w:pPr>
            <w:r>
              <w:rPr>
                <w:rFonts w:hint="eastAsia"/>
                <w:lang w:val="en-US" w:eastAsia="zh-CN"/>
              </w:rPr>
              <w:t>不涉及</w:t>
            </w:r>
          </w:p>
        </w:tc>
      </w:tr>
      <w:tr w14:paraId="03A898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59" w:hRule="atLeast"/>
          <w:jc w:val="center"/>
        </w:trPr>
        <w:tc>
          <w:tcPr>
            <w:tcW w:w="304" w:type="pct"/>
            <w:noWrap w:val="0"/>
            <w:vAlign w:val="center"/>
          </w:tcPr>
          <w:p w14:paraId="1557748E">
            <w:pPr>
              <w:pStyle w:val="50"/>
              <w:bidi w:val="0"/>
            </w:pPr>
            <w:r>
              <w:t>3.4</w:t>
            </w:r>
          </w:p>
        </w:tc>
        <w:tc>
          <w:tcPr>
            <w:tcW w:w="588" w:type="pct"/>
            <w:noWrap/>
            <w:vAlign w:val="center"/>
          </w:tcPr>
          <w:p w14:paraId="6C39DEBE">
            <w:pPr>
              <w:pStyle w:val="50"/>
              <w:bidi w:val="0"/>
            </w:pPr>
            <w:r>
              <w:t>安全通道</w:t>
            </w:r>
          </w:p>
        </w:tc>
        <w:tc>
          <w:tcPr>
            <w:tcW w:w="358" w:type="pct"/>
            <w:noWrap w:val="0"/>
            <w:vAlign w:val="center"/>
          </w:tcPr>
          <w:p w14:paraId="573AB6BB">
            <w:pPr>
              <w:pStyle w:val="50"/>
              <w:bidi w:val="0"/>
            </w:pPr>
            <w:r>
              <w:t>基本</w:t>
            </w:r>
          </w:p>
        </w:tc>
        <w:tc>
          <w:tcPr>
            <w:tcW w:w="366" w:type="pct"/>
            <w:noWrap w:val="0"/>
            <w:vAlign w:val="center"/>
          </w:tcPr>
          <w:p w14:paraId="28285CEA">
            <w:pPr>
              <w:pStyle w:val="50"/>
              <w:bidi w:val="0"/>
            </w:pPr>
            <w:r>
              <w:t>△</w:t>
            </w:r>
          </w:p>
        </w:tc>
        <w:tc>
          <w:tcPr>
            <w:tcW w:w="2361" w:type="pct"/>
            <w:noWrap w:val="0"/>
            <w:vAlign w:val="center"/>
          </w:tcPr>
          <w:p w14:paraId="0FCD7142">
            <w:pPr>
              <w:pStyle w:val="50"/>
              <w:bidi w:val="0"/>
            </w:pPr>
            <w:r>
              <w:t>检查内容：放矿系统的操作室的安全通道是否与批复的安全设施设计一致。</w:t>
            </w:r>
          </w:p>
          <w:p w14:paraId="22065EAB">
            <w:pPr>
              <w:pStyle w:val="50"/>
              <w:bidi w:val="0"/>
            </w:pPr>
            <w:r>
              <w:t>检查方法：查阅安全设施验收评价报告、现场抽查。</w:t>
            </w:r>
          </w:p>
        </w:tc>
        <w:tc>
          <w:tcPr>
            <w:tcW w:w="696" w:type="pct"/>
            <w:noWrap w:val="0"/>
            <w:vAlign w:val="top"/>
          </w:tcPr>
          <w:p w14:paraId="277916CB">
            <w:pPr>
              <w:pStyle w:val="50"/>
              <w:bidi w:val="0"/>
            </w:pPr>
          </w:p>
        </w:tc>
        <w:tc>
          <w:tcPr>
            <w:tcW w:w="323" w:type="pct"/>
            <w:noWrap w:val="0"/>
            <w:vAlign w:val="center"/>
          </w:tcPr>
          <w:p w14:paraId="0F841021">
            <w:pPr>
              <w:pStyle w:val="50"/>
              <w:bidi w:val="0"/>
            </w:pPr>
            <w:r>
              <w:rPr>
                <w:rFonts w:hint="eastAsia"/>
                <w:lang w:val="en-US" w:eastAsia="zh-CN"/>
              </w:rPr>
              <w:t>不涉及</w:t>
            </w:r>
          </w:p>
        </w:tc>
      </w:tr>
      <w:tr w14:paraId="662492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304" w:type="pct"/>
            <w:noWrap w:val="0"/>
            <w:vAlign w:val="center"/>
          </w:tcPr>
          <w:p w14:paraId="0EC713ED">
            <w:pPr>
              <w:pStyle w:val="50"/>
              <w:bidi w:val="0"/>
            </w:pPr>
            <w:r>
              <w:t>4</w:t>
            </w:r>
          </w:p>
        </w:tc>
        <w:tc>
          <w:tcPr>
            <w:tcW w:w="588" w:type="pct"/>
            <w:noWrap/>
            <w:vAlign w:val="center"/>
          </w:tcPr>
          <w:p w14:paraId="68438DB7">
            <w:pPr>
              <w:pStyle w:val="50"/>
              <w:bidi w:val="0"/>
            </w:pPr>
            <w:r>
              <w:t>带式输送机运输</w:t>
            </w:r>
          </w:p>
        </w:tc>
        <w:tc>
          <w:tcPr>
            <w:tcW w:w="358" w:type="pct"/>
            <w:noWrap w:val="0"/>
            <w:vAlign w:val="center"/>
          </w:tcPr>
          <w:p w14:paraId="45D16FBD">
            <w:pPr>
              <w:pStyle w:val="50"/>
              <w:bidi w:val="0"/>
            </w:pPr>
          </w:p>
        </w:tc>
        <w:tc>
          <w:tcPr>
            <w:tcW w:w="366" w:type="pct"/>
            <w:noWrap w:val="0"/>
            <w:vAlign w:val="center"/>
          </w:tcPr>
          <w:p w14:paraId="0EE0F9F8">
            <w:pPr>
              <w:pStyle w:val="50"/>
              <w:bidi w:val="0"/>
            </w:pPr>
          </w:p>
        </w:tc>
        <w:tc>
          <w:tcPr>
            <w:tcW w:w="2361" w:type="pct"/>
            <w:noWrap w:val="0"/>
            <w:vAlign w:val="center"/>
          </w:tcPr>
          <w:p w14:paraId="2C01780A">
            <w:pPr>
              <w:pStyle w:val="50"/>
              <w:bidi w:val="0"/>
            </w:pPr>
          </w:p>
        </w:tc>
        <w:tc>
          <w:tcPr>
            <w:tcW w:w="696" w:type="pct"/>
            <w:noWrap w:val="0"/>
            <w:vAlign w:val="top"/>
          </w:tcPr>
          <w:p w14:paraId="502F322D">
            <w:pPr>
              <w:pStyle w:val="50"/>
              <w:bidi w:val="0"/>
            </w:pPr>
          </w:p>
        </w:tc>
        <w:tc>
          <w:tcPr>
            <w:tcW w:w="323" w:type="pct"/>
            <w:noWrap w:val="0"/>
            <w:vAlign w:val="center"/>
          </w:tcPr>
          <w:p w14:paraId="7BDB378E">
            <w:pPr>
              <w:pStyle w:val="50"/>
              <w:bidi w:val="0"/>
              <w:rPr>
                <w:rFonts w:hint="default" w:eastAsia="宋体"/>
                <w:lang w:val="en-US" w:eastAsia="zh-CN"/>
              </w:rPr>
            </w:pPr>
            <w:r>
              <w:rPr>
                <w:rFonts w:hint="eastAsia"/>
                <w:lang w:val="en-US" w:eastAsia="zh-CN"/>
              </w:rPr>
              <w:t>不涉及</w:t>
            </w:r>
          </w:p>
        </w:tc>
      </w:tr>
      <w:tr w14:paraId="0CCF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01" w:hRule="atLeast"/>
          <w:jc w:val="center"/>
        </w:trPr>
        <w:tc>
          <w:tcPr>
            <w:tcW w:w="304" w:type="pct"/>
            <w:noWrap w:val="0"/>
            <w:vAlign w:val="center"/>
          </w:tcPr>
          <w:p w14:paraId="5FE9E3C9">
            <w:pPr>
              <w:pStyle w:val="50"/>
              <w:bidi w:val="0"/>
            </w:pPr>
            <w:r>
              <w:t>4.1</w:t>
            </w:r>
          </w:p>
        </w:tc>
        <w:tc>
          <w:tcPr>
            <w:tcW w:w="588" w:type="pct"/>
            <w:noWrap/>
            <w:vAlign w:val="center"/>
          </w:tcPr>
          <w:p w14:paraId="7BBADE51">
            <w:pPr>
              <w:pStyle w:val="50"/>
              <w:bidi w:val="0"/>
            </w:pPr>
            <w:r>
              <w:t>胶带输送机系统的各种闭锁和保护装置</w:t>
            </w:r>
          </w:p>
        </w:tc>
        <w:tc>
          <w:tcPr>
            <w:tcW w:w="358" w:type="pct"/>
            <w:noWrap w:val="0"/>
            <w:vAlign w:val="center"/>
          </w:tcPr>
          <w:p w14:paraId="7FAB3A67">
            <w:pPr>
              <w:pStyle w:val="50"/>
              <w:bidi w:val="0"/>
            </w:pPr>
            <w:r>
              <w:t>基本</w:t>
            </w:r>
          </w:p>
        </w:tc>
        <w:tc>
          <w:tcPr>
            <w:tcW w:w="366" w:type="pct"/>
            <w:noWrap w:val="0"/>
            <w:vAlign w:val="center"/>
          </w:tcPr>
          <w:p w14:paraId="07B13930">
            <w:pPr>
              <w:pStyle w:val="50"/>
              <w:bidi w:val="0"/>
            </w:pPr>
            <w:r>
              <w:t>△</w:t>
            </w:r>
          </w:p>
        </w:tc>
        <w:tc>
          <w:tcPr>
            <w:tcW w:w="2361" w:type="pct"/>
            <w:noWrap w:val="0"/>
            <w:vAlign w:val="center"/>
          </w:tcPr>
          <w:p w14:paraId="7CC84B5A">
            <w:pPr>
              <w:pStyle w:val="50"/>
              <w:bidi w:val="0"/>
            </w:pPr>
            <w:r>
              <w:t>检查内容：装料点和卸料点的空仓、满仓等保护装置，声光报警信号装置及带式输送机连锁装置</w:t>
            </w:r>
            <w:r>
              <w:rPr>
                <w:rFonts w:hint="eastAsia"/>
              </w:rPr>
              <w:t>，</w:t>
            </w:r>
            <w:r>
              <w:t>带式输送机防胶带撕裂、断带、防跑偏、防止过速、防止过载、防止打滑、防止大块冲击等保护装置</w:t>
            </w:r>
            <w:r>
              <w:rPr>
                <w:rFonts w:hint="eastAsia"/>
              </w:rPr>
              <w:t>，</w:t>
            </w:r>
            <w:r>
              <w:t>带式输送机的制动装置、胶带清扫装置、线路上的信号、电气联锁和停车装置；烟雾报警装置、软启动装置</w:t>
            </w:r>
            <w:r>
              <w:rPr>
                <w:rFonts w:hint="eastAsia"/>
              </w:rPr>
              <w:t>以及</w:t>
            </w:r>
            <w:r>
              <w:t>上行的带式输送机的防逆转装置是否与批复的安全设施设计一致。</w:t>
            </w:r>
          </w:p>
          <w:p w14:paraId="71AEC840">
            <w:pPr>
              <w:pStyle w:val="50"/>
              <w:bidi w:val="0"/>
            </w:pPr>
            <w:r>
              <w:t>检查方法：查阅安全设施验收评价报告、闭锁和机械保护装置的检测检验报告、现场抽查。</w:t>
            </w:r>
          </w:p>
        </w:tc>
        <w:tc>
          <w:tcPr>
            <w:tcW w:w="696" w:type="pct"/>
            <w:noWrap w:val="0"/>
            <w:vAlign w:val="top"/>
          </w:tcPr>
          <w:p w14:paraId="4AC27F13">
            <w:pPr>
              <w:pStyle w:val="50"/>
              <w:bidi w:val="0"/>
              <w:ind w:firstLine="0" w:firstLineChars="0"/>
            </w:pPr>
          </w:p>
        </w:tc>
        <w:tc>
          <w:tcPr>
            <w:tcW w:w="323" w:type="pct"/>
            <w:noWrap w:val="0"/>
            <w:vAlign w:val="center"/>
          </w:tcPr>
          <w:p w14:paraId="37C682C5">
            <w:pPr>
              <w:pStyle w:val="50"/>
              <w:bidi w:val="0"/>
              <w:ind w:firstLine="0" w:firstLineChars="0"/>
            </w:pPr>
            <w:r>
              <w:rPr>
                <w:rFonts w:hint="eastAsia"/>
                <w:lang w:val="en-US" w:eastAsia="zh-CN"/>
              </w:rPr>
              <w:t>不涉及</w:t>
            </w:r>
          </w:p>
        </w:tc>
      </w:tr>
      <w:tr w14:paraId="68C012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9" w:hRule="atLeast"/>
          <w:jc w:val="center"/>
        </w:trPr>
        <w:tc>
          <w:tcPr>
            <w:tcW w:w="304" w:type="pct"/>
            <w:noWrap w:val="0"/>
            <w:vAlign w:val="center"/>
          </w:tcPr>
          <w:p w14:paraId="351B6DCF">
            <w:pPr>
              <w:pStyle w:val="50"/>
              <w:bidi w:val="0"/>
            </w:pPr>
            <w:r>
              <w:t>4.2</w:t>
            </w:r>
          </w:p>
        </w:tc>
        <w:tc>
          <w:tcPr>
            <w:tcW w:w="588" w:type="pct"/>
            <w:noWrap/>
            <w:vAlign w:val="center"/>
          </w:tcPr>
          <w:p w14:paraId="1EF1A65F">
            <w:pPr>
              <w:pStyle w:val="50"/>
              <w:bidi w:val="0"/>
            </w:pPr>
            <w:r>
              <w:t>胶带输送机系统的电气保护装置</w:t>
            </w:r>
          </w:p>
        </w:tc>
        <w:tc>
          <w:tcPr>
            <w:tcW w:w="358" w:type="pct"/>
            <w:noWrap w:val="0"/>
            <w:vAlign w:val="center"/>
          </w:tcPr>
          <w:p w14:paraId="262D6292">
            <w:pPr>
              <w:pStyle w:val="50"/>
              <w:bidi w:val="0"/>
            </w:pPr>
            <w:r>
              <w:t>基本</w:t>
            </w:r>
          </w:p>
        </w:tc>
        <w:tc>
          <w:tcPr>
            <w:tcW w:w="366" w:type="pct"/>
            <w:noWrap w:val="0"/>
            <w:vAlign w:val="center"/>
          </w:tcPr>
          <w:p w14:paraId="35119219">
            <w:pPr>
              <w:pStyle w:val="50"/>
              <w:bidi w:val="0"/>
            </w:pPr>
            <w:r>
              <w:t>△</w:t>
            </w:r>
          </w:p>
        </w:tc>
        <w:tc>
          <w:tcPr>
            <w:tcW w:w="2361" w:type="pct"/>
            <w:noWrap w:val="0"/>
            <w:vAlign w:val="center"/>
          </w:tcPr>
          <w:p w14:paraId="52DDDEE5">
            <w:pPr>
              <w:pStyle w:val="50"/>
              <w:bidi w:val="0"/>
            </w:pPr>
            <w:r>
              <w:t>检查内容：带式输送机驱动系统供配电主回路的断路、短路、漏电、欠压、过流、缺相、接地等保护装置是否与批复的安全设施设计一致。</w:t>
            </w:r>
          </w:p>
          <w:p w14:paraId="0E2F8A80">
            <w:pPr>
              <w:pStyle w:val="50"/>
              <w:bidi w:val="0"/>
            </w:pPr>
            <w:r>
              <w:t>检查方法：查阅安全验收评价报告、电气保护装置的安全检测检验报告、现场抽查。</w:t>
            </w:r>
          </w:p>
        </w:tc>
        <w:tc>
          <w:tcPr>
            <w:tcW w:w="696" w:type="pct"/>
            <w:noWrap w:val="0"/>
            <w:vAlign w:val="top"/>
          </w:tcPr>
          <w:p w14:paraId="46FACE12">
            <w:pPr>
              <w:pStyle w:val="50"/>
              <w:bidi w:val="0"/>
              <w:ind w:firstLine="0" w:firstLineChars="0"/>
            </w:pPr>
          </w:p>
        </w:tc>
        <w:tc>
          <w:tcPr>
            <w:tcW w:w="323" w:type="pct"/>
            <w:noWrap w:val="0"/>
            <w:vAlign w:val="center"/>
          </w:tcPr>
          <w:p w14:paraId="1F35B6AF">
            <w:pPr>
              <w:pStyle w:val="50"/>
              <w:bidi w:val="0"/>
              <w:ind w:firstLine="0" w:firstLineChars="0"/>
            </w:pPr>
            <w:r>
              <w:rPr>
                <w:rFonts w:hint="eastAsia"/>
                <w:lang w:val="en-US" w:eastAsia="zh-CN"/>
              </w:rPr>
              <w:t>不涉及</w:t>
            </w:r>
          </w:p>
        </w:tc>
      </w:tr>
      <w:tr w14:paraId="11D0C1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29" w:hRule="atLeast"/>
          <w:jc w:val="center"/>
        </w:trPr>
        <w:tc>
          <w:tcPr>
            <w:tcW w:w="304" w:type="pct"/>
            <w:noWrap w:val="0"/>
            <w:vAlign w:val="center"/>
          </w:tcPr>
          <w:p w14:paraId="793F650B">
            <w:pPr>
              <w:pStyle w:val="50"/>
              <w:bidi w:val="0"/>
            </w:pPr>
            <w:r>
              <w:t>4.3</w:t>
            </w:r>
          </w:p>
        </w:tc>
        <w:tc>
          <w:tcPr>
            <w:tcW w:w="588" w:type="pct"/>
            <w:noWrap/>
            <w:vAlign w:val="center"/>
          </w:tcPr>
          <w:p w14:paraId="7D57BBA9">
            <w:pPr>
              <w:pStyle w:val="50"/>
              <w:bidi w:val="0"/>
            </w:pPr>
            <w:r>
              <w:t>设备的安全护罩</w:t>
            </w:r>
          </w:p>
        </w:tc>
        <w:tc>
          <w:tcPr>
            <w:tcW w:w="358" w:type="pct"/>
            <w:noWrap w:val="0"/>
            <w:vAlign w:val="center"/>
          </w:tcPr>
          <w:p w14:paraId="4E0AEDBF">
            <w:pPr>
              <w:pStyle w:val="50"/>
              <w:bidi w:val="0"/>
            </w:pPr>
            <w:r>
              <w:t>专用</w:t>
            </w:r>
          </w:p>
        </w:tc>
        <w:tc>
          <w:tcPr>
            <w:tcW w:w="366" w:type="pct"/>
            <w:noWrap w:val="0"/>
            <w:vAlign w:val="center"/>
          </w:tcPr>
          <w:p w14:paraId="39034C95">
            <w:pPr>
              <w:pStyle w:val="50"/>
              <w:bidi w:val="0"/>
            </w:pPr>
            <w:r>
              <w:t>△</w:t>
            </w:r>
          </w:p>
        </w:tc>
        <w:tc>
          <w:tcPr>
            <w:tcW w:w="2361" w:type="pct"/>
            <w:noWrap w:val="0"/>
            <w:vAlign w:val="center"/>
          </w:tcPr>
          <w:p w14:paraId="72E75CFB">
            <w:pPr>
              <w:pStyle w:val="50"/>
              <w:bidi w:val="0"/>
            </w:pPr>
            <w:r>
              <w:t>检查内容：设备的安全护罩的设置是否与批复的安全设施设计一致。</w:t>
            </w:r>
          </w:p>
          <w:p w14:paraId="3DFFDBE4">
            <w:pPr>
              <w:pStyle w:val="50"/>
              <w:bidi w:val="0"/>
            </w:pPr>
            <w:r>
              <w:t>检查方法：查阅安全设施验收评价报告、现场抽查。</w:t>
            </w:r>
          </w:p>
        </w:tc>
        <w:tc>
          <w:tcPr>
            <w:tcW w:w="696" w:type="pct"/>
            <w:noWrap w:val="0"/>
            <w:vAlign w:val="top"/>
          </w:tcPr>
          <w:p w14:paraId="35DA2346">
            <w:pPr>
              <w:pStyle w:val="50"/>
              <w:bidi w:val="0"/>
              <w:ind w:firstLine="0" w:firstLineChars="0"/>
            </w:pPr>
          </w:p>
        </w:tc>
        <w:tc>
          <w:tcPr>
            <w:tcW w:w="323" w:type="pct"/>
            <w:noWrap w:val="0"/>
            <w:vAlign w:val="center"/>
          </w:tcPr>
          <w:p w14:paraId="5BC3EE4E">
            <w:pPr>
              <w:pStyle w:val="50"/>
              <w:bidi w:val="0"/>
              <w:ind w:firstLine="0" w:firstLineChars="0"/>
            </w:pPr>
            <w:r>
              <w:rPr>
                <w:rFonts w:hint="eastAsia"/>
                <w:lang w:val="en-US" w:eastAsia="zh-CN"/>
              </w:rPr>
              <w:t>不涉及</w:t>
            </w:r>
          </w:p>
        </w:tc>
      </w:tr>
      <w:tr w14:paraId="44AB4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8" w:hRule="atLeast"/>
          <w:jc w:val="center"/>
        </w:trPr>
        <w:tc>
          <w:tcPr>
            <w:tcW w:w="304" w:type="pct"/>
            <w:noWrap w:val="0"/>
            <w:vAlign w:val="center"/>
          </w:tcPr>
          <w:p w14:paraId="117F203A">
            <w:pPr>
              <w:pStyle w:val="50"/>
              <w:bidi w:val="0"/>
            </w:pPr>
            <w:r>
              <w:t>4.4</w:t>
            </w:r>
          </w:p>
        </w:tc>
        <w:tc>
          <w:tcPr>
            <w:tcW w:w="588" w:type="pct"/>
            <w:noWrap/>
            <w:vAlign w:val="center"/>
          </w:tcPr>
          <w:p w14:paraId="1EA9FA97">
            <w:pPr>
              <w:pStyle w:val="50"/>
              <w:bidi w:val="0"/>
            </w:pPr>
            <w:r>
              <w:t>安全护栏</w:t>
            </w:r>
          </w:p>
        </w:tc>
        <w:tc>
          <w:tcPr>
            <w:tcW w:w="358" w:type="pct"/>
            <w:noWrap w:val="0"/>
            <w:vAlign w:val="center"/>
          </w:tcPr>
          <w:p w14:paraId="4FC1C9D2">
            <w:pPr>
              <w:pStyle w:val="50"/>
              <w:bidi w:val="0"/>
            </w:pPr>
            <w:r>
              <w:t>专用</w:t>
            </w:r>
          </w:p>
        </w:tc>
        <w:tc>
          <w:tcPr>
            <w:tcW w:w="366" w:type="pct"/>
            <w:noWrap w:val="0"/>
            <w:vAlign w:val="center"/>
          </w:tcPr>
          <w:p w14:paraId="5326FD08">
            <w:pPr>
              <w:pStyle w:val="50"/>
              <w:bidi w:val="0"/>
            </w:pPr>
            <w:r>
              <w:t>△</w:t>
            </w:r>
          </w:p>
        </w:tc>
        <w:tc>
          <w:tcPr>
            <w:tcW w:w="2361" w:type="pct"/>
            <w:noWrap w:val="0"/>
            <w:vAlign w:val="center"/>
          </w:tcPr>
          <w:p w14:paraId="4C3B03B8">
            <w:pPr>
              <w:pStyle w:val="50"/>
              <w:bidi w:val="0"/>
            </w:pPr>
            <w:r>
              <w:t>检查内容：平台、检修吊装孔等的安全护栏的设置是否与批复的安全设施设计一致。</w:t>
            </w:r>
          </w:p>
          <w:p w14:paraId="4C183A41">
            <w:pPr>
              <w:pStyle w:val="50"/>
              <w:bidi w:val="0"/>
            </w:pPr>
            <w:r>
              <w:t>检查方法：查阅安全设施验收评价报告、现场抽查。</w:t>
            </w:r>
          </w:p>
        </w:tc>
        <w:tc>
          <w:tcPr>
            <w:tcW w:w="696" w:type="pct"/>
            <w:noWrap w:val="0"/>
            <w:vAlign w:val="top"/>
          </w:tcPr>
          <w:p w14:paraId="59E17B2F">
            <w:pPr>
              <w:pStyle w:val="50"/>
              <w:bidi w:val="0"/>
              <w:ind w:firstLine="0" w:firstLineChars="0"/>
            </w:pPr>
          </w:p>
        </w:tc>
        <w:tc>
          <w:tcPr>
            <w:tcW w:w="323" w:type="pct"/>
            <w:noWrap w:val="0"/>
            <w:vAlign w:val="center"/>
          </w:tcPr>
          <w:p w14:paraId="6BB2AB5A">
            <w:pPr>
              <w:pStyle w:val="50"/>
              <w:bidi w:val="0"/>
              <w:ind w:firstLine="0" w:firstLineChars="0"/>
            </w:pPr>
            <w:r>
              <w:rPr>
                <w:rFonts w:hint="eastAsia"/>
                <w:lang w:val="en-US" w:eastAsia="zh-CN"/>
              </w:rPr>
              <w:t>不涉及</w:t>
            </w:r>
          </w:p>
        </w:tc>
      </w:tr>
      <w:tr w14:paraId="722A2A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1" w:hRule="atLeast"/>
          <w:jc w:val="center"/>
        </w:trPr>
        <w:tc>
          <w:tcPr>
            <w:tcW w:w="304" w:type="pct"/>
            <w:noWrap w:val="0"/>
            <w:vAlign w:val="center"/>
          </w:tcPr>
          <w:p w14:paraId="145D3D13">
            <w:pPr>
              <w:pStyle w:val="50"/>
              <w:bidi w:val="0"/>
            </w:pPr>
            <w:r>
              <w:t>4.5</w:t>
            </w:r>
          </w:p>
        </w:tc>
        <w:tc>
          <w:tcPr>
            <w:tcW w:w="588" w:type="pct"/>
            <w:noWrap/>
            <w:vAlign w:val="center"/>
          </w:tcPr>
          <w:p w14:paraId="13E04606">
            <w:pPr>
              <w:pStyle w:val="50"/>
              <w:bidi w:val="0"/>
            </w:pPr>
            <w:r>
              <w:t>梯子、扶手</w:t>
            </w:r>
          </w:p>
        </w:tc>
        <w:tc>
          <w:tcPr>
            <w:tcW w:w="358" w:type="pct"/>
            <w:noWrap w:val="0"/>
            <w:vAlign w:val="center"/>
          </w:tcPr>
          <w:p w14:paraId="339B8935">
            <w:pPr>
              <w:pStyle w:val="50"/>
              <w:bidi w:val="0"/>
            </w:pPr>
            <w:r>
              <w:t>专用</w:t>
            </w:r>
          </w:p>
        </w:tc>
        <w:tc>
          <w:tcPr>
            <w:tcW w:w="366" w:type="pct"/>
            <w:noWrap w:val="0"/>
            <w:vAlign w:val="center"/>
          </w:tcPr>
          <w:p w14:paraId="4E01D096">
            <w:pPr>
              <w:pStyle w:val="50"/>
              <w:bidi w:val="0"/>
            </w:pPr>
            <w:r>
              <w:t>△</w:t>
            </w:r>
          </w:p>
        </w:tc>
        <w:tc>
          <w:tcPr>
            <w:tcW w:w="2361" w:type="pct"/>
            <w:noWrap w:val="0"/>
            <w:vAlign w:val="center"/>
          </w:tcPr>
          <w:p w14:paraId="46729717">
            <w:pPr>
              <w:pStyle w:val="50"/>
              <w:bidi w:val="0"/>
            </w:pPr>
            <w:r>
              <w:t>检查内容：梯子、扶手的设置是否与批复的安全设施设计一致。</w:t>
            </w:r>
          </w:p>
          <w:p w14:paraId="7273B9F8">
            <w:pPr>
              <w:pStyle w:val="50"/>
              <w:bidi w:val="0"/>
            </w:pPr>
            <w:r>
              <w:t>检查方法：查阅安全设施验收评价报告、现场抽查。</w:t>
            </w:r>
          </w:p>
        </w:tc>
        <w:tc>
          <w:tcPr>
            <w:tcW w:w="696" w:type="pct"/>
            <w:noWrap w:val="0"/>
            <w:vAlign w:val="top"/>
          </w:tcPr>
          <w:p w14:paraId="6A34C349">
            <w:pPr>
              <w:pStyle w:val="50"/>
              <w:bidi w:val="0"/>
              <w:ind w:firstLine="0" w:firstLineChars="0"/>
            </w:pPr>
          </w:p>
        </w:tc>
        <w:tc>
          <w:tcPr>
            <w:tcW w:w="323" w:type="pct"/>
            <w:noWrap w:val="0"/>
            <w:vAlign w:val="center"/>
          </w:tcPr>
          <w:p w14:paraId="2769E54F">
            <w:pPr>
              <w:pStyle w:val="50"/>
              <w:bidi w:val="0"/>
              <w:ind w:firstLine="0" w:firstLineChars="0"/>
            </w:pPr>
            <w:r>
              <w:rPr>
                <w:rFonts w:hint="eastAsia"/>
                <w:lang w:val="en-US" w:eastAsia="zh-CN"/>
              </w:rPr>
              <w:t>不涉及</w:t>
            </w:r>
          </w:p>
        </w:tc>
      </w:tr>
      <w:tr w14:paraId="18B877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304" w:type="pct"/>
            <w:noWrap w:val="0"/>
            <w:vAlign w:val="center"/>
          </w:tcPr>
          <w:p w14:paraId="11E2A752">
            <w:pPr>
              <w:pStyle w:val="50"/>
              <w:bidi w:val="0"/>
            </w:pPr>
            <w:r>
              <w:t>5</w:t>
            </w:r>
          </w:p>
        </w:tc>
        <w:tc>
          <w:tcPr>
            <w:tcW w:w="588" w:type="pct"/>
            <w:noWrap/>
            <w:vAlign w:val="center"/>
          </w:tcPr>
          <w:p w14:paraId="5D278511">
            <w:pPr>
              <w:pStyle w:val="50"/>
              <w:bidi w:val="0"/>
            </w:pPr>
            <w:r>
              <w:t>架空索道运输</w:t>
            </w:r>
          </w:p>
        </w:tc>
        <w:tc>
          <w:tcPr>
            <w:tcW w:w="358" w:type="pct"/>
            <w:noWrap w:val="0"/>
            <w:vAlign w:val="center"/>
          </w:tcPr>
          <w:p w14:paraId="34B0020C">
            <w:pPr>
              <w:pStyle w:val="50"/>
              <w:bidi w:val="0"/>
            </w:pPr>
          </w:p>
        </w:tc>
        <w:tc>
          <w:tcPr>
            <w:tcW w:w="366" w:type="pct"/>
            <w:noWrap w:val="0"/>
            <w:vAlign w:val="center"/>
          </w:tcPr>
          <w:p w14:paraId="60EDDD27">
            <w:pPr>
              <w:pStyle w:val="50"/>
              <w:bidi w:val="0"/>
            </w:pPr>
          </w:p>
        </w:tc>
        <w:tc>
          <w:tcPr>
            <w:tcW w:w="2361" w:type="pct"/>
            <w:noWrap w:val="0"/>
            <w:vAlign w:val="center"/>
          </w:tcPr>
          <w:p w14:paraId="1EEDB5D3">
            <w:pPr>
              <w:pStyle w:val="50"/>
              <w:bidi w:val="0"/>
            </w:pPr>
          </w:p>
        </w:tc>
        <w:tc>
          <w:tcPr>
            <w:tcW w:w="696" w:type="pct"/>
            <w:noWrap w:val="0"/>
            <w:vAlign w:val="top"/>
          </w:tcPr>
          <w:p w14:paraId="490C5705">
            <w:pPr>
              <w:pStyle w:val="50"/>
              <w:bidi w:val="0"/>
            </w:pPr>
          </w:p>
        </w:tc>
        <w:tc>
          <w:tcPr>
            <w:tcW w:w="323" w:type="pct"/>
            <w:noWrap w:val="0"/>
            <w:vAlign w:val="center"/>
          </w:tcPr>
          <w:p w14:paraId="66650D80">
            <w:pPr>
              <w:pStyle w:val="50"/>
              <w:bidi w:val="0"/>
              <w:rPr>
                <w:rFonts w:hint="default" w:eastAsia="宋体"/>
                <w:lang w:val="en-US" w:eastAsia="zh-CN"/>
              </w:rPr>
            </w:pPr>
            <w:r>
              <w:rPr>
                <w:rFonts w:hint="eastAsia"/>
                <w:lang w:val="en-US" w:eastAsia="zh-CN"/>
              </w:rPr>
              <w:t>不涉及</w:t>
            </w:r>
          </w:p>
        </w:tc>
      </w:tr>
      <w:tr w14:paraId="4DF692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7" w:hRule="atLeast"/>
          <w:jc w:val="center"/>
        </w:trPr>
        <w:tc>
          <w:tcPr>
            <w:tcW w:w="304" w:type="pct"/>
            <w:noWrap w:val="0"/>
            <w:vAlign w:val="center"/>
          </w:tcPr>
          <w:p w14:paraId="75269938">
            <w:pPr>
              <w:pStyle w:val="50"/>
              <w:bidi w:val="0"/>
            </w:pPr>
            <w:r>
              <w:t>5.1</w:t>
            </w:r>
          </w:p>
        </w:tc>
        <w:tc>
          <w:tcPr>
            <w:tcW w:w="588" w:type="pct"/>
            <w:noWrap/>
            <w:vAlign w:val="center"/>
          </w:tcPr>
          <w:p w14:paraId="0E1F71DC">
            <w:pPr>
              <w:pStyle w:val="50"/>
              <w:bidi w:val="0"/>
            </w:pPr>
            <w:r>
              <w:t>架空索道的承载钢丝绳和</w:t>
            </w:r>
          </w:p>
          <w:p w14:paraId="0410C605">
            <w:pPr>
              <w:pStyle w:val="50"/>
              <w:bidi w:val="0"/>
            </w:pPr>
            <w:r>
              <w:t>牵引钢丝绳</w:t>
            </w:r>
          </w:p>
        </w:tc>
        <w:tc>
          <w:tcPr>
            <w:tcW w:w="358" w:type="pct"/>
            <w:noWrap w:val="0"/>
            <w:vAlign w:val="center"/>
          </w:tcPr>
          <w:p w14:paraId="7801B7F7">
            <w:pPr>
              <w:pStyle w:val="50"/>
              <w:bidi w:val="0"/>
            </w:pPr>
            <w:r>
              <w:t>基本</w:t>
            </w:r>
          </w:p>
        </w:tc>
        <w:tc>
          <w:tcPr>
            <w:tcW w:w="366" w:type="pct"/>
            <w:noWrap w:val="0"/>
            <w:vAlign w:val="center"/>
          </w:tcPr>
          <w:p w14:paraId="2C0E15B9">
            <w:pPr>
              <w:pStyle w:val="50"/>
              <w:bidi w:val="0"/>
            </w:pPr>
            <w:r>
              <w:t>△</w:t>
            </w:r>
          </w:p>
        </w:tc>
        <w:tc>
          <w:tcPr>
            <w:tcW w:w="2361" w:type="pct"/>
            <w:noWrap w:val="0"/>
            <w:vAlign w:val="center"/>
          </w:tcPr>
          <w:p w14:paraId="4AF7C7A7">
            <w:pPr>
              <w:pStyle w:val="50"/>
              <w:bidi w:val="0"/>
            </w:pPr>
            <w:r>
              <w:t>检查内容：承载钢丝绳和牵引钢丝绳的型号、规格、数量及连接装置是否与批复的安全设施设计一致</w:t>
            </w:r>
            <w:r>
              <w:rPr>
                <w:rFonts w:hint="eastAsia"/>
              </w:rPr>
              <w:t>；</w:t>
            </w:r>
            <w:r>
              <w:t>钢丝绳的拉断、弯曲和扭转试验，钢丝绳定期检查、更换是否符合国家有关规定。</w:t>
            </w:r>
          </w:p>
          <w:p w14:paraId="3CAD8AB1">
            <w:pPr>
              <w:pStyle w:val="50"/>
              <w:bidi w:val="0"/>
            </w:pPr>
            <w:r>
              <w:t>检查方法：查阅安全设施验收评价报告、现场抽查。</w:t>
            </w:r>
          </w:p>
        </w:tc>
        <w:tc>
          <w:tcPr>
            <w:tcW w:w="696" w:type="pct"/>
            <w:noWrap w:val="0"/>
            <w:vAlign w:val="top"/>
          </w:tcPr>
          <w:p w14:paraId="1FB6E203">
            <w:pPr>
              <w:pStyle w:val="50"/>
              <w:bidi w:val="0"/>
            </w:pPr>
          </w:p>
        </w:tc>
        <w:tc>
          <w:tcPr>
            <w:tcW w:w="323" w:type="pct"/>
            <w:noWrap w:val="0"/>
            <w:vAlign w:val="center"/>
          </w:tcPr>
          <w:p w14:paraId="333E3B16">
            <w:pPr>
              <w:pStyle w:val="50"/>
              <w:bidi w:val="0"/>
              <w:rPr>
                <w:rFonts w:hint="default" w:eastAsia="宋体"/>
                <w:lang w:val="en-US" w:eastAsia="zh-CN"/>
              </w:rPr>
            </w:pPr>
            <w:r>
              <w:rPr>
                <w:rFonts w:hint="eastAsia"/>
                <w:lang w:val="en-US" w:eastAsia="zh-CN"/>
              </w:rPr>
              <w:t>不涉及</w:t>
            </w:r>
          </w:p>
        </w:tc>
      </w:tr>
      <w:tr w14:paraId="50D8BE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58" w:hRule="atLeast"/>
          <w:jc w:val="center"/>
        </w:trPr>
        <w:tc>
          <w:tcPr>
            <w:tcW w:w="304" w:type="pct"/>
            <w:noWrap w:val="0"/>
            <w:vAlign w:val="center"/>
          </w:tcPr>
          <w:p w14:paraId="58B9E46E">
            <w:pPr>
              <w:pStyle w:val="50"/>
              <w:bidi w:val="0"/>
            </w:pPr>
            <w:r>
              <w:t>5.2</w:t>
            </w:r>
          </w:p>
        </w:tc>
        <w:tc>
          <w:tcPr>
            <w:tcW w:w="588" w:type="pct"/>
            <w:noWrap/>
            <w:vAlign w:val="center"/>
          </w:tcPr>
          <w:p w14:paraId="3D3AF38E">
            <w:pPr>
              <w:pStyle w:val="50"/>
              <w:bidi w:val="0"/>
            </w:pPr>
            <w:r>
              <w:t>架空索道的制动系统</w:t>
            </w:r>
          </w:p>
        </w:tc>
        <w:tc>
          <w:tcPr>
            <w:tcW w:w="358" w:type="pct"/>
            <w:noWrap w:val="0"/>
            <w:vAlign w:val="center"/>
          </w:tcPr>
          <w:p w14:paraId="7B2656FE">
            <w:pPr>
              <w:pStyle w:val="50"/>
              <w:bidi w:val="0"/>
            </w:pPr>
            <w:r>
              <w:t>基本</w:t>
            </w:r>
          </w:p>
        </w:tc>
        <w:tc>
          <w:tcPr>
            <w:tcW w:w="366" w:type="pct"/>
            <w:noWrap w:val="0"/>
            <w:vAlign w:val="center"/>
          </w:tcPr>
          <w:p w14:paraId="5B587C14">
            <w:pPr>
              <w:pStyle w:val="50"/>
              <w:bidi w:val="0"/>
            </w:pPr>
            <w:r>
              <w:t>■</w:t>
            </w:r>
          </w:p>
        </w:tc>
        <w:tc>
          <w:tcPr>
            <w:tcW w:w="2361" w:type="pct"/>
            <w:noWrap w:val="0"/>
            <w:vAlign w:val="center"/>
          </w:tcPr>
          <w:p w14:paraId="55011BB4">
            <w:pPr>
              <w:pStyle w:val="50"/>
              <w:bidi w:val="0"/>
            </w:pPr>
            <w:r>
              <w:t>检查内容：架空索道的工作制动、安全制动系统的安全检测检验是否符合国家有关规定。</w:t>
            </w:r>
          </w:p>
          <w:p w14:paraId="1C2B83EE">
            <w:pPr>
              <w:pStyle w:val="50"/>
              <w:bidi w:val="0"/>
            </w:pPr>
            <w:r>
              <w:t>检查方法：查阅安全设施验收评价报告、架空索道的工作制动、安全制动系统的安全检测检验报告。</w:t>
            </w:r>
          </w:p>
        </w:tc>
        <w:tc>
          <w:tcPr>
            <w:tcW w:w="696" w:type="pct"/>
            <w:noWrap w:val="0"/>
            <w:vAlign w:val="top"/>
          </w:tcPr>
          <w:p w14:paraId="6A0A3787">
            <w:pPr>
              <w:pStyle w:val="50"/>
              <w:bidi w:val="0"/>
            </w:pPr>
          </w:p>
        </w:tc>
        <w:tc>
          <w:tcPr>
            <w:tcW w:w="323" w:type="pct"/>
            <w:noWrap w:val="0"/>
            <w:vAlign w:val="center"/>
          </w:tcPr>
          <w:p w14:paraId="15B53578">
            <w:pPr>
              <w:pStyle w:val="50"/>
              <w:bidi w:val="0"/>
            </w:pPr>
            <w:r>
              <w:rPr>
                <w:rFonts w:hint="eastAsia"/>
                <w:lang w:val="en-US" w:eastAsia="zh-CN"/>
              </w:rPr>
              <w:t>不涉及</w:t>
            </w:r>
          </w:p>
        </w:tc>
      </w:tr>
      <w:tr w14:paraId="6393C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88" w:hRule="atLeast"/>
          <w:jc w:val="center"/>
        </w:trPr>
        <w:tc>
          <w:tcPr>
            <w:tcW w:w="304" w:type="pct"/>
            <w:noWrap w:val="0"/>
            <w:vAlign w:val="center"/>
          </w:tcPr>
          <w:p w14:paraId="0129A6A8">
            <w:pPr>
              <w:pStyle w:val="50"/>
              <w:bidi w:val="0"/>
            </w:pPr>
            <w:r>
              <w:t>5.3</w:t>
            </w:r>
          </w:p>
        </w:tc>
        <w:tc>
          <w:tcPr>
            <w:tcW w:w="588" w:type="pct"/>
            <w:noWrap/>
            <w:vAlign w:val="center"/>
          </w:tcPr>
          <w:p w14:paraId="2DE6AB40">
            <w:pPr>
              <w:pStyle w:val="50"/>
              <w:bidi w:val="0"/>
            </w:pPr>
            <w:r>
              <w:t>架空索道的控制系统</w:t>
            </w:r>
          </w:p>
        </w:tc>
        <w:tc>
          <w:tcPr>
            <w:tcW w:w="358" w:type="pct"/>
            <w:noWrap w:val="0"/>
            <w:vAlign w:val="center"/>
          </w:tcPr>
          <w:p w14:paraId="7519A511">
            <w:pPr>
              <w:pStyle w:val="50"/>
              <w:bidi w:val="0"/>
            </w:pPr>
            <w:r>
              <w:t>基本</w:t>
            </w:r>
          </w:p>
        </w:tc>
        <w:tc>
          <w:tcPr>
            <w:tcW w:w="366" w:type="pct"/>
            <w:noWrap w:val="0"/>
            <w:vAlign w:val="center"/>
          </w:tcPr>
          <w:p w14:paraId="396FDB3A">
            <w:pPr>
              <w:pStyle w:val="50"/>
              <w:bidi w:val="0"/>
            </w:pPr>
            <w:r>
              <w:t>△</w:t>
            </w:r>
          </w:p>
        </w:tc>
        <w:tc>
          <w:tcPr>
            <w:tcW w:w="2361" w:type="pct"/>
            <w:noWrap w:val="0"/>
            <w:vAlign w:val="center"/>
          </w:tcPr>
          <w:p w14:paraId="2C44A2C6">
            <w:pPr>
              <w:pStyle w:val="50"/>
              <w:bidi w:val="0"/>
            </w:pPr>
            <w:r>
              <w:t>检查内容：架空索道的主驱动系统、紧急驱动系统、速度显示装置、客（货）车减速装置、断绳监控装置、双牵引索道的差速和差长监控装置、牵引索鞭打或缠绕承载索的监控装置、单线索道的抱索状态监控装置是否与批复的安全设施设计一致；架空索道的控制系统安全检测检验是否符合国家有关规定。</w:t>
            </w:r>
          </w:p>
          <w:p w14:paraId="4388C26C">
            <w:pPr>
              <w:pStyle w:val="50"/>
              <w:bidi w:val="0"/>
            </w:pPr>
            <w:r>
              <w:t>检查方法：查阅安全验收评价报告、架空索道的控制系统安全检测检验报告、现场抽查。</w:t>
            </w:r>
          </w:p>
        </w:tc>
        <w:tc>
          <w:tcPr>
            <w:tcW w:w="696" w:type="pct"/>
            <w:noWrap w:val="0"/>
            <w:vAlign w:val="top"/>
          </w:tcPr>
          <w:p w14:paraId="2011EA0F">
            <w:pPr>
              <w:pStyle w:val="50"/>
              <w:bidi w:val="0"/>
            </w:pPr>
          </w:p>
        </w:tc>
        <w:tc>
          <w:tcPr>
            <w:tcW w:w="323" w:type="pct"/>
            <w:noWrap w:val="0"/>
            <w:vAlign w:val="center"/>
          </w:tcPr>
          <w:p w14:paraId="7F11B575">
            <w:pPr>
              <w:pStyle w:val="50"/>
              <w:bidi w:val="0"/>
            </w:pPr>
            <w:r>
              <w:rPr>
                <w:rFonts w:hint="eastAsia"/>
                <w:lang w:val="en-US" w:eastAsia="zh-CN"/>
              </w:rPr>
              <w:t>不涉及</w:t>
            </w:r>
          </w:p>
        </w:tc>
      </w:tr>
      <w:tr w14:paraId="653AB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94" w:hRule="atLeast"/>
          <w:jc w:val="center"/>
        </w:trPr>
        <w:tc>
          <w:tcPr>
            <w:tcW w:w="304" w:type="pct"/>
            <w:noWrap w:val="0"/>
            <w:vAlign w:val="center"/>
          </w:tcPr>
          <w:p w14:paraId="72E08F44">
            <w:pPr>
              <w:pStyle w:val="50"/>
              <w:bidi w:val="0"/>
            </w:pPr>
            <w:r>
              <w:t>5.4</w:t>
            </w:r>
          </w:p>
        </w:tc>
        <w:tc>
          <w:tcPr>
            <w:tcW w:w="588" w:type="pct"/>
            <w:noWrap/>
            <w:vAlign w:val="center"/>
          </w:tcPr>
          <w:p w14:paraId="7F46CED1">
            <w:pPr>
              <w:pStyle w:val="50"/>
              <w:bidi w:val="0"/>
            </w:pPr>
            <w:r>
              <w:t>线路经过厂区、居民区、铁路、道路时的安全防护措施</w:t>
            </w:r>
          </w:p>
        </w:tc>
        <w:tc>
          <w:tcPr>
            <w:tcW w:w="358" w:type="pct"/>
            <w:noWrap w:val="0"/>
            <w:vAlign w:val="center"/>
          </w:tcPr>
          <w:p w14:paraId="344B48B5">
            <w:pPr>
              <w:pStyle w:val="50"/>
              <w:bidi w:val="0"/>
            </w:pPr>
            <w:r>
              <w:t>专用</w:t>
            </w:r>
          </w:p>
        </w:tc>
        <w:tc>
          <w:tcPr>
            <w:tcW w:w="366" w:type="pct"/>
            <w:noWrap w:val="0"/>
            <w:vAlign w:val="center"/>
          </w:tcPr>
          <w:p w14:paraId="63ACF835">
            <w:pPr>
              <w:pStyle w:val="50"/>
              <w:bidi w:val="0"/>
            </w:pPr>
            <w:r>
              <w:t>△</w:t>
            </w:r>
          </w:p>
        </w:tc>
        <w:tc>
          <w:tcPr>
            <w:tcW w:w="2361" w:type="pct"/>
            <w:noWrap w:val="0"/>
            <w:vAlign w:val="center"/>
          </w:tcPr>
          <w:p w14:paraId="59EDB688">
            <w:pPr>
              <w:pStyle w:val="50"/>
              <w:bidi w:val="0"/>
            </w:pPr>
            <w:r>
              <w:t>检查内容：索道线路经过厂区、居民区、铁路、道路时的安全防护装置是否与批复的安全设施设计一致。</w:t>
            </w:r>
          </w:p>
          <w:p w14:paraId="587E6217">
            <w:pPr>
              <w:pStyle w:val="50"/>
              <w:bidi w:val="0"/>
            </w:pPr>
            <w:r>
              <w:t>检查方法：查阅安全设施验收评价报告、现场抽查。</w:t>
            </w:r>
          </w:p>
        </w:tc>
        <w:tc>
          <w:tcPr>
            <w:tcW w:w="696" w:type="pct"/>
            <w:noWrap w:val="0"/>
            <w:vAlign w:val="top"/>
          </w:tcPr>
          <w:p w14:paraId="27DD2C7D">
            <w:pPr>
              <w:pStyle w:val="50"/>
              <w:bidi w:val="0"/>
            </w:pPr>
          </w:p>
        </w:tc>
        <w:tc>
          <w:tcPr>
            <w:tcW w:w="323" w:type="pct"/>
            <w:noWrap w:val="0"/>
            <w:vAlign w:val="center"/>
          </w:tcPr>
          <w:p w14:paraId="5124661E">
            <w:pPr>
              <w:pStyle w:val="50"/>
              <w:bidi w:val="0"/>
            </w:pPr>
            <w:r>
              <w:rPr>
                <w:rFonts w:hint="eastAsia"/>
                <w:lang w:val="en-US" w:eastAsia="zh-CN"/>
              </w:rPr>
              <w:t>不涉及</w:t>
            </w:r>
          </w:p>
        </w:tc>
      </w:tr>
      <w:tr w14:paraId="13C3AE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04" w:type="pct"/>
            <w:noWrap w:val="0"/>
            <w:vAlign w:val="center"/>
          </w:tcPr>
          <w:p w14:paraId="0B58C132">
            <w:pPr>
              <w:pStyle w:val="50"/>
              <w:bidi w:val="0"/>
            </w:pPr>
            <w:r>
              <w:t>5.5</w:t>
            </w:r>
          </w:p>
        </w:tc>
        <w:tc>
          <w:tcPr>
            <w:tcW w:w="588" w:type="pct"/>
            <w:noWrap/>
            <w:vAlign w:val="center"/>
          </w:tcPr>
          <w:p w14:paraId="13D510E5">
            <w:pPr>
              <w:pStyle w:val="50"/>
              <w:bidi w:val="0"/>
            </w:pPr>
            <w:r>
              <w:t>线路与电力、通讯架空线交叉时的安全防护措施</w:t>
            </w:r>
          </w:p>
        </w:tc>
        <w:tc>
          <w:tcPr>
            <w:tcW w:w="358" w:type="pct"/>
            <w:noWrap w:val="0"/>
            <w:vAlign w:val="center"/>
          </w:tcPr>
          <w:p w14:paraId="4FA9486A">
            <w:pPr>
              <w:pStyle w:val="50"/>
              <w:bidi w:val="0"/>
            </w:pPr>
            <w:r>
              <w:t>专用</w:t>
            </w:r>
          </w:p>
        </w:tc>
        <w:tc>
          <w:tcPr>
            <w:tcW w:w="366" w:type="pct"/>
            <w:noWrap w:val="0"/>
            <w:vAlign w:val="center"/>
          </w:tcPr>
          <w:p w14:paraId="33D39477">
            <w:pPr>
              <w:pStyle w:val="50"/>
              <w:bidi w:val="0"/>
            </w:pPr>
            <w:r>
              <w:t>△</w:t>
            </w:r>
          </w:p>
        </w:tc>
        <w:tc>
          <w:tcPr>
            <w:tcW w:w="2361" w:type="pct"/>
            <w:noWrap w:val="0"/>
            <w:vAlign w:val="center"/>
          </w:tcPr>
          <w:p w14:paraId="6D8555D1">
            <w:pPr>
              <w:pStyle w:val="50"/>
              <w:bidi w:val="0"/>
              <w:rPr>
                <w:rFonts w:hint="eastAsia" w:eastAsia="宋体"/>
                <w:lang w:eastAsia="zh-CN"/>
              </w:rPr>
            </w:pPr>
            <w:r>
              <w:t>检查内容：索道线路与电力、通讯架空线路交叉时的安全防护措施是否与批复的安全设施设计一致。</w:t>
            </w:r>
          </w:p>
          <w:p w14:paraId="4676188B">
            <w:pPr>
              <w:pStyle w:val="50"/>
              <w:bidi w:val="0"/>
            </w:pPr>
            <w:r>
              <w:t>检查方法：查阅安全设施验收评价报告、现场抽查。</w:t>
            </w:r>
          </w:p>
        </w:tc>
        <w:tc>
          <w:tcPr>
            <w:tcW w:w="696" w:type="pct"/>
            <w:noWrap w:val="0"/>
            <w:vAlign w:val="top"/>
          </w:tcPr>
          <w:p w14:paraId="797E3065">
            <w:pPr>
              <w:pStyle w:val="50"/>
              <w:bidi w:val="0"/>
            </w:pPr>
          </w:p>
        </w:tc>
        <w:tc>
          <w:tcPr>
            <w:tcW w:w="323" w:type="pct"/>
            <w:noWrap w:val="0"/>
            <w:vAlign w:val="center"/>
          </w:tcPr>
          <w:p w14:paraId="5C95E59D">
            <w:pPr>
              <w:pStyle w:val="50"/>
              <w:bidi w:val="0"/>
            </w:pPr>
            <w:r>
              <w:rPr>
                <w:rFonts w:hint="eastAsia"/>
                <w:lang w:val="en-US" w:eastAsia="zh-CN"/>
              </w:rPr>
              <w:t>不涉及</w:t>
            </w:r>
          </w:p>
        </w:tc>
      </w:tr>
      <w:tr w14:paraId="63003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99" w:hRule="atLeast"/>
          <w:jc w:val="center"/>
        </w:trPr>
        <w:tc>
          <w:tcPr>
            <w:tcW w:w="304" w:type="pct"/>
            <w:noWrap w:val="0"/>
            <w:vAlign w:val="center"/>
          </w:tcPr>
          <w:p w14:paraId="0B059D7A">
            <w:pPr>
              <w:pStyle w:val="50"/>
              <w:bidi w:val="0"/>
            </w:pPr>
            <w:r>
              <w:t>5.6</w:t>
            </w:r>
          </w:p>
        </w:tc>
        <w:tc>
          <w:tcPr>
            <w:tcW w:w="588" w:type="pct"/>
            <w:noWrap/>
            <w:vAlign w:val="center"/>
          </w:tcPr>
          <w:p w14:paraId="593D83D2">
            <w:pPr>
              <w:pStyle w:val="50"/>
              <w:bidi w:val="0"/>
            </w:pPr>
            <w:r>
              <w:t>站房安全护栏</w:t>
            </w:r>
          </w:p>
        </w:tc>
        <w:tc>
          <w:tcPr>
            <w:tcW w:w="358" w:type="pct"/>
            <w:noWrap w:val="0"/>
            <w:vAlign w:val="center"/>
          </w:tcPr>
          <w:p w14:paraId="0C207EA0">
            <w:pPr>
              <w:pStyle w:val="50"/>
              <w:bidi w:val="0"/>
            </w:pPr>
            <w:r>
              <w:t>专用</w:t>
            </w:r>
          </w:p>
        </w:tc>
        <w:tc>
          <w:tcPr>
            <w:tcW w:w="366" w:type="pct"/>
            <w:noWrap w:val="0"/>
            <w:vAlign w:val="center"/>
          </w:tcPr>
          <w:p w14:paraId="1A393F14">
            <w:pPr>
              <w:pStyle w:val="50"/>
              <w:bidi w:val="0"/>
            </w:pPr>
            <w:r>
              <w:t>△</w:t>
            </w:r>
          </w:p>
        </w:tc>
        <w:tc>
          <w:tcPr>
            <w:tcW w:w="2361" w:type="pct"/>
            <w:noWrap w:val="0"/>
            <w:vAlign w:val="center"/>
          </w:tcPr>
          <w:p w14:paraId="6DBAA62F">
            <w:pPr>
              <w:pStyle w:val="50"/>
              <w:bidi w:val="0"/>
            </w:pPr>
            <w:r>
              <w:t>检查内容：站房内安全护栏的设置是否与批复的安全设施设计一致。</w:t>
            </w:r>
          </w:p>
          <w:p w14:paraId="14222E8D">
            <w:pPr>
              <w:pStyle w:val="50"/>
              <w:bidi w:val="0"/>
            </w:pPr>
            <w:r>
              <w:t>检查方法：查阅安全设施验收评价报告、现场抽查。</w:t>
            </w:r>
          </w:p>
        </w:tc>
        <w:tc>
          <w:tcPr>
            <w:tcW w:w="696" w:type="pct"/>
            <w:noWrap w:val="0"/>
            <w:vAlign w:val="top"/>
          </w:tcPr>
          <w:p w14:paraId="3D54D704">
            <w:pPr>
              <w:pStyle w:val="50"/>
              <w:bidi w:val="0"/>
            </w:pPr>
          </w:p>
        </w:tc>
        <w:tc>
          <w:tcPr>
            <w:tcW w:w="323" w:type="pct"/>
            <w:noWrap w:val="0"/>
            <w:vAlign w:val="center"/>
          </w:tcPr>
          <w:p w14:paraId="394E7DD3">
            <w:pPr>
              <w:pStyle w:val="50"/>
              <w:bidi w:val="0"/>
            </w:pPr>
            <w:r>
              <w:rPr>
                <w:rFonts w:hint="eastAsia"/>
                <w:lang w:val="en-US" w:eastAsia="zh-CN"/>
              </w:rPr>
              <w:t>不涉及</w:t>
            </w:r>
          </w:p>
        </w:tc>
      </w:tr>
      <w:tr w14:paraId="0309FB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304" w:type="pct"/>
            <w:noWrap w:val="0"/>
            <w:vAlign w:val="center"/>
          </w:tcPr>
          <w:p w14:paraId="622547CE">
            <w:pPr>
              <w:pStyle w:val="50"/>
              <w:bidi w:val="0"/>
            </w:pPr>
            <w:r>
              <w:t>6</w:t>
            </w:r>
          </w:p>
        </w:tc>
        <w:tc>
          <w:tcPr>
            <w:tcW w:w="588" w:type="pct"/>
            <w:noWrap/>
            <w:vAlign w:val="center"/>
          </w:tcPr>
          <w:p w14:paraId="23EE362F">
            <w:pPr>
              <w:pStyle w:val="50"/>
              <w:bidi w:val="0"/>
            </w:pPr>
            <w:r>
              <w:t>斜坡卷扬运输</w:t>
            </w:r>
          </w:p>
        </w:tc>
        <w:tc>
          <w:tcPr>
            <w:tcW w:w="358" w:type="pct"/>
            <w:noWrap w:val="0"/>
            <w:vAlign w:val="center"/>
          </w:tcPr>
          <w:p w14:paraId="3C0CE8F3">
            <w:pPr>
              <w:pStyle w:val="50"/>
              <w:bidi w:val="0"/>
            </w:pPr>
          </w:p>
        </w:tc>
        <w:tc>
          <w:tcPr>
            <w:tcW w:w="366" w:type="pct"/>
            <w:noWrap w:val="0"/>
            <w:vAlign w:val="center"/>
          </w:tcPr>
          <w:p w14:paraId="1D5321BE">
            <w:pPr>
              <w:pStyle w:val="50"/>
              <w:bidi w:val="0"/>
            </w:pPr>
          </w:p>
        </w:tc>
        <w:tc>
          <w:tcPr>
            <w:tcW w:w="2361" w:type="pct"/>
            <w:noWrap w:val="0"/>
            <w:vAlign w:val="center"/>
          </w:tcPr>
          <w:p w14:paraId="53D08F90">
            <w:pPr>
              <w:pStyle w:val="50"/>
              <w:bidi w:val="0"/>
            </w:pPr>
          </w:p>
        </w:tc>
        <w:tc>
          <w:tcPr>
            <w:tcW w:w="696" w:type="pct"/>
            <w:noWrap w:val="0"/>
            <w:vAlign w:val="top"/>
          </w:tcPr>
          <w:p w14:paraId="61204B96">
            <w:pPr>
              <w:pStyle w:val="50"/>
              <w:bidi w:val="0"/>
            </w:pPr>
          </w:p>
        </w:tc>
        <w:tc>
          <w:tcPr>
            <w:tcW w:w="323" w:type="pct"/>
            <w:noWrap w:val="0"/>
            <w:vAlign w:val="center"/>
          </w:tcPr>
          <w:p w14:paraId="047A17F8">
            <w:pPr>
              <w:pStyle w:val="50"/>
              <w:bidi w:val="0"/>
              <w:rPr>
                <w:rFonts w:hint="default" w:eastAsia="宋体"/>
                <w:lang w:val="en-US" w:eastAsia="zh-CN"/>
              </w:rPr>
            </w:pPr>
            <w:r>
              <w:rPr>
                <w:rFonts w:hint="eastAsia"/>
                <w:lang w:val="en-US" w:eastAsia="zh-CN"/>
              </w:rPr>
              <w:t>不涉及</w:t>
            </w:r>
          </w:p>
        </w:tc>
      </w:tr>
      <w:tr w14:paraId="2EAFCA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24" w:hRule="atLeast"/>
          <w:jc w:val="center"/>
        </w:trPr>
        <w:tc>
          <w:tcPr>
            <w:tcW w:w="304" w:type="pct"/>
            <w:noWrap w:val="0"/>
            <w:vAlign w:val="center"/>
          </w:tcPr>
          <w:p w14:paraId="5823CEEC">
            <w:pPr>
              <w:pStyle w:val="50"/>
              <w:bidi w:val="0"/>
            </w:pPr>
            <w:r>
              <w:t>6.1</w:t>
            </w:r>
          </w:p>
        </w:tc>
        <w:tc>
          <w:tcPr>
            <w:tcW w:w="588" w:type="pct"/>
            <w:noWrap/>
            <w:vAlign w:val="center"/>
          </w:tcPr>
          <w:p w14:paraId="7BA5B437">
            <w:pPr>
              <w:pStyle w:val="50"/>
              <w:bidi w:val="0"/>
            </w:pPr>
            <w:r>
              <w:t>提升装置，包括制动系统、控制系统</w:t>
            </w:r>
          </w:p>
        </w:tc>
        <w:tc>
          <w:tcPr>
            <w:tcW w:w="358" w:type="pct"/>
            <w:noWrap w:val="0"/>
            <w:vAlign w:val="center"/>
          </w:tcPr>
          <w:p w14:paraId="6ACEDB17">
            <w:pPr>
              <w:pStyle w:val="50"/>
              <w:bidi w:val="0"/>
            </w:pPr>
            <w:r>
              <w:t>基本</w:t>
            </w:r>
          </w:p>
        </w:tc>
        <w:tc>
          <w:tcPr>
            <w:tcW w:w="366" w:type="pct"/>
            <w:noWrap w:val="0"/>
            <w:vAlign w:val="center"/>
          </w:tcPr>
          <w:p w14:paraId="4426E954">
            <w:pPr>
              <w:pStyle w:val="50"/>
              <w:bidi w:val="0"/>
            </w:pPr>
            <w:r>
              <w:t>■</w:t>
            </w:r>
          </w:p>
        </w:tc>
        <w:tc>
          <w:tcPr>
            <w:tcW w:w="2361" w:type="pct"/>
            <w:noWrap w:val="0"/>
            <w:vAlign w:val="center"/>
          </w:tcPr>
          <w:p w14:paraId="32C23B3F">
            <w:pPr>
              <w:pStyle w:val="50"/>
              <w:bidi w:val="0"/>
            </w:pPr>
            <w:r>
              <w:t>提升设备型号、规格和数量，提升系统保护装置包括防止过卷、防止过速、过负荷和欠电压、限速、深度指示器失效、闸间隙、松绳、满仓、减速功能等保护装置，最大载重量或最大载人数量、严禁超载标识，安全制动系统、控制及视频监控系统是否与批复的安全设施设计一致。</w:t>
            </w:r>
          </w:p>
          <w:p w14:paraId="2D4F81AA">
            <w:pPr>
              <w:pStyle w:val="50"/>
              <w:bidi w:val="0"/>
            </w:pPr>
            <w:r>
              <w:t>检查方法：现场</w:t>
            </w:r>
            <w:r>
              <w:rPr>
                <w:rFonts w:hint="eastAsia"/>
              </w:rPr>
              <w:t>检查</w:t>
            </w:r>
            <w:r>
              <w:t>。</w:t>
            </w:r>
          </w:p>
        </w:tc>
        <w:tc>
          <w:tcPr>
            <w:tcW w:w="696" w:type="pct"/>
            <w:noWrap w:val="0"/>
            <w:vAlign w:val="top"/>
          </w:tcPr>
          <w:p w14:paraId="04639001">
            <w:pPr>
              <w:pStyle w:val="50"/>
              <w:bidi w:val="0"/>
              <w:ind w:firstLine="0" w:firstLineChars="0"/>
            </w:pPr>
          </w:p>
        </w:tc>
        <w:tc>
          <w:tcPr>
            <w:tcW w:w="323" w:type="pct"/>
            <w:noWrap w:val="0"/>
            <w:vAlign w:val="center"/>
          </w:tcPr>
          <w:p w14:paraId="324991FC">
            <w:pPr>
              <w:pStyle w:val="50"/>
              <w:bidi w:val="0"/>
              <w:ind w:firstLine="0" w:firstLineChars="0"/>
              <w:rPr>
                <w:rFonts w:hint="default" w:eastAsia="宋体"/>
                <w:lang w:val="en-US" w:eastAsia="zh-CN"/>
              </w:rPr>
            </w:pPr>
            <w:r>
              <w:rPr>
                <w:rFonts w:hint="eastAsia"/>
                <w:lang w:val="en-US" w:eastAsia="zh-CN"/>
              </w:rPr>
              <w:t>不涉及</w:t>
            </w:r>
          </w:p>
        </w:tc>
      </w:tr>
      <w:tr w14:paraId="7E93AD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76" w:hRule="atLeast"/>
          <w:jc w:val="center"/>
        </w:trPr>
        <w:tc>
          <w:tcPr>
            <w:tcW w:w="304" w:type="pct"/>
            <w:noWrap w:val="0"/>
            <w:vAlign w:val="center"/>
          </w:tcPr>
          <w:p w14:paraId="7F51E34C">
            <w:pPr>
              <w:pStyle w:val="50"/>
              <w:bidi w:val="0"/>
            </w:pPr>
            <w:r>
              <w:t>6.2</w:t>
            </w:r>
          </w:p>
        </w:tc>
        <w:tc>
          <w:tcPr>
            <w:tcW w:w="588" w:type="pct"/>
            <w:noWrap/>
            <w:vAlign w:val="center"/>
          </w:tcPr>
          <w:p w14:paraId="425D77D7">
            <w:pPr>
              <w:pStyle w:val="50"/>
              <w:bidi w:val="0"/>
            </w:pPr>
            <w:r>
              <w:t>提升钢丝绳及其连接装置</w:t>
            </w:r>
          </w:p>
        </w:tc>
        <w:tc>
          <w:tcPr>
            <w:tcW w:w="358" w:type="pct"/>
            <w:noWrap w:val="0"/>
            <w:vAlign w:val="center"/>
          </w:tcPr>
          <w:p w14:paraId="56EC9225">
            <w:pPr>
              <w:pStyle w:val="50"/>
              <w:bidi w:val="0"/>
            </w:pPr>
            <w:r>
              <w:t>基本</w:t>
            </w:r>
          </w:p>
        </w:tc>
        <w:tc>
          <w:tcPr>
            <w:tcW w:w="366" w:type="pct"/>
            <w:noWrap w:val="0"/>
            <w:vAlign w:val="center"/>
          </w:tcPr>
          <w:p w14:paraId="4898D9BD">
            <w:pPr>
              <w:pStyle w:val="50"/>
              <w:bidi w:val="0"/>
            </w:pPr>
            <w:r>
              <w:t>△</w:t>
            </w:r>
          </w:p>
        </w:tc>
        <w:tc>
          <w:tcPr>
            <w:tcW w:w="2361" w:type="pct"/>
            <w:noWrap w:val="0"/>
            <w:vAlign w:val="center"/>
          </w:tcPr>
          <w:p w14:paraId="719DD7B2">
            <w:pPr>
              <w:pStyle w:val="50"/>
              <w:bidi w:val="0"/>
            </w:pPr>
            <w:r>
              <w:t>检查内容：钢丝绳的型号、规格、数量及连接装置是否与批复的安全设施设计一致；钢丝绳的拉断、弯曲和扭转试验，钢丝绳定期检查、更换是否符合国家有关规定。</w:t>
            </w:r>
          </w:p>
          <w:p w14:paraId="3BB15710">
            <w:pPr>
              <w:pStyle w:val="50"/>
              <w:bidi w:val="0"/>
            </w:pPr>
            <w:r>
              <w:t>检查方法：查阅安全验收评价报告、《钢丝绳的拉断、弯曲和扭转试验报告》、现场抽查。</w:t>
            </w:r>
          </w:p>
        </w:tc>
        <w:tc>
          <w:tcPr>
            <w:tcW w:w="696" w:type="pct"/>
            <w:noWrap w:val="0"/>
            <w:vAlign w:val="top"/>
          </w:tcPr>
          <w:p w14:paraId="3DD0F70C">
            <w:pPr>
              <w:pStyle w:val="50"/>
              <w:bidi w:val="0"/>
              <w:ind w:firstLine="0" w:firstLineChars="0"/>
            </w:pPr>
          </w:p>
        </w:tc>
        <w:tc>
          <w:tcPr>
            <w:tcW w:w="323" w:type="pct"/>
            <w:noWrap w:val="0"/>
            <w:vAlign w:val="center"/>
          </w:tcPr>
          <w:p w14:paraId="5D7FA1ED">
            <w:pPr>
              <w:pStyle w:val="50"/>
              <w:bidi w:val="0"/>
              <w:ind w:firstLine="0" w:firstLineChars="0"/>
              <w:rPr>
                <w:rFonts w:hint="default"/>
                <w:lang w:val="en-US"/>
              </w:rPr>
            </w:pPr>
            <w:r>
              <w:rPr>
                <w:rFonts w:hint="eastAsia"/>
                <w:lang w:val="en-US" w:eastAsia="zh-CN"/>
              </w:rPr>
              <w:t>不涉及</w:t>
            </w:r>
          </w:p>
        </w:tc>
      </w:tr>
      <w:tr w14:paraId="442CD4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1" w:hRule="atLeast"/>
          <w:jc w:val="center"/>
        </w:trPr>
        <w:tc>
          <w:tcPr>
            <w:tcW w:w="304" w:type="pct"/>
            <w:noWrap w:val="0"/>
            <w:vAlign w:val="center"/>
          </w:tcPr>
          <w:p w14:paraId="51C98E0E">
            <w:pPr>
              <w:pStyle w:val="50"/>
              <w:bidi w:val="0"/>
            </w:pPr>
            <w:r>
              <w:t>6.3</w:t>
            </w:r>
          </w:p>
        </w:tc>
        <w:tc>
          <w:tcPr>
            <w:tcW w:w="588" w:type="pct"/>
            <w:noWrap/>
            <w:vAlign w:val="center"/>
          </w:tcPr>
          <w:p w14:paraId="035E2443">
            <w:pPr>
              <w:pStyle w:val="50"/>
              <w:bidi w:val="0"/>
            </w:pPr>
            <w:r>
              <w:t>提升容器（包括箕斗、矿车和人车）</w:t>
            </w:r>
          </w:p>
        </w:tc>
        <w:tc>
          <w:tcPr>
            <w:tcW w:w="358" w:type="pct"/>
            <w:noWrap w:val="0"/>
            <w:vAlign w:val="center"/>
          </w:tcPr>
          <w:p w14:paraId="211C229E">
            <w:pPr>
              <w:pStyle w:val="50"/>
              <w:bidi w:val="0"/>
            </w:pPr>
            <w:r>
              <w:t>基本</w:t>
            </w:r>
          </w:p>
        </w:tc>
        <w:tc>
          <w:tcPr>
            <w:tcW w:w="366" w:type="pct"/>
            <w:noWrap w:val="0"/>
            <w:vAlign w:val="center"/>
          </w:tcPr>
          <w:p w14:paraId="6D0BAFA9">
            <w:pPr>
              <w:pStyle w:val="50"/>
              <w:bidi w:val="0"/>
            </w:pPr>
            <w:r>
              <w:t>△</w:t>
            </w:r>
          </w:p>
        </w:tc>
        <w:tc>
          <w:tcPr>
            <w:tcW w:w="2361" w:type="pct"/>
            <w:noWrap w:val="0"/>
            <w:vAlign w:val="center"/>
          </w:tcPr>
          <w:p w14:paraId="3F0D4678">
            <w:pPr>
              <w:pStyle w:val="50"/>
              <w:bidi w:val="0"/>
            </w:pPr>
            <w:r>
              <w:t>检查内容：斜井人车的断绳保险器，矿车的型号规格、串车组矿车数量是否与批复的安全设施设计一致。斜井人车的断绳保险器和斜坡箕斗检测检验是否符合国家有关规定。</w:t>
            </w:r>
          </w:p>
          <w:p w14:paraId="4ACC6C49">
            <w:pPr>
              <w:pStyle w:val="50"/>
              <w:bidi w:val="0"/>
            </w:pPr>
            <w:r>
              <w:t>检查方法：查阅安全验收评价报告、《检测检验报告》、现场抽查。</w:t>
            </w:r>
          </w:p>
        </w:tc>
        <w:tc>
          <w:tcPr>
            <w:tcW w:w="696" w:type="pct"/>
            <w:noWrap w:val="0"/>
            <w:vAlign w:val="top"/>
          </w:tcPr>
          <w:p w14:paraId="2E197F81">
            <w:pPr>
              <w:pStyle w:val="50"/>
              <w:bidi w:val="0"/>
              <w:ind w:firstLine="0" w:firstLineChars="0"/>
            </w:pPr>
          </w:p>
        </w:tc>
        <w:tc>
          <w:tcPr>
            <w:tcW w:w="323" w:type="pct"/>
            <w:noWrap w:val="0"/>
            <w:vAlign w:val="center"/>
          </w:tcPr>
          <w:p w14:paraId="015C8E49">
            <w:pPr>
              <w:pStyle w:val="50"/>
              <w:bidi w:val="0"/>
            </w:pPr>
            <w:r>
              <w:rPr>
                <w:rFonts w:hint="eastAsia"/>
                <w:lang w:val="en-US" w:eastAsia="zh-CN"/>
              </w:rPr>
              <w:t>不涉及</w:t>
            </w:r>
          </w:p>
        </w:tc>
      </w:tr>
      <w:tr w14:paraId="1E371A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374" w:hRule="atLeast"/>
          <w:jc w:val="center"/>
        </w:trPr>
        <w:tc>
          <w:tcPr>
            <w:tcW w:w="304" w:type="pct"/>
            <w:noWrap w:val="0"/>
            <w:vAlign w:val="center"/>
          </w:tcPr>
          <w:p w14:paraId="59B64185">
            <w:pPr>
              <w:pStyle w:val="50"/>
              <w:bidi w:val="0"/>
            </w:pPr>
            <w:r>
              <w:t>6.4</w:t>
            </w:r>
          </w:p>
        </w:tc>
        <w:tc>
          <w:tcPr>
            <w:tcW w:w="588" w:type="pct"/>
            <w:noWrap/>
            <w:vAlign w:val="center"/>
          </w:tcPr>
          <w:p w14:paraId="422A56A6">
            <w:pPr>
              <w:pStyle w:val="50"/>
              <w:bidi w:val="0"/>
            </w:pPr>
            <w:r>
              <w:t>阻车器、安全挡车设施</w:t>
            </w:r>
          </w:p>
        </w:tc>
        <w:tc>
          <w:tcPr>
            <w:tcW w:w="358" w:type="pct"/>
            <w:noWrap w:val="0"/>
            <w:vAlign w:val="center"/>
          </w:tcPr>
          <w:p w14:paraId="684E3946">
            <w:pPr>
              <w:pStyle w:val="50"/>
              <w:bidi w:val="0"/>
            </w:pPr>
            <w:r>
              <w:t>专用</w:t>
            </w:r>
          </w:p>
        </w:tc>
        <w:tc>
          <w:tcPr>
            <w:tcW w:w="366" w:type="pct"/>
            <w:noWrap w:val="0"/>
            <w:vAlign w:val="center"/>
          </w:tcPr>
          <w:p w14:paraId="425BF1E4">
            <w:pPr>
              <w:pStyle w:val="50"/>
              <w:bidi w:val="0"/>
            </w:pPr>
            <w:r>
              <w:t>△</w:t>
            </w:r>
          </w:p>
        </w:tc>
        <w:tc>
          <w:tcPr>
            <w:tcW w:w="2361" w:type="pct"/>
            <w:noWrap w:val="0"/>
            <w:vAlign w:val="center"/>
          </w:tcPr>
          <w:p w14:paraId="4255C4F4">
            <w:pPr>
              <w:pStyle w:val="50"/>
              <w:bidi w:val="0"/>
              <w:rPr>
                <w:rFonts w:hint="eastAsia" w:eastAsia="宋体"/>
                <w:lang w:eastAsia="zh-CN"/>
              </w:rPr>
            </w:pPr>
            <w:r>
              <w:t>检查内容：阻车器、安全挡车的设置是否与批复的安全设施设计一致。</w:t>
            </w:r>
          </w:p>
          <w:p w14:paraId="3A2B6E01">
            <w:pPr>
              <w:pStyle w:val="50"/>
              <w:bidi w:val="0"/>
            </w:pPr>
            <w:r>
              <w:t>检查方法：查阅安全设施验收评价报告、现场抽查。</w:t>
            </w:r>
          </w:p>
        </w:tc>
        <w:tc>
          <w:tcPr>
            <w:tcW w:w="696" w:type="pct"/>
            <w:noWrap w:val="0"/>
            <w:vAlign w:val="top"/>
          </w:tcPr>
          <w:p w14:paraId="34428F48">
            <w:pPr>
              <w:pStyle w:val="50"/>
              <w:bidi w:val="0"/>
              <w:ind w:firstLine="0" w:firstLineChars="0"/>
            </w:pPr>
          </w:p>
        </w:tc>
        <w:tc>
          <w:tcPr>
            <w:tcW w:w="323" w:type="pct"/>
            <w:noWrap w:val="0"/>
            <w:vAlign w:val="center"/>
          </w:tcPr>
          <w:p w14:paraId="7B6E37AD">
            <w:pPr>
              <w:pStyle w:val="50"/>
              <w:bidi w:val="0"/>
            </w:pPr>
            <w:r>
              <w:rPr>
                <w:rFonts w:hint="eastAsia"/>
                <w:lang w:val="en-US" w:eastAsia="zh-CN"/>
              </w:rPr>
              <w:t>不涉及</w:t>
            </w:r>
          </w:p>
        </w:tc>
      </w:tr>
      <w:tr w14:paraId="70F313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4" w:type="pct"/>
            <w:noWrap w:val="0"/>
            <w:vAlign w:val="center"/>
          </w:tcPr>
          <w:p w14:paraId="30E4D162">
            <w:pPr>
              <w:pStyle w:val="50"/>
              <w:bidi w:val="0"/>
            </w:pPr>
            <w:r>
              <w:t>6.5</w:t>
            </w:r>
          </w:p>
        </w:tc>
        <w:tc>
          <w:tcPr>
            <w:tcW w:w="588" w:type="pct"/>
            <w:noWrap/>
            <w:vAlign w:val="center"/>
          </w:tcPr>
          <w:p w14:paraId="7459A7AA">
            <w:pPr>
              <w:pStyle w:val="50"/>
              <w:bidi w:val="0"/>
            </w:pPr>
            <w:r>
              <w:t>斜坡轨道两侧的堑沟、安全隔挡设施</w:t>
            </w:r>
          </w:p>
        </w:tc>
        <w:tc>
          <w:tcPr>
            <w:tcW w:w="358" w:type="pct"/>
            <w:noWrap w:val="0"/>
            <w:vAlign w:val="center"/>
          </w:tcPr>
          <w:p w14:paraId="61757D44">
            <w:pPr>
              <w:pStyle w:val="50"/>
              <w:bidi w:val="0"/>
            </w:pPr>
            <w:r>
              <w:t>专用</w:t>
            </w:r>
          </w:p>
        </w:tc>
        <w:tc>
          <w:tcPr>
            <w:tcW w:w="366" w:type="pct"/>
            <w:noWrap w:val="0"/>
            <w:vAlign w:val="center"/>
          </w:tcPr>
          <w:p w14:paraId="2F45D7B7">
            <w:pPr>
              <w:pStyle w:val="50"/>
              <w:bidi w:val="0"/>
            </w:pPr>
            <w:r>
              <w:t>△</w:t>
            </w:r>
          </w:p>
        </w:tc>
        <w:tc>
          <w:tcPr>
            <w:tcW w:w="2361" w:type="pct"/>
            <w:noWrap w:val="0"/>
            <w:vAlign w:val="center"/>
          </w:tcPr>
          <w:p w14:paraId="0A9E4C67">
            <w:pPr>
              <w:pStyle w:val="50"/>
              <w:bidi w:val="0"/>
            </w:pPr>
            <w:r>
              <w:t>检查内容：斜坡轨道两侧的堑沟、安全隔挡的设置是否与批复的安全设施设计一致。</w:t>
            </w:r>
          </w:p>
          <w:p w14:paraId="3C8DED4B">
            <w:pPr>
              <w:pStyle w:val="50"/>
              <w:bidi w:val="0"/>
            </w:pPr>
            <w:r>
              <w:t>检查方法：查阅安全设施验收评价报告、现场抽查。</w:t>
            </w:r>
          </w:p>
        </w:tc>
        <w:tc>
          <w:tcPr>
            <w:tcW w:w="696" w:type="pct"/>
            <w:noWrap w:val="0"/>
            <w:vAlign w:val="top"/>
          </w:tcPr>
          <w:p w14:paraId="47313951">
            <w:pPr>
              <w:pStyle w:val="50"/>
              <w:bidi w:val="0"/>
              <w:ind w:firstLine="0" w:firstLineChars="0"/>
            </w:pPr>
          </w:p>
        </w:tc>
        <w:tc>
          <w:tcPr>
            <w:tcW w:w="323" w:type="pct"/>
            <w:noWrap w:val="0"/>
            <w:vAlign w:val="center"/>
          </w:tcPr>
          <w:p w14:paraId="56C529FA">
            <w:pPr>
              <w:pStyle w:val="50"/>
              <w:bidi w:val="0"/>
            </w:pPr>
            <w:r>
              <w:rPr>
                <w:rFonts w:hint="eastAsia"/>
                <w:lang w:val="en-US" w:eastAsia="zh-CN"/>
              </w:rPr>
              <w:t>不涉及</w:t>
            </w:r>
          </w:p>
        </w:tc>
      </w:tr>
      <w:tr w14:paraId="4C921D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7" w:hRule="atLeast"/>
          <w:jc w:val="center"/>
        </w:trPr>
        <w:tc>
          <w:tcPr>
            <w:tcW w:w="304" w:type="pct"/>
            <w:noWrap w:val="0"/>
            <w:vAlign w:val="center"/>
          </w:tcPr>
          <w:p w14:paraId="7A6F9129">
            <w:pPr>
              <w:pStyle w:val="50"/>
              <w:bidi w:val="0"/>
            </w:pPr>
            <w:r>
              <w:t>6.6</w:t>
            </w:r>
          </w:p>
        </w:tc>
        <w:tc>
          <w:tcPr>
            <w:tcW w:w="588" w:type="pct"/>
            <w:noWrap/>
            <w:vAlign w:val="center"/>
          </w:tcPr>
          <w:p w14:paraId="577BB09B">
            <w:pPr>
              <w:pStyle w:val="50"/>
              <w:bidi w:val="0"/>
            </w:pPr>
            <w:r>
              <w:t>防止跑车装置</w:t>
            </w:r>
          </w:p>
        </w:tc>
        <w:tc>
          <w:tcPr>
            <w:tcW w:w="358" w:type="pct"/>
            <w:noWrap w:val="0"/>
            <w:vAlign w:val="center"/>
          </w:tcPr>
          <w:p w14:paraId="30D569DB">
            <w:pPr>
              <w:pStyle w:val="50"/>
              <w:bidi w:val="0"/>
            </w:pPr>
            <w:r>
              <w:t>专用</w:t>
            </w:r>
          </w:p>
        </w:tc>
        <w:tc>
          <w:tcPr>
            <w:tcW w:w="366" w:type="pct"/>
            <w:noWrap w:val="0"/>
            <w:vAlign w:val="center"/>
          </w:tcPr>
          <w:p w14:paraId="0ADF8412">
            <w:pPr>
              <w:pStyle w:val="50"/>
              <w:bidi w:val="0"/>
            </w:pPr>
            <w:r>
              <w:t>△</w:t>
            </w:r>
          </w:p>
        </w:tc>
        <w:tc>
          <w:tcPr>
            <w:tcW w:w="2361" w:type="pct"/>
            <w:noWrap w:val="0"/>
            <w:vAlign w:val="center"/>
          </w:tcPr>
          <w:p w14:paraId="26BB4F35">
            <w:pPr>
              <w:pStyle w:val="50"/>
              <w:bidi w:val="0"/>
            </w:pPr>
            <w:r>
              <w:t>检查内容：防跑车保护装置是否与批复的安全设施设计一致；防跑车安全检测检验是否符合国家有关规定。</w:t>
            </w:r>
          </w:p>
          <w:p w14:paraId="5A7CE48D">
            <w:pPr>
              <w:pStyle w:val="50"/>
              <w:bidi w:val="0"/>
            </w:pPr>
            <w:r>
              <w:t>检查方法：查阅安全验收评价报告、《检测检验报告》、现场抽查。</w:t>
            </w:r>
          </w:p>
        </w:tc>
        <w:tc>
          <w:tcPr>
            <w:tcW w:w="696" w:type="pct"/>
            <w:noWrap w:val="0"/>
            <w:vAlign w:val="top"/>
          </w:tcPr>
          <w:p w14:paraId="212E073C">
            <w:pPr>
              <w:pStyle w:val="50"/>
              <w:bidi w:val="0"/>
              <w:ind w:firstLine="0" w:firstLineChars="0"/>
            </w:pPr>
          </w:p>
        </w:tc>
        <w:tc>
          <w:tcPr>
            <w:tcW w:w="323" w:type="pct"/>
            <w:noWrap w:val="0"/>
            <w:vAlign w:val="center"/>
          </w:tcPr>
          <w:p w14:paraId="5187854E">
            <w:pPr>
              <w:pStyle w:val="50"/>
              <w:bidi w:val="0"/>
            </w:pPr>
            <w:r>
              <w:rPr>
                <w:rFonts w:hint="eastAsia"/>
                <w:lang w:val="en-US" w:eastAsia="zh-CN"/>
              </w:rPr>
              <w:t>不涉及</w:t>
            </w:r>
          </w:p>
        </w:tc>
      </w:tr>
      <w:tr w14:paraId="3144CC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04" w:type="pct"/>
            <w:noWrap w:val="0"/>
            <w:vAlign w:val="center"/>
          </w:tcPr>
          <w:p w14:paraId="34DEC501">
            <w:pPr>
              <w:pStyle w:val="50"/>
              <w:bidi w:val="0"/>
            </w:pPr>
            <w:r>
              <w:t>6.7</w:t>
            </w:r>
          </w:p>
        </w:tc>
        <w:tc>
          <w:tcPr>
            <w:tcW w:w="588" w:type="pct"/>
            <w:noWrap/>
            <w:vAlign w:val="center"/>
          </w:tcPr>
          <w:p w14:paraId="15C55799">
            <w:pPr>
              <w:pStyle w:val="50"/>
              <w:bidi w:val="0"/>
            </w:pPr>
            <w:r>
              <w:t>防止钢轨及轨梁整体下滑的措施</w:t>
            </w:r>
          </w:p>
        </w:tc>
        <w:tc>
          <w:tcPr>
            <w:tcW w:w="358" w:type="pct"/>
            <w:noWrap w:val="0"/>
            <w:vAlign w:val="center"/>
          </w:tcPr>
          <w:p w14:paraId="3A9C6FEC">
            <w:pPr>
              <w:pStyle w:val="50"/>
              <w:bidi w:val="0"/>
            </w:pPr>
            <w:r>
              <w:t>专用</w:t>
            </w:r>
          </w:p>
        </w:tc>
        <w:tc>
          <w:tcPr>
            <w:tcW w:w="366" w:type="pct"/>
            <w:noWrap w:val="0"/>
            <w:vAlign w:val="center"/>
          </w:tcPr>
          <w:p w14:paraId="06FFCFF8">
            <w:pPr>
              <w:pStyle w:val="50"/>
              <w:bidi w:val="0"/>
            </w:pPr>
            <w:r>
              <w:t>△</w:t>
            </w:r>
          </w:p>
        </w:tc>
        <w:tc>
          <w:tcPr>
            <w:tcW w:w="2361" w:type="pct"/>
            <w:noWrap w:val="0"/>
            <w:vAlign w:val="center"/>
          </w:tcPr>
          <w:p w14:paraId="41B5ADA6">
            <w:pPr>
              <w:pStyle w:val="50"/>
              <w:bidi w:val="0"/>
              <w:rPr>
                <w:rFonts w:hint="eastAsia" w:eastAsia="宋体"/>
                <w:lang w:eastAsia="zh-CN"/>
              </w:rPr>
            </w:pPr>
            <w:r>
              <w:t>检查内容：斜坡轨道两侧的堑沟、安全隔挡的设置是否与批复的安全设施设计一致。</w:t>
            </w:r>
          </w:p>
          <w:p w14:paraId="1DF74178">
            <w:pPr>
              <w:pStyle w:val="50"/>
              <w:bidi w:val="0"/>
            </w:pPr>
            <w:r>
              <w:t>检查方法：查阅安全设施验收评价报告、现场抽查。</w:t>
            </w:r>
          </w:p>
        </w:tc>
        <w:tc>
          <w:tcPr>
            <w:tcW w:w="696" w:type="pct"/>
            <w:noWrap w:val="0"/>
            <w:vAlign w:val="top"/>
          </w:tcPr>
          <w:p w14:paraId="6B2729FA">
            <w:pPr>
              <w:pStyle w:val="50"/>
              <w:bidi w:val="0"/>
              <w:ind w:firstLine="0" w:firstLineChars="0"/>
            </w:pPr>
          </w:p>
        </w:tc>
        <w:tc>
          <w:tcPr>
            <w:tcW w:w="323" w:type="pct"/>
            <w:noWrap w:val="0"/>
            <w:vAlign w:val="center"/>
          </w:tcPr>
          <w:p w14:paraId="73B7A0BE">
            <w:pPr>
              <w:pStyle w:val="50"/>
              <w:bidi w:val="0"/>
            </w:pPr>
            <w:r>
              <w:rPr>
                <w:rFonts w:hint="eastAsia"/>
                <w:lang w:val="en-US" w:eastAsia="zh-CN"/>
              </w:rPr>
              <w:t>不涉及</w:t>
            </w:r>
          </w:p>
        </w:tc>
      </w:tr>
    </w:tbl>
    <w:p w14:paraId="42623D92">
      <w:pPr>
        <w:ind w:firstLine="472"/>
        <w:rPr>
          <w:rFonts w:ascii="Times New Roman" w:hAnsi="Times New Roman"/>
          <w:color w:val="000000" w:themeColor="text1"/>
          <w:sz w:val="24"/>
          <w14:textFill>
            <w14:solidFill>
              <w14:schemeClr w14:val="tx1"/>
            </w14:solidFill>
          </w14:textFill>
        </w:rPr>
      </w:pPr>
      <w:r>
        <w:rPr>
          <w:rFonts w:ascii="Times New Roman" w:hAnsi="Times New Roman"/>
          <w:color w:val="000000" w:themeColor="text1"/>
          <w:sz w:val="24"/>
          <w14:textFill>
            <w14:solidFill>
              <w14:schemeClr w14:val="tx1"/>
            </w14:solidFill>
          </w14:textFill>
        </w:rPr>
        <w:t>符合检查类别中，“■”表示该项为否决项，“</w:t>
      </w:r>
      <w:r>
        <w:rPr>
          <w:rFonts w:ascii="Cambria Math" w:hAnsi="Cambria Math" w:cs="Cambria Math"/>
          <w:color w:val="000000" w:themeColor="text1"/>
          <w:sz w:val="24"/>
          <w14:textFill>
            <w14:solidFill>
              <w14:schemeClr w14:val="tx1"/>
            </w14:solidFill>
          </w14:textFill>
        </w:rPr>
        <w:t>△</w:t>
      </w:r>
      <w:r>
        <w:rPr>
          <w:rFonts w:ascii="Times New Roman" w:hAnsi="Times New Roman"/>
          <w:color w:val="000000" w:themeColor="text1"/>
          <w:sz w:val="24"/>
          <w14:textFill>
            <w14:solidFill>
              <w14:schemeClr w14:val="tx1"/>
            </w14:solidFill>
          </w14:textFill>
        </w:rPr>
        <w:t>”表示为一般项。</w:t>
      </w:r>
    </w:p>
    <w:p w14:paraId="57EDA5D4">
      <w:pPr>
        <w:adjustRightInd w:val="0"/>
        <w:snapToGrid w:val="0"/>
        <w:ind w:firstLine="562"/>
        <w:rPr>
          <w:spacing w:val="-4"/>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检查</w:t>
      </w:r>
      <w:r>
        <w:rPr>
          <w:rFonts w:hint="eastAsia" w:ascii="Times New Roman" w:hAnsi="Times New Roman"/>
          <w:color w:val="000000" w:themeColor="text1"/>
          <w:lang w:val="en-US" w:eastAsia="zh-CN"/>
          <w14:textFill>
            <w14:solidFill>
              <w14:schemeClr w14:val="tx1"/>
            </w14:solidFill>
          </w14:textFill>
        </w:rPr>
        <w:t>39</w:t>
      </w:r>
      <w:r>
        <w:rPr>
          <w:rFonts w:ascii="Times New Roman" w:hAnsi="Times New Roman"/>
          <w:color w:val="000000" w:themeColor="text1"/>
          <w14:textFill>
            <w14:solidFill>
              <w14:schemeClr w14:val="tx1"/>
            </w14:solidFill>
          </w14:textFill>
        </w:rPr>
        <w:t>项内容，</w:t>
      </w:r>
      <w:r>
        <w:rPr>
          <w:spacing w:val="-3"/>
        </w:rPr>
        <w:t>其中</w:t>
      </w:r>
      <w:r>
        <w:rPr>
          <w:rFonts w:hint="eastAsia"/>
          <w:spacing w:val="-4"/>
          <w:lang w:val="en-US" w:eastAsia="zh-CN"/>
        </w:rPr>
        <w:t>不涉及32项，有效项7项。有效项7项</w:t>
      </w:r>
      <w:r>
        <w:rPr>
          <w:spacing w:val="-3"/>
        </w:rPr>
        <w:t>一般项</w:t>
      </w:r>
      <w:r>
        <w:rPr>
          <w:rFonts w:hint="eastAsia"/>
          <w:spacing w:val="-3"/>
          <w:lang w:val="en-US" w:eastAsia="zh-CN"/>
        </w:rPr>
        <w:t>7</w:t>
      </w:r>
      <w:r>
        <w:rPr>
          <w:spacing w:val="-3"/>
        </w:rPr>
        <w:t>项，符合</w:t>
      </w:r>
      <w:r>
        <w:rPr>
          <w:rFonts w:hint="eastAsia"/>
          <w:spacing w:val="-3"/>
          <w:lang w:val="en-US" w:eastAsia="zh-CN"/>
        </w:rPr>
        <w:t>7</w:t>
      </w:r>
      <w:r>
        <w:rPr>
          <w:spacing w:val="-3"/>
        </w:rPr>
        <w:t>项，不符合</w:t>
      </w:r>
      <w:r>
        <w:rPr>
          <w:rFonts w:hint="eastAsia"/>
          <w:spacing w:val="-3"/>
          <w:lang w:val="en-US" w:eastAsia="zh-CN"/>
        </w:rPr>
        <w:t>0</w:t>
      </w:r>
      <w:r>
        <w:rPr>
          <w:spacing w:val="-4"/>
        </w:rPr>
        <w:t>项</w:t>
      </w:r>
      <w:r>
        <w:rPr>
          <w:rFonts w:hint="eastAsia"/>
          <w:spacing w:val="-4"/>
          <w:lang w:val="en-US" w:eastAsia="zh-CN"/>
        </w:rPr>
        <w:t>。</w:t>
      </w:r>
      <w:r>
        <w:rPr>
          <w:spacing w:val="-4"/>
        </w:rPr>
        <w:t>该单元评价为符合。</w:t>
      </w:r>
    </w:p>
    <w:p w14:paraId="04D920DC">
      <w:pPr>
        <w:pStyle w:val="4"/>
      </w:pPr>
      <w:bookmarkStart w:id="331" w:name="_Toc476244169"/>
      <w:bookmarkStart w:id="332" w:name="_Toc26016"/>
      <w:bookmarkStart w:id="333" w:name="_Toc11210"/>
      <w:bookmarkStart w:id="334" w:name="_Toc19874"/>
      <w:bookmarkStart w:id="335" w:name="_Toc11710"/>
      <w:bookmarkStart w:id="336" w:name="_Toc24231"/>
      <w:bookmarkStart w:id="337" w:name="_Toc454614328"/>
      <w:bookmarkStart w:id="338" w:name="_Toc214284041"/>
      <w:bookmarkStart w:id="339" w:name="_Toc483865741"/>
      <w:bookmarkStart w:id="340" w:name="_Toc14744"/>
      <w:bookmarkStart w:id="341" w:name="_Toc31524"/>
      <w:bookmarkStart w:id="342" w:name="_Toc214284042"/>
      <w:r>
        <w:t>3.4.2单元小结</w:t>
      </w:r>
      <w:bookmarkEnd w:id="331"/>
      <w:bookmarkEnd w:id="332"/>
      <w:bookmarkEnd w:id="333"/>
      <w:bookmarkEnd w:id="334"/>
      <w:bookmarkEnd w:id="335"/>
      <w:bookmarkEnd w:id="336"/>
      <w:bookmarkEnd w:id="337"/>
      <w:bookmarkEnd w:id="338"/>
      <w:bookmarkEnd w:id="339"/>
      <w:bookmarkEnd w:id="340"/>
    </w:p>
    <w:p w14:paraId="2198F799">
      <w:pPr>
        <w:adjustRightInd w:val="0"/>
        <w:snapToGrid w:val="0"/>
        <w:ind w:firstLine="56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该矿山的矿岩运输为机械铲装运输作业</w:t>
      </w:r>
      <w:r>
        <w:rPr>
          <w:rFonts w:hint="eastAsia" w:ascii="Times New Roman" w:hAnsi="Times New Roman"/>
          <w:color w:val="000000" w:themeColor="text1"/>
          <w:lang w:val="en-US" w:eastAsia="zh-CN"/>
          <w14:textFill>
            <w14:solidFill>
              <w14:schemeClr w14:val="tx1"/>
            </w14:solidFill>
          </w14:textFill>
        </w:rPr>
        <w:t>.。</w:t>
      </w:r>
      <w:r>
        <w:rPr>
          <w:rFonts w:ascii="Times New Roman" w:hAnsi="Times New Roman"/>
          <w:color w:val="000000" w:themeColor="text1"/>
          <w14:textFill>
            <w14:solidFill>
              <w14:schemeClr w14:val="tx1"/>
            </w14:solidFill>
          </w14:textFill>
        </w:rPr>
        <w:t>装车、内部</w:t>
      </w:r>
      <w:r>
        <w:rPr>
          <w:rFonts w:hint="eastAsia" w:ascii="Times New Roman" w:hAnsi="Times New Roman"/>
          <w:color w:val="000000" w:themeColor="text1"/>
          <w:lang w:val="en-US" w:eastAsia="zh-CN"/>
          <w14:textFill>
            <w14:solidFill>
              <w14:schemeClr w14:val="tx1"/>
            </w14:solidFill>
          </w14:textFill>
        </w:rPr>
        <w:t>运输</w:t>
      </w:r>
      <w:r>
        <w:rPr>
          <w:rFonts w:ascii="Times New Roman" w:hAnsi="Times New Roman"/>
          <w:color w:val="000000" w:themeColor="text1"/>
          <w14:textFill>
            <w14:solidFill>
              <w14:schemeClr w14:val="tx1"/>
            </w14:solidFill>
          </w14:textFill>
        </w:rPr>
        <w:t>道路宽度、道路的转弯半径能满足安全运输基本要求，在矿山入口、急弯等危险路段设置了安全警示标志，能满足运输要求。卸料口车挡设置不满足要求，经整改后达到设计要求，能满足运输车辆卸车要求。经评价认为矿岩运输单元满足安全生产要求。</w:t>
      </w:r>
    </w:p>
    <w:p w14:paraId="0B1A1BA2">
      <w:pPr>
        <w:pStyle w:val="3"/>
      </w:pPr>
      <w:bookmarkStart w:id="343" w:name="_Toc12770"/>
      <w:r>
        <w:t>3.5供配电</w:t>
      </w:r>
      <w:bookmarkEnd w:id="341"/>
      <w:bookmarkEnd w:id="342"/>
      <w:bookmarkEnd w:id="343"/>
    </w:p>
    <w:p w14:paraId="03A2BF4A">
      <w:pPr>
        <w:pStyle w:val="4"/>
        <w:bidi w:val="0"/>
      </w:pPr>
      <w:bookmarkStart w:id="344" w:name="_Toc21214"/>
      <w:bookmarkStart w:id="345" w:name="_Toc214284043"/>
      <w:bookmarkStart w:id="346" w:name="_Toc18244"/>
      <w:r>
        <w:t>3.5.1供配电</w:t>
      </w:r>
      <w:r>
        <w:rPr>
          <w:rFonts w:hint="eastAsia"/>
          <w:lang w:val="en-US" w:eastAsia="zh-CN"/>
        </w:rPr>
        <w:t>系统</w:t>
      </w:r>
      <w:r>
        <w:t>符合性评价</w:t>
      </w:r>
      <w:bookmarkEnd w:id="344"/>
      <w:bookmarkEnd w:id="345"/>
      <w:bookmarkEnd w:id="346"/>
    </w:p>
    <w:p w14:paraId="1A6EF302">
      <w:pPr>
        <w:adjustRightInd w:val="0"/>
        <w:snapToGrid w:val="0"/>
        <w:ind w:firstLine="560"/>
        <w:rPr>
          <w:rFonts w:ascii="Times New Roman" w:hAnsi="Times New Roman"/>
          <w:color w:val="000000" w:themeColor="text1"/>
          <w14:textFill>
            <w14:solidFill>
              <w14:schemeClr w14:val="tx1"/>
            </w14:solidFill>
          </w14:textFill>
        </w:rPr>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w:t>
      </w:r>
      <w:r>
        <w:rPr>
          <w:rFonts w:hint="eastAsia"/>
          <w:lang w:eastAsia="zh-CN"/>
        </w:rPr>
        <w:t>有关内容</w:t>
      </w:r>
      <w:r>
        <w:t>对</w:t>
      </w:r>
      <w:r>
        <w:rPr>
          <w:rFonts w:ascii="Times New Roman" w:hAnsi="Times New Roman"/>
          <w:color w:val="000000" w:themeColor="text1"/>
          <w14:textFill>
            <w14:solidFill>
              <w14:schemeClr w14:val="tx1"/>
            </w14:solidFill>
          </w14:textFill>
        </w:rPr>
        <w:t>矿山供配电进行符合性评价。</w:t>
      </w:r>
    </w:p>
    <w:p w14:paraId="1DA946EA">
      <w:pPr>
        <w:pStyle w:val="86"/>
        <w:bidi w:val="0"/>
      </w:pPr>
      <w:r>
        <w:t>表3</w:t>
      </w:r>
      <w:r>
        <w:rPr>
          <w:rFonts w:hint="eastAsia"/>
          <w:lang w:val="en-US" w:eastAsia="zh-CN"/>
        </w:rPr>
        <w:t>.5-1</w:t>
      </w:r>
      <w:r>
        <w:t>供配电系统</w:t>
      </w:r>
      <w:r>
        <w:rPr>
          <w:rFonts w:hint="eastAsia"/>
          <w:lang w:eastAsia="zh-CN"/>
        </w:rPr>
        <w:t>验收</w:t>
      </w:r>
      <w:r>
        <w:t>检查表</w:t>
      </w:r>
    </w:p>
    <w:tbl>
      <w:tblPr>
        <w:tblStyle w:val="35"/>
        <w:tblW w:w="5075"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17"/>
        <w:gridCol w:w="1517"/>
        <w:gridCol w:w="728"/>
        <w:gridCol w:w="668"/>
        <w:gridCol w:w="4211"/>
        <w:gridCol w:w="1312"/>
        <w:gridCol w:w="662"/>
      </w:tblGrid>
      <w:tr w14:paraId="34B281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317" w:type="pct"/>
            <w:noWrap w:val="0"/>
            <w:vAlign w:val="center"/>
          </w:tcPr>
          <w:p w14:paraId="4A80D2A7">
            <w:pPr>
              <w:pStyle w:val="56"/>
              <w:bidi w:val="0"/>
            </w:pPr>
            <w:r>
              <w:t>序号</w:t>
            </w:r>
          </w:p>
        </w:tc>
        <w:tc>
          <w:tcPr>
            <w:tcW w:w="780" w:type="pct"/>
            <w:noWrap w:val="0"/>
            <w:vAlign w:val="center"/>
          </w:tcPr>
          <w:p w14:paraId="4C73FD7F">
            <w:pPr>
              <w:pStyle w:val="56"/>
              <w:bidi w:val="0"/>
            </w:pPr>
            <w:r>
              <w:t>检查项目</w:t>
            </w:r>
          </w:p>
        </w:tc>
        <w:tc>
          <w:tcPr>
            <w:tcW w:w="374" w:type="pct"/>
            <w:noWrap w:val="0"/>
            <w:vAlign w:val="top"/>
          </w:tcPr>
          <w:p w14:paraId="10D268B6">
            <w:pPr>
              <w:pStyle w:val="56"/>
              <w:bidi w:val="0"/>
            </w:pPr>
            <w:r>
              <w:t>安全设施类别</w:t>
            </w:r>
          </w:p>
        </w:tc>
        <w:tc>
          <w:tcPr>
            <w:tcW w:w="343" w:type="pct"/>
            <w:noWrap w:val="0"/>
            <w:vAlign w:val="center"/>
          </w:tcPr>
          <w:p w14:paraId="3DF3F855">
            <w:pPr>
              <w:pStyle w:val="56"/>
              <w:bidi w:val="0"/>
              <w:rPr>
                <w:rFonts w:hint="eastAsia"/>
              </w:rPr>
            </w:pPr>
            <w:r>
              <w:t>检查</w:t>
            </w:r>
          </w:p>
          <w:p w14:paraId="719EC0DA">
            <w:pPr>
              <w:pStyle w:val="56"/>
              <w:bidi w:val="0"/>
            </w:pPr>
            <w:r>
              <w:t>类别</w:t>
            </w:r>
          </w:p>
        </w:tc>
        <w:tc>
          <w:tcPr>
            <w:tcW w:w="2167" w:type="pct"/>
            <w:noWrap w:val="0"/>
            <w:vAlign w:val="center"/>
          </w:tcPr>
          <w:p w14:paraId="5877BD30">
            <w:pPr>
              <w:pStyle w:val="56"/>
              <w:bidi w:val="0"/>
            </w:pPr>
            <w:r>
              <w:t>检查内容、检查方法</w:t>
            </w:r>
          </w:p>
        </w:tc>
        <w:tc>
          <w:tcPr>
            <w:tcW w:w="675" w:type="pct"/>
            <w:noWrap w:val="0"/>
            <w:vAlign w:val="center"/>
          </w:tcPr>
          <w:p w14:paraId="42AC773C">
            <w:pPr>
              <w:pStyle w:val="56"/>
              <w:bidi w:val="0"/>
              <w:rPr>
                <w:rFonts w:hint="default" w:eastAsia="宋体"/>
                <w:lang w:val="en-US" w:eastAsia="zh-CN"/>
              </w:rPr>
            </w:pPr>
            <w:r>
              <w:rPr>
                <w:rFonts w:hint="eastAsia"/>
                <w:lang w:val="en-US" w:eastAsia="zh-CN"/>
              </w:rPr>
              <w:t>检查情况</w:t>
            </w:r>
          </w:p>
        </w:tc>
        <w:tc>
          <w:tcPr>
            <w:tcW w:w="340" w:type="pct"/>
            <w:noWrap w:val="0"/>
            <w:vAlign w:val="center"/>
          </w:tcPr>
          <w:p w14:paraId="1720E7D1">
            <w:pPr>
              <w:pStyle w:val="56"/>
              <w:bidi w:val="0"/>
              <w:rPr>
                <w:rFonts w:hint="eastAsia"/>
              </w:rPr>
            </w:pPr>
            <w:r>
              <w:t>检查</w:t>
            </w:r>
          </w:p>
          <w:p w14:paraId="5719B7F0">
            <w:pPr>
              <w:pStyle w:val="56"/>
              <w:bidi w:val="0"/>
            </w:pPr>
            <w:r>
              <w:t>结果</w:t>
            </w:r>
          </w:p>
        </w:tc>
      </w:tr>
      <w:tr w14:paraId="2D33D0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7" w:type="pct"/>
            <w:noWrap w:val="0"/>
            <w:vAlign w:val="center"/>
          </w:tcPr>
          <w:p w14:paraId="219FCA1D">
            <w:pPr>
              <w:pStyle w:val="55"/>
              <w:bidi w:val="0"/>
            </w:pPr>
            <w:r>
              <w:t>1</w:t>
            </w:r>
          </w:p>
        </w:tc>
        <w:tc>
          <w:tcPr>
            <w:tcW w:w="780" w:type="pct"/>
            <w:noWrap w:val="0"/>
            <w:vAlign w:val="center"/>
          </w:tcPr>
          <w:p w14:paraId="540429E8">
            <w:pPr>
              <w:pStyle w:val="55"/>
              <w:bidi w:val="0"/>
            </w:pPr>
            <w:r>
              <w:t>供配电系统</w:t>
            </w:r>
          </w:p>
        </w:tc>
        <w:tc>
          <w:tcPr>
            <w:tcW w:w="374" w:type="pct"/>
            <w:noWrap w:val="0"/>
            <w:vAlign w:val="top"/>
          </w:tcPr>
          <w:p w14:paraId="3C711116">
            <w:pPr>
              <w:pStyle w:val="55"/>
              <w:bidi w:val="0"/>
            </w:pPr>
          </w:p>
        </w:tc>
        <w:tc>
          <w:tcPr>
            <w:tcW w:w="343" w:type="pct"/>
            <w:noWrap w:val="0"/>
            <w:vAlign w:val="center"/>
          </w:tcPr>
          <w:p w14:paraId="23A1965E">
            <w:pPr>
              <w:pStyle w:val="55"/>
              <w:bidi w:val="0"/>
            </w:pPr>
          </w:p>
        </w:tc>
        <w:tc>
          <w:tcPr>
            <w:tcW w:w="2167" w:type="pct"/>
            <w:noWrap w:val="0"/>
            <w:vAlign w:val="center"/>
          </w:tcPr>
          <w:p w14:paraId="4FA6455F">
            <w:pPr>
              <w:pStyle w:val="55"/>
              <w:bidi w:val="0"/>
            </w:pPr>
          </w:p>
        </w:tc>
        <w:tc>
          <w:tcPr>
            <w:tcW w:w="675" w:type="pct"/>
            <w:noWrap w:val="0"/>
            <w:vAlign w:val="center"/>
          </w:tcPr>
          <w:p w14:paraId="0FFD60B7">
            <w:pPr>
              <w:pStyle w:val="55"/>
              <w:bidi w:val="0"/>
            </w:pPr>
          </w:p>
        </w:tc>
        <w:tc>
          <w:tcPr>
            <w:tcW w:w="340" w:type="pct"/>
            <w:noWrap w:val="0"/>
            <w:vAlign w:val="center"/>
          </w:tcPr>
          <w:p w14:paraId="6B538286">
            <w:pPr>
              <w:pStyle w:val="55"/>
              <w:bidi w:val="0"/>
            </w:pPr>
          </w:p>
        </w:tc>
      </w:tr>
      <w:tr w14:paraId="29F7DF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15" w:hRule="atLeast"/>
          <w:jc w:val="center"/>
        </w:trPr>
        <w:tc>
          <w:tcPr>
            <w:tcW w:w="317" w:type="pct"/>
            <w:noWrap w:val="0"/>
            <w:vAlign w:val="center"/>
          </w:tcPr>
          <w:p w14:paraId="6BF90FA2">
            <w:pPr>
              <w:pStyle w:val="55"/>
              <w:bidi w:val="0"/>
            </w:pPr>
            <w:r>
              <w:t>1.1</w:t>
            </w:r>
          </w:p>
        </w:tc>
        <w:tc>
          <w:tcPr>
            <w:tcW w:w="780" w:type="pct"/>
            <w:noWrap w:val="0"/>
            <w:vAlign w:val="center"/>
          </w:tcPr>
          <w:p w14:paraId="3DD3DD71">
            <w:pPr>
              <w:pStyle w:val="55"/>
              <w:bidi w:val="0"/>
            </w:pPr>
            <w:r>
              <w:t>矿山电源、线路、地面和井下供配电系统</w:t>
            </w:r>
          </w:p>
        </w:tc>
        <w:tc>
          <w:tcPr>
            <w:tcW w:w="374" w:type="pct"/>
            <w:noWrap w:val="0"/>
            <w:vAlign w:val="center"/>
          </w:tcPr>
          <w:p w14:paraId="0FE69B75">
            <w:pPr>
              <w:pStyle w:val="55"/>
              <w:bidi w:val="0"/>
            </w:pPr>
            <w:r>
              <w:t>基本</w:t>
            </w:r>
          </w:p>
        </w:tc>
        <w:tc>
          <w:tcPr>
            <w:tcW w:w="343" w:type="pct"/>
            <w:noWrap w:val="0"/>
            <w:vAlign w:val="center"/>
          </w:tcPr>
          <w:p w14:paraId="60319D0D">
            <w:pPr>
              <w:pStyle w:val="55"/>
              <w:bidi w:val="0"/>
            </w:pPr>
            <w:r>
              <w:t>■</w:t>
            </w:r>
          </w:p>
        </w:tc>
        <w:tc>
          <w:tcPr>
            <w:tcW w:w="2167" w:type="pct"/>
            <w:noWrap w:val="0"/>
            <w:vAlign w:val="center"/>
          </w:tcPr>
          <w:p w14:paraId="67445E6D">
            <w:pPr>
              <w:pStyle w:val="55"/>
              <w:bidi w:val="0"/>
            </w:pPr>
            <w:r>
              <w:t>检查内容：矿山</w:t>
            </w:r>
            <w:r>
              <w:rPr>
                <w:rFonts w:hint="eastAsia"/>
              </w:rPr>
              <w:t>上一级电源</w:t>
            </w:r>
            <w:r>
              <w:t>、线路回路数、配电级数、线路型号、规格、线路压降、主变压器容量是否与批复的安全设施设计一致。</w:t>
            </w:r>
          </w:p>
          <w:p w14:paraId="2A17CC95">
            <w:pPr>
              <w:pStyle w:val="55"/>
              <w:bidi w:val="0"/>
            </w:pPr>
            <w:r>
              <w:t>检查方法：查阅安全设施验收评价报告，现场</w:t>
            </w:r>
            <w:r>
              <w:rPr>
                <w:rFonts w:hint="eastAsia"/>
              </w:rPr>
              <w:t>检查</w:t>
            </w:r>
            <w:r>
              <w:t>。</w:t>
            </w:r>
          </w:p>
        </w:tc>
        <w:tc>
          <w:tcPr>
            <w:tcW w:w="675" w:type="pct"/>
            <w:noWrap w:val="0"/>
            <w:vAlign w:val="center"/>
          </w:tcPr>
          <w:p w14:paraId="070B43D0">
            <w:pPr>
              <w:pStyle w:val="55"/>
              <w:bidi w:val="0"/>
              <w:ind w:firstLine="0" w:firstLineChars="0"/>
            </w:pPr>
            <w:r>
              <w:rPr>
                <w:rFonts w:hint="eastAsia"/>
                <w:lang w:eastAsia="zh-CN"/>
              </w:rPr>
              <w:t>利旧。</w:t>
            </w:r>
          </w:p>
        </w:tc>
        <w:tc>
          <w:tcPr>
            <w:tcW w:w="340" w:type="pct"/>
            <w:noWrap w:val="0"/>
            <w:vAlign w:val="center"/>
          </w:tcPr>
          <w:p w14:paraId="613CBC42">
            <w:pPr>
              <w:pStyle w:val="55"/>
              <w:bidi w:val="0"/>
              <w:ind w:firstLine="0" w:firstLineChars="0"/>
              <w:rPr>
                <w:rFonts w:hint="eastAsia" w:eastAsia="宋体"/>
                <w:lang w:val="en-US" w:eastAsia="zh-CN"/>
              </w:rPr>
            </w:pPr>
            <w:r>
              <w:rPr>
                <w:rFonts w:hint="eastAsia"/>
                <w:lang w:val="en-US" w:eastAsia="zh-CN"/>
              </w:rPr>
              <w:t>符合</w:t>
            </w:r>
          </w:p>
        </w:tc>
      </w:tr>
      <w:tr w14:paraId="51128D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7" w:hRule="atLeast"/>
          <w:jc w:val="center"/>
        </w:trPr>
        <w:tc>
          <w:tcPr>
            <w:tcW w:w="317" w:type="pct"/>
            <w:noWrap w:val="0"/>
            <w:vAlign w:val="center"/>
          </w:tcPr>
          <w:p w14:paraId="4702C653">
            <w:pPr>
              <w:pStyle w:val="55"/>
              <w:bidi w:val="0"/>
            </w:pPr>
            <w:r>
              <w:t>1.2</w:t>
            </w:r>
          </w:p>
        </w:tc>
        <w:tc>
          <w:tcPr>
            <w:tcW w:w="780" w:type="pct"/>
            <w:noWrap w:val="0"/>
            <w:vAlign w:val="center"/>
          </w:tcPr>
          <w:p w14:paraId="7EF76283">
            <w:pPr>
              <w:pStyle w:val="55"/>
              <w:bidi w:val="0"/>
            </w:pPr>
            <w:r>
              <w:t>各级配电电压等级</w:t>
            </w:r>
          </w:p>
        </w:tc>
        <w:tc>
          <w:tcPr>
            <w:tcW w:w="374" w:type="pct"/>
            <w:noWrap w:val="0"/>
            <w:vAlign w:val="center"/>
          </w:tcPr>
          <w:p w14:paraId="3CBEB609">
            <w:pPr>
              <w:pStyle w:val="55"/>
              <w:bidi w:val="0"/>
            </w:pPr>
            <w:r>
              <w:t>基本</w:t>
            </w:r>
          </w:p>
        </w:tc>
        <w:tc>
          <w:tcPr>
            <w:tcW w:w="343" w:type="pct"/>
            <w:noWrap w:val="0"/>
            <w:vAlign w:val="center"/>
          </w:tcPr>
          <w:p w14:paraId="619C095F">
            <w:pPr>
              <w:pStyle w:val="55"/>
              <w:bidi w:val="0"/>
            </w:pPr>
            <w:r>
              <w:t>△</w:t>
            </w:r>
          </w:p>
        </w:tc>
        <w:tc>
          <w:tcPr>
            <w:tcW w:w="2167" w:type="pct"/>
            <w:noWrap w:val="0"/>
            <w:vAlign w:val="center"/>
          </w:tcPr>
          <w:p w14:paraId="129F9B42">
            <w:pPr>
              <w:pStyle w:val="55"/>
              <w:bidi w:val="0"/>
            </w:pPr>
            <w:r>
              <w:t>检查内容：各级配电电压等级是否与批复的安全设施设计一致。</w:t>
            </w:r>
          </w:p>
          <w:p w14:paraId="5139479E">
            <w:pPr>
              <w:pStyle w:val="55"/>
              <w:bidi w:val="0"/>
            </w:pPr>
            <w:r>
              <w:t>检查方法：查阅安全设施验收评价报告。</w:t>
            </w:r>
          </w:p>
        </w:tc>
        <w:tc>
          <w:tcPr>
            <w:tcW w:w="675" w:type="pct"/>
            <w:noWrap w:val="0"/>
            <w:vAlign w:val="center"/>
          </w:tcPr>
          <w:p w14:paraId="38DD0EA9">
            <w:pPr>
              <w:pStyle w:val="55"/>
              <w:bidi w:val="0"/>
              <w:ind w:firstLine="0" w:firstLineChars="0"/>
            </w:pPr>
            <w:r>
              <w:rPr>
                <w:rFonts w:hint="eastAsia"/>
                <w:lang w:eastAsia="zh-CN"/>
              </w:rPr>
              <w:t>利旧。</w:t>
            </w:r>
          </w:p>
        </w:tc>
        <w:tc>
          <w:tcPr>
            <w:tcW w:w="340" w:type="pct"/>
            <w:noWrap w:val="0"/>
            <w:vAlign w:val="center"/>
          </w:tcPr>
          <w:p w14:paraId="39A02251">
            <w:pPr>
              <w:pStyle w:val="55"/>
              <w:bidi w:val="0"/>
              <w:ind w:firstLine="0" w:firstLineChars="0"/>
              <w:rPr>
                <w:rFonts w:hint="eastAsia" w:eastAsia="宋体"/>
                <w:lang w:val="en-US" w:eastAsia="zh-CN"/>
              </w:rPr>
            </w:pPr>
            <w:r>
              <w:rPr>
                <w:rFonts w:hint="eastAsia"/>
                <w:lang w:val="en-US" w:eastAsia="zh-CN"/>
              </w:rPr>
              <w:t>符合</w:t>
            </w:r>
          </w:p>
        </w:tc>
      </w:tr>
      <w:tr w14:paraId="16237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317" w:type="pct"/>
            <w:noWrap w:val="0"/>
            <w:vAlign w:val="center"/>
          </w:tcPr>
          <w:p w14:paraId="693C86D0">
            <w:pPr>
              <w:pStyle w:val="55"/>
              <w:bidi w:val="0"/>
            </w:pPr>
            <w:r>
              <w:t>1.3</w:t>
            </w:r>
          </w:p>
        </w:tc>
        <w:tc>
          <w:tcPr>
            <w:tcW w:w="780" w:type="pct"/>
            <w:noWrap w:val="0"/>
            <w:vAlign w:val="center"/>
          </w:tcPr>
          <w:p w14:paraId="19467F64">
            <w:pPr>
              <w:pStyle w:val="55"/>
              <w:bidi w:val="0"/>
            </w:pPr>
            <w:r>
              <w:t>高、低压供配电中性点接地方式</w:t>
            </w:r>
          </w:p>
        </w:tc>
        <w:tc>
          <w:tcPr>
            <w:tcW w:w="374" w:type="pct"/>
            <w:noWrap w:val="0"/>
            <w:vAlign w:val="center"/>
          </w:tcPr>
          <w:p w14:paraId="7BED70AA">
            <w:pPr>
              <w:pStyle w:val="55"/>
              <w:bidi w:val="0"/>
            </w:pPr>
            <w:r>
              <w:t>基本</w:t>
            </w:r>
          </w:p>
        </w:tc>
        <w:tc>
          <w:tcPr>
            <w:tcW w:w="343" w:type="pct"/>
            <w:noWrap w:val="0"/>
            <w:vAlign w:val="center"/>
          </w:tcPr>
          <w:p w14:paraId="581DA059">
            <w:pPr>
              <w:pStyle w:val="55"/>
              <w:bidi w:val="0"/>
            </w:pPr>
            <w:r>
              <w:t>△</w:t>
            </w:r>
          </w:p>
        </w:tc>
        <w:tc>
          <w:tcPr>
            <w:tcW w:w="2167" w:type="pct"/>
            <w:noWrap w:val="0"/>
            <w:vAlign w:val="center"/>
          </w:tcPr>
          <w:p w14:paraId="4F47F8A6">
            <w:pPr>
              <w:pStyle w:val="55"/>
              <w:bidi w:val="0"/>
            </w:pPr>
            <w:r>
              <w:t>检查内容：中性点接地方式是否与批复的安全设施设计一致。</w:t>
            </w:r>
          </w:p>
          <w:p w14:paraId="3808CF03">
            <w:pPr>
              <w:pStyle w:val="55"/>
              <w:bidi w:val="0"/>
            </w:pPr>
            <w:r>
              <w:t>检查方法：查阅安全设施验收评价报告、现场抽查。</w:t>
            </w:r>
          </w:p>
        </w:tc>
        <w:tc>
          <w:tcPr>
            <w:tcW w:w="675" w:type="pct"/>
            <w:noWrap w:val="0"/>
            <w:vAlign w:val="center"/>
          </w:tcPr>
          <w:p w14:paraId="7656D537">
            <w:pPr>
              <w:pStyle w:val="55"/>
              <w:numPr>
                <w:ilvl w:val="0"/>
                <w:numId w:val="0"/>
              </w:numPr>
              <w:bidi w:val="0"/>
              <w:ind w:left="0" w:leftChars="0" w:firstLine="0" w:firstLineChars="0"/>
            </w:pPr>
            <w:r>
              <w:rPr>
                <w:rFonts w:hint="eastAsia"/>
                <w:lang w:eastAsia="zh-CN"/>
              </w:rPr>
              <w:t>利旧。</w:t>
            </w:r>
          </w:p>
        </w:tc>
        <w:tc>
          <w:tcPr>
            <w:tcW w:w="340" w:type="pct"/>
            <w:noWrap w:val="0"/>
            <w:vAlign w:val="center"/>
          </w:tcPr>
          <w:p w14:paraId="65896096">
            <w:pPr>
              <w:pStyle w:val="55"/>
              <w:bidi w:val="0"/>
              <w:ind w:firstLine="0" w:firstLineChars="0"/>
              <w:rPr>
                <w:rFonts w:hint="eastAsia" w:eastAsia="宋体"/>
                <w:lang w:val="en-US" w:eastAsia="zh-CN"/>
              </w:rPr>
            </w:pPr>
            <w:r>
              <w:rPr>
                <w:rFonts w:hint="eastAsia"/>
                <w:lang w:val="en-US" w:eastAsia="zh-CN"/>
              </w:rPr>
              <w:t>符合</w:t>
            </w:r>
          </w:p>
        </w:tc>
      </w:tr>
      <w:tr w14:paraId="122B4E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7" w:type="pct"/>
            <w:noWrap w:val="0"/>
            <w:vAlign w:val="center"/>
          </w:tcPr>
          <w:p w14:paraId="4F31EC3A">
            <w:pPr>
              <w:pStyle w:val="55"/>
              <w:bidi w:val="0"/>
            </w:pPr>
            <w:r>
              <w:t>2</w:t>
            </w:r>
          </w:p>
        </w:tc>
        <w:tc>
          <w:tcPr>
            <w:tcW w:w="780" w:type="pct"/>
            <w:noWrap w:val="0"/>
            <w:vAlign w:val="center"/>
          </w:tcPr>
          <w:p w14:paraId="159B25B5">
            <w:pPr>
              <w:pStyle w:val="55"/>
              <w:bidi w:val="0"/>
            </w:pPr>
            <w:r>
              <w:t>电气设备</w:t>
            </w:r>
          </w:p>
        </w:tc>
        <w:tc>
          <w:tcPr>
            <w:tcW w:w="374" w:type="pct"/>
            <w:noWrap w:val="0"/>
            <w:vAlign w:val="center"/>
          </w:tcPr>
          <w:p w14:paraId="25564CFE">
            <w:pPr>
              <w:pStyle w:val="55"/>
              <w:bidi w:val="0"/>
            </w:pPr>
          </w:p>
        </w:tc>
        <w:tc>
          <w:tcPr>
            <w:tcW w:w="343" w:type="pct"/>
            <w:noWrap w:val="0"/>
            <w:vAlign w:val="center"/>
          </w:tcPr>
          <w:p w14:paraId="33BA7943">
            <w:pPr>
              <w:pStyle w:val="55"/>
              <w:bidi w:val="0"/>
            </w:pPr>
          </w:p>
        </w:tc>
        <w:tc>
          <w:tcPr>
            <w:tcW w:w="2167" w:type="pct"/>
            <w:noWrap w:val="0"/>
            <w:vAlign w:val="center"/>
          </w:tcPr>
          <w:p w14:paraId="1B4F0D62">
            <w:pPr>
              <w:pStyle w:val="55"/>
              <w:bidi w:val="0"/>
            </w:pPr>
          </w:p>
        </w:tc>
        <w:tc>
          <w:tcPr>
            <w:tcW w:w="675" w:type="pct"/>
            <w:noWrap w:val="0"/>
            <w:vAlign w:val="center"/>
          </w:tcPr>
          <w:p w14:paraId="69B15668">
            <w:pPr>
              <w:pStyle w:val="55"/>
              <w:bidi w:val="0"/>
              <w:ind w:firstLine="0" w:firstLineChars="0"/>
            </w:pPr>
          </w:p>
        </w:tc>
        <w:tc>
          <w:tcPr>
            <w:tcW w:w="340" w:type="pct"/>
            <w:noWrap w:val="0"/>
            <w:vAlign w:val="center"/>
          </w:tcPr>
          <w:p w14:paraId="426C69AB">
            <w:pPr>
              <w:pStyle w:val="55"/>
              <w:bidi w:val="0"/>
              <w:ind w:firstLine="0" w:firstLineChars="0"/>
            </w:pPr>
          </w:p>
        </w:tc>
      </w:tr>
      <w:tr w14:paraId="2B0937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7" w:type="pct"/>
            <w:noWrap w:val="0"/>
            <w:vAlign w:val="center"/>
          </w:tcPr>
          <w:p w14:paraId="360195C6">
            <w:pPr>
              <w:pStyle w:val="55"/>
              <w:bidi w:val="0"/>
            </w:pPr>
            <w:r>
              <w:t>2.1</w:t>
            </w:r>
          </w:p>
        </w:tc>
        <w:tc>
          <w:tcPr>
            <w:tcW w:w="780" w:type="pct"/>
            <w:noWrap w:val="0"/>
            <w:vAlign w:val="center"/>
          </w:tcPr>
          <w:p w14:paraId="75146440">
            <w:pPr>
              <w:pStyle w:val="55"/>
              <w:bidi w:val="0"/>
            </w:pPr>
            <w:r>
              <w:t>电气设备类型</w:t>
            </w:r>
          </w:p>
        </w:tc>
        <w:tc>
          <w:tcPr>
            <w:tcW w:w="374" w:type="pct"/>
            <w:noWrap w:val="0"/>
            <w:vAlign w:val="center"/>
          </w:tcPr>
          <w:p w14:paraId="25ABF4AB">
            <w:pPr>
              <w:pStyle w:val="55"/>
              <w:bidi w:val="0"/>
            </w:pPr>
            <w:r>
              <w:t>基本</w:t>
            </w:r>
          </w:p>
        </w:tc>
        <w:tc>
          <w:tcPr>
            <w:tcW w:w="343" w:type="pct"/>
            <w:noWrap w:val="0"/>
            <w:vAlign w:val="center"/>
          </w:tcPr>
          <w:p w14:paraId="5821BF85">
            <w:pPr>
              <w:pStyle w:val="55"/>
              <w:bidi w:val="0"/>
            </w:pPr>
            <w:r>
              <w:t>△</w:t>
            </w:r>
          </w:p>
        </w:tc>
        <w:tc>
          <w:tcPr>
            <w:tcW w:w="2167" w:type="pct"/>
            <w:noWrap w:val="0"/>
            <w:vAlign w:val="center"/>
          </w:tcPr>
          <w:p w14:paraId="79A2ED8F">
            <w:pPr>
              <w:pStyle w:val="55"/>
              <w:bidi w:val="0"/>
            </w:pPr>
            <w:r>
              <w:t>检查内容：高压开关柜、软启动柜、变压器等电气设备型号、规格是否与批复的安全设施设计一致。</w:t>
            </w:r>
          </w:p>
          <w:p w14:paraId="415775C3">
            <w:pPr>
              <w:pStyle w:val="55"/>
              <w:bidi w:val="0"/>
            </w:pPr>
            <w:r>
              <w:t>检查方法：查阅安全设施验收评价报告、现场抽查。</w:t>
            </w:r>
          </w:p>
        </w:tc>
        <w:tc>
          <w:tcPr>
            <w:tcW w:w="675" w:type="pct"/>
            <w:noWrap w:val="0"/>
            <w:vAlign w:val="center"/>
          </w:tcPr>
          <w:p w14:paraId="06E687A4">
            <w:pPr>
              <w:pStyle w:val="55"/>
              <w:bidi w:val="0"/>
              <w:ind w:firstLine="0" w:firstLineChars="0"/>
            </w:pPr>
            <w:r>
              <w:rPr>
                <w:rFonts w:hint="default" w:ascii="Times New Roman" w:hAnsi="Times New Roman" w:eastAsia="宋体" w:cs="Times New Roman"/>
                <w:color w:val="auto"/>
                <w:spacing w:val="0"/>
                <w:w w:val="100"/>
                <w:position w:val="0"/>
                <w:sz w:val="21"/>
                <w:szCs w:val="21"/>
              </w:rPr>
              <w:t>矿山</w:t>
            </w:r>
            <w:r>
              <w:rPr>
                <w:rFonts w:hint="eastAsia" w:cs="Times New Roman"/>
                <w:color w:val="auto"/>
                <w:spacing w:val="0"/>
                <w:w w:val="100"/>
                <w:position w:val="0"/>
                <w:sz w:val="21"/>
                <w:szCs w:val="21"/>
                <w:lang w:val="en-US" w:eastAsia="zh-CN"/>
              </w:rPr>
              <w:t>配备250</w:t>
            </w:r>
            <w:r>
              <w:rPr>
                <w:rFonts w:hint="default" w:ascii="Times New Roman" w:hAnsi="Times New Roman" w:eastAsia="宋体" w:cs="Times New Roman"/>
                <w:color w:val="auto"/>
                <w:spacing w:val="0"/>
                <w:w w:val="100"/>
                <w:position w:val="0"/>
                <w:sz w:val="21"/>
                <w:szCs w:val="21"/>
              </w:rPr>
              <w:t>kVA变压器进行降压供电</w:t>
            </w:r>
            <w:r>
              <w:rPr>
                <w:rFonts w:hint="default" w:ascii="Times New Roman" w:hAnsi="Times New Roman" w:eastAsia="宋体" w:cs="Times New Roman"/>
                <w:color w:val="auto"/>
                <w:spacing w:val="0"/>
                <w:w w:val="100"/>
                <w:position w:val="0"/>
                <w:sz w:val="21"/>
                <w:szCs w:val="21"/>
                <w:lang w:eastAsia="zh-CN"/>
              </w:rPr>
              <w:t>，已配备相应的配电柜等。</w:t>
            </w:r>
          </w:p>
        </w:tc>
        <w:tc>
          <w:tcPr>
            <w:tcW w:w="340" w:type="pct"/>
            <w:noWrap w:val="0"/>
            <w:vAlign w:val="center"/>
          </w:tcPr>
          <w:p w14:paraId="654A8600">
            <w:pPr>
              <w:pStyle w:val="55"/>
              <w:bidi w:val="0"/>
              <w:ind w:firstLine="0" w:firstLineChars="0"/>
              <w:rPr>
                <w:rFonts w:hint="eastAsia" w:eastAsia="宋体"/>
                <w:lang w:val="en-US" w:eastAsia="zh-CN"/>
              </w:rPr>
            </w:pPr>
            <w:r>
              <w:rPr>
                <w:rFonts w:hint="eastAsia"/>
                <w:lang w:val="en-US" w:eastAsia="zh-CN"/>
              </w:rPr>
              <w:t>符合</w:t>
            </w:r>
          </w:p>
        </w:tc>
      </w:tr>
      <w:tr w14:paraId="3C3DBC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7" w:type="pct"/>
            <w:noWrap w:val="0"/>
            <w:vAlign w:val="center"/>
          </w:tcPr>
          <w:p w14:paraId="77393A3D">
            <w:pPr>
              <w:pStyle w:val="55"/>
              <w:bidi w:val="0"/>
            </w:pPr>
            <w:r>
              <w:t>2.2</w:t>
            </w:r>
          </w:p>
        </w:tc>
        <w:tc>
          <w:tcPr>
            <w:tcW w:w="780" w:type="pct"/>
            <w:noWrap w:val="0"/>
            <w:vAlign w:val="center"/>
          </w:tcPr>
          <w:p w14:paraId="1B1FA354">
            <w:pPr>
              <w:pStyle w:val="55"/>
              <w:bidi w:val="0"/>
            </w:pPr>
            <w:r>
              <w:t>排水系统的供配电设施</w:t>
            </w:r>
          </w:p>
        </w:tc>
        <w:tc>
          <w:tcPr>
            <w:tcW w:w="374" w:type="pct"/>
            <w:noWrap w:val="0"/>
            <w:vAlign w:val="center"/>
          </w:tcPr>
          <w:p w14:paraId="7F674462">
            <w:pPr>
              <w:pStyle w:val="55"/>
              <w:bidi w:val="0"/>
            </w:pPr>
            <w:r>
              <w:t>基本</w:t>
            </w:r>
          </w:p>
        </w:tc>
        <w:tc>
          <w:tcPr>
            <w:tcW w:w="343" w:type="pct"/>
            <w:noWrap w:val="0"/>
            <w:vAlign w:val="center"/>
          </w:tcPr>
          <w:p w14:paraId="60996208">
            <w:pPr>
              <w:pStyle w:val="55"/>
              <w:bidi w:val="0"/>
            </w:pPr>
            <w:r>
              <w:t>△</w:t>
            </w:r>
          </w:p>
        </w:tc>
        <w:tc>
          <w:tcPr>
            <w:tcW w:w="2167" w:type="pct"/>
            <w:noWrap w:val="0"/>
            <w:vAlign w:val="center"/>
          </w:tcPr>
          <w:p w14:paraId="62101E91">
            <w:pPr>
              <w:pStyle w:val="55"/>
              <w:bidi w:val="0"/>
            </w:pPr>
            <w:r>
              <w:t>检查内容：高压开关柜、软启动柜、变压器等电气设备型号、规格是否与批复的安全设施设计一致。</w:t>
            </w:r>
          </w:p>
          <w:p w14:paraId="434186FA">
            <w:pPr>
              <w:pStyle w:val="55"/>
              <w:bidi w:val="0"/>
            </w:pPr>
            <w:r>
              <w:t>检查方法：查阅安全设施验收评价报告、现场抽查。</w:t>
            </w:r>
          </w:p>
        </w:tc>
        <w:tc>
          <w:tcPr>
            <w:tcW w:w="675" w:type="pct"/>
            <w:noWrap w:val="0"/>
            <w:vAlign w:val="center"/>
          </w:tcPr>
          <w:p w14:paraId="2064499D">
            <w:pPr>
              <w:pStyle w:val="55"/>
              <w:bidi w:val="0"/>
              <w:ind w:firstLine="0" w:firstLineChars="0"/>
            </w:pPr>
            <w:r>
              <w:rPr>
                <w:rFonts w:hint="eastAsia"/>
                <w:lang w:val="en-US" w:eastAsia="zh-CN"/>
              </w:rPr>
              <w:t>基建期无须设置</w:t>
            </w:r>
          </w:p>
        </w:tc>
        <w:tc>
          <w:tcPr>
            <w:tcW w:w="340" w:type="pct"/>
            <w:noWrap w:val="0"/>
            <w:vAlign w:val="center"/>
          </w:tcPr>
          <w:p w14:paraId="527CF63A">
            <w:pPr>
              <w:pStyle w:val="55"/>
              <w:bidi w:val="0"/>
              <w:ind w:firstLine="0" w:firstLineChars="0"/>
              <w:rPr>
                <w:rFonts w:hint="eastAsia" w:eastAsia="宋体"/>
                <w:lang w:val="en-US" w:eastAsia="zh-CN"/>
              </w:rPr>
            </w:pPr>
            <w:r>
              <w:rPr>
                <w:rFonts w:hint="eastAsia"/>
                <w:lang w:val="en-US" w:eastAsia="zh-CN"/>
              </w:rPr>
              <w:t>符合</w:t>
            </w:r>
          </w:p>
        </w:tc>
      </w:tr>
      <w:tr w14:paraId="668249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17" w:type="pct"/>
            <w:noWrap w:val="0"/>
            <w:vAlign w:val="center"/>
          </w:tcPr>
          <w:p w14:paraId="35E9052B">
            <w:pPr>
              <w:pStyle w:val="55"/>
              <w:bidi w:val="0"/>
            </w:pPr>
            <w:r>
              <w:t>2.3</w:t>
            </w:r>
          </w:p>
        </w:tc>
        <w:tc>
          <w:tcPr>
            <w:tcW w:w="780" w:type="pct"/>
            <w:noWrap w:val="0"/>
            <w:vAlign w:val="center"/>
          </w:tcPr>
          <w:p w14:paraId="0CE80972">
            <w:pPr>
              <w:pStyle w:val="55"/>
              <w:bidi w:val="0"/>
            </w:pPr>
            <w:r>
              <w:t>变、配电室的金属丝网门</w:t>
            </w:r>
          </w:p>
        </w:tc>
        <w:tc>
          <w:tcPr>
            <w:tcW w:w="374" w:type="pct"/>
            <w:noWrap w:val="0"/>
            <w:vAlign w:val="center"/>
          </w:tcPr>
          <w:p w14:paraId="360B994D">
            <w:pPr>
              <w:pStyle w:val="55"/>
              <w:bidi w:val="0"/>
            </w:pPr>
            <w:r>
              <w:t>基本</w:t>
            </w:r>
          </w:p>
        </w:tc>
        <w:tc>
          <w:tcPr>
            <w:tcW w:w="343" w:type="pct"/>
            <w:noWrap w:val="0"/>
            <w:vAlign w:val="center"/>
          </w:tcPr>
          <w:p w14:paraId="5AC02AFA">
            <w:pPr>
              <w:pStyle w:val="55"/>
              <w:bidi w:val="0"/>
            </w:pPr>
            <w:r>
              <w:t>△</w:t>
            </w:r>
          </w:p>
        </w:tc>
        <w:tc>
          <w:tcPr>
            <w:tcW w:w="2167" w:type="pct"/>
            <w:noWrap w:val="0"/>
            <w:vAlign w:val="center"/>
          </w:tcPr>
          <w:p w14:paraId="062B6588">
            <w:pPr>
              <w:pStyle w:val="55"/>
              <w:bidi w:val="0"/>
            </w:pPr>
            <w:r>
              <w:t>检查内容：变、配电室的金属丝网门的设置是否与批复的安全设施设计一致。</w:t>
            </w:r>
          </w:p>
          <w:p w14:paraId="49D71E3D">
            <w:pPr>
              <w:pStyle w:val="55"/>
              <w:bidi w:val="0"/>
            </w:pPr>
            <w:r>
              <w:t>检查方法：查阅安全设施验收评价报告、现场抽查。</w:t>
            </w:r>
          </w:p>
        </w:tc>
        <w:tc>
          <w:tcPr>
            <w:tcW w:w="675" w:type="pct"/>
            <w:noWrap w:val="0"/>
            <w:vAlign w:val="center"/>
          </w:tcPr>
          <w:p w14:paraId="10899AA0">
            <w:pPr>
              <w:pStyle w:val="55"/>
              <w:bidi w:val="0"/>
              <w:ind w:firstLine="0" w:firstLineChars="0"/>
            </w:pPr>
            <w:r>
              <w:t>变、配电室门为金属材质（铁门）。</w:t>
            </w:r>
          </w:p>
        </w:tc>
        <w:tc>
          <w:tcPr>
            <w:tcW w:w="340" w:type="pct"/>
            <w:noWrap w:val="0"/>
            <w:vAlign w:val="center"/>
          </w:tcPr>
          <w:p w14:paraId="344A479F">
            <w:pPr>
              <w:pStyle w:val="55"/>
              <w:bidi w:val="0"/>
              <w:ind w:firstLine="0" w:firstLineChars="0"/>
              <w:rPr>
                <w:rFonts w:hint="eastAsia" w:eastAsia="宋体"/>
                <w:lang w:val="en-US" w:eastAsia="zh-CN"/>
              </w:rPr>
            </w:pPr>
            <w:r>
              <w:rPr>
                <w:rFonts w:hint="eastAsia"/>
                <w:lang w:val="en-US" w:eastAsia="zh-CN"/>
              </w:rPr>
              <w:t>符合</w:t>
            </w:r>
          </w:p>
        </w:tc>
      </w:tr>
      <w:tr w14:paraId="20428F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317" w:type="pct"/>
            <w:noWrap w:val="0"/>
            <w:vAlign w:val="center"/>
          </w:tcPr>
          <w:p w14:paraId="7290BC46">
            <w:pPr>
              <w:pStyle w:val="55"/>
              <w:bidi w:val="0"/>
            </w:pPr>
            <w:r>
              <w:t>3</w:t>
            </w:r>
          </w:p>
        </w:tc>
        <w:tc>
          <w:tcPr>
            <w:tcW w:w="780" w:type="pct"/>
            <w:noWrap w:val="0"/>
            <w:vAlign w:val="center"/>
          </w:tcPr>
          <w:p w14:paraId="4F039DCB">
            <w:pPr>
              <w:pStyle w:val="55"/>
              <w:bidi w:val="0"/>
            </w:pPr>
            <w:r>
              <w:t>架空线路及电缆</w:t>
            </w:r>
          </w:p>
        </w:tc>
        <w:tc>
          <w:tcPr>
            <w:tcW w:w="374" w:type="pct"/>
            <w:noWrap w:val="0"/>
            <w:vAlign w:val="center"/>
          </w:tcPr>
          <w:p w14:paraId="7453F8A1">
            <w:pPr>
              <w:pStyle w:val="55"/>
              <w:bidi w:val="0"/>
            </w:pPr>
          </w:p>
        </w:tc>
        <w:tc>
          <w:tcPr>
            <w:tcW w:w="343" w:type="pct"/>
            <w:noWrap w:val="0"/>
            <w:vAlign w:val="center"/>
          </w:tcPr>
          <w:p w14:paraId="0462A9A7">
            <w:pPr>
              <w:pStyle w:val="55"/>
              <w:bidi w:val="0"/>
            </w:pPr>
          </w:p>
        </w:tc>
        <w:tc>
          <w:tcPr>
            <w:tcW w:w="2167" w:type="pct"/>
            <w:noWrap w:val="0"/>
            <w:vAlign w:val="center"/>
          </w:tcPr>
          <w:p w14:paraId="59424CD9">
            <w:pPr>
              <w:pStyle w:val="55"/>
              <w:bidi w:val="0"/>
            </w:pPr>
          </w:p>
        </w:tc>
        <w:tc>
          <w:tcPr>
            <w:tcW w:w="675" w:type="pct"/>
            <w:noWrap w:val="0"/>
            <w:vAlign w:val="center"/>
          </w:tcPr>
          <w:p w14:paraId="5B6CA7DF">
            <w:pPr>
              <w:pStyle w:val="55"/>
              <w:bidi w:val="0"/>
              <w:rPr>
                <w:rFonts w:hint="default" w:eastAsia="宋体"/>
                <w:lang w:val="en-US" w:eastAsia="zh-CN"/>
              </w:rPr>
            </w:pPr>
            <w:r>
              <w:rPr>
                <w:rFonts w:hint="eastAsia"/>
                <w:lang w:val="en-US" w:eastAsia="zh-CN"/>
              </w:rPr>
              <w:t>采场无架空线路</w:t>
            </w:r>
          </w:p>
        </w:tc>
        <w:tc>
          <w:tcPr>
            <w:tcW w:w="340" w:type="pct"/>
            <w:noWrap w:val="0"/>
            <w:vAlign w:val="center"/>
          </w:tcPr>
          <w:p w14:paraId="677F3906">
            <w:pPr>
              <w:pStyle w:val="55"/>
              <w:bidi w:val="0"/>
              <w:rPr>
                <w:rFonts w:hint="default" w:eastAsia="宋体"/>
                <w:lang w:val="en-US" w:eastAsia="zh-CN"/>
              </w:rPr>
            </w:pPr>
            <w:r>
              <w:rPr>
                <w:rFonts w:hint="eastAsia"/>
                <w:lang w:val="en-US" w:eastAsia="zh-CN"/>
              </w:rPr>
              <w:t>不涉及</w:t>
            </w:r>
          </w:p>
        </w:tc>
      </w:tr>
      <w:tr w14:paraId="364421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97" w:hRule="atLeast"/>
          <w:jc w:val="center"/>
        </w:trPr>
        <w:tc>
          <w:tcPr>
            <w:tcW w:w="317" w:type="pct"/>
            <w:noWrap w:val="0"/>
            <w:vAlign w:val="center"/>
          </w:tcPr>
          <w:p w14:paraId="3F7640F2">
            <w:pPr>
              <w:pStyle w:val="55"/>
              <w:bidi w:val="0"/>
            </w:pPr>
            <w:r>
              <w:t>3.1</w:t>
            </w:r>
          </w:p>
        </w:tc>
        <w:tc>
          <w:tcPr>
            <w:tcW w:w="780" w:type="pct"/>
            <w:noWrap w:val="0"/>
            <w:vAlign w:val="center"/>
          </w:tcPr>
          <w:p w14:paraId="7B21A8F7">
            <w:pPr>
              <w:pStyle w:val="55"/>
              <w:bidi w:val="0"/>
            </w:pPr>
            <w:r>
              <w:t>采场架空线路</w:t>
            </w:r>
          </w:p>
        </w:tc>
        <w:tc>
          <w:tcPr>
            <w:tcW w:w="374" w:type="pct"/>
            <w:noWrap w:val="0"/>
            <w:vAlign w:val="center"/>
          </w:tcPr>
          <w:p w14:paraId="432B3849">
            <w:pPr>
              <w:pStyle w:val="55"/>
              <w:bidi w:val="0"/>
            </w:pPr>
            <w:r>
              <w:t>基本</w:t>
            </w:r>
          </w:p>
        </w:tc>
        <w:tc>
          <w:tcPr>
            <w:tcW w:w="343" w:type="pct"/>
            <w:noWrap w:val="0"/>
            <w:vAlign w:val="center"/>
          </w:tcPr>
          <w:p w14:paraId="6BD4F058">
            <w:pPr>
              <w:pStyle w:val="55"/>
              <w:bidi w:val="0"/>
            </w:pPr>
            <w:r>
              <w:t>△</w:t>
            </w:r>
          </w:p>
        </w:tc>
        <w:tc>
          <w:tcPr>
            <w:tcW w:w="2167" w:type="pct"/>
            <w:noWrap w:val="0"/>
            <w:vAlign w:val="center"/>
          </w:tcPr>
          <w:p w14:paraId="6FB2255C">
            <w:pPr>
              <w:pStyle w:val="55"/>
              <w:bidi w:val="0"/>
            </w:pPr>
            <w:r>
              <w:t>检查内容：检查架空线路载流导体型号、规格是否与批复的安全设施设计一致。</w:t>
            </w:r>
          </w:p>
          <w:p w14:paraId="1B9B0A35">
            <w:pPr>
              <w:pStyle w:val="55"/>
              <w:bidi w:val="0"/>
            </w:pPr>
            <w:r>
              <w:t>检查方法：查阅安全设施验收评价报告。</w:t>
            </w:r>
          </w:p>
        </w:tc>
        <w:tc>
          <w:tcPr>
            <w:tcW w:w="675" w:type="pct"/>
            <w:noWrap w:val="0"/>
            <w:vAlign w:val="center"/>
          </w:tcPr>
          <w:p w14:paraId="5F6C716D">
            <w:pPr>
              <w:pStyle w:val="55"/>
              <w:bidi w:val="0"/>
            </w:pPr>
          </w:p>
        </w:tc>
        <w:tc>
          <w:tcPr>
            <w:tcW w:w="340" w:type="pct"/>
            <w:noWrap w:val="0"/>
            <w:vAlign w:val="center"/>
          </w:tcPr>
          <w:p w14:paraId="5AFE10CA">
            <w:pPr>
              <w:pStyle w:val="55"/>
              <w:bidi w:val="0"/>
              <w:rPr>
                <w:rFonts w:hint="eastAsia" w:eastAsia="宋体"/>
                <w:lang w:val="en-US" w:eastAsia="zh-CN"/>
              </w:rPr>
            </w:pPr>
            <w:r>
              <w:rPr>
                <w:rFonts w:hint="eastAsia"/>
                <w:lang w:val="en-US" w:eastAsia="zh-CN"/>
              </w:rPr>
              <w:t>不涉及</w:t>
            </w:r>
          </w:p>
        </w:tc>
      </w:tr>
      <w:tr w14:paraId="6D32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43" w:hRule="atLeast"/>
          <w:jc w:val="center"/>
        </w:trPr>
        <w:tc>
          <w:tcPr>
            <w:tcW w:w="317" w:type="pct"/>
            <w:noWrap w:val="0"/>
            <w:vAlign w:val="center"/>
          </w:tcPr>
          <w:p w14:paraId="674BE704">
            <w:pPr>
              <w:pStyle w:val="55"/>
              <w:bidi w:val="0"/>
            </w:pPr>
            <w:r>
              <w:t>3.2</w:t>
            </w:r>
          </w:p>
        </w:tc>
        <w:tc>
          <w:tcPr>
            <w:tcW w:w="780" w:type="pct"/>
            <w:noWrap w:val="0"/>
            <w:vAlign w:val="center"/>
          </w:tcPr>
          <w:p w14:paraId="0D914534">
            <w:pPr>
              <w:pStyle w:val="55"/>
              <w:bidi w:val="0"/>
            </w:pPr>
            <w:r>
              <w:t>高、低压电缆</w:t>
            </w:r>
          </w:p>
        </w:tc>
        <w:tc>
          <w:tcPr>
            <w:tcW w:w="374" w:type="pct"/>
            <w:noWrap w:val="0"/>
            <w:vAlign w:val="center"/>
          </w:tcPr>
          <w:p w14:paraId="2FDC2027">
            <w:pPr>
              <w:pStyle w:val="55"/>
              <w:bidi w:val="0"/>
            </w:pPr>
            <w:r>
              <w:t>基本</w:t>
            </w:r>
          </w:p>
        </w:tc>
        <w:tc>
          <w:tcPr>
            <w:tcW w:w="343" w:type="pct"/>
            <w:noWrap w:val="0"/>
            <w:vAlign w:val="center"/>
          </w:tcPr>
          <w:p w14:paraId="3E648731">
            <w:pPr>
              <w:pStyle w:val="55"/>
              <w:bidi w:val="0"/>
            </w:pPr>
            <w:r>
              <w:t>△</w:t>
            </w:r>
          </w:p>
        </w:tc>
        <w:tc>
          <w:tcPr>
            <w:tcW w:w="2167" w:type="pct"/>
            <w:noWrap w:val="0"/>
            <w:vAlign w:val="center"/>
          </w:tcPr>
          <w:p w14:paraId="2C44A903">
            <w:pPr>
              <w:pStyle w:val="55"/>
              <w:bidi w:val="0"/>
            </w:pPr>
            <w:r>
              <w:t>检查内容：检查环行线、采场内架空线、向移动式设备以及照明线路的高低压电缆型号、规格是否与批复的安全设施设计一致。</w:t>
            </w:r>
          </w:p>
          <w:p w14:paraId="02B87BDA">
            <w:pPr>
              <w:pStyle w:val="55"/>
              <w:bidi w:val="0"/>
            </w:pPr>
            <w:r>
              <w:t>检查方法：查阅安全设施验收评价报告。</w:t>
            </w:r>
          </w:p>
        </w:tc>
        <w:tc>
          <w:tcPr>
            <w:tcW w:w="675" w:type="pct"/>
            <w:noWrap w:val="0"/>
            <w:vAlign w:val="center"/>
          </w:tcPr>
          <w:p w14:paraId="0B301A6C">
            <w:pPr>
              <w:pStyle w:val="55"/>
              <w:bidi w:val="0"/>
            </w:pPr>
          </w:p>
        </w:tc>
        <w:tc>
          <w:tcPr>
            <w:tcW w:w="340" w:type="pct"/>
            <w:noWrap w:val="0"/>
            <w:vAlign w:val="center"/>
          </w:tcPr>
          <w:p w14:paraId="7351D2E1">
            <w:pPr>
              <w:pStyle w:val="55"/>
              <w:bidi w:val="0"/>
              <w:rPr>
                <w:rFonts w:hint="eastAsia" w:eastAsia="宋体"/>
                <w:lang w:val="en-US" w:eastAsia="zh-CN"/>
              </w:rPr>
            </w:pPr>
            <w:r>
              <w:rPr>
                <w:rFonts w:hint="eastAsia"/>
                <w:lang w:val="en-US" w:eastAsia="zh-CN"/>
              </w:rPr>
              <w:t>不涉及</w:t>
            </w:r>
          </w:p>
        </w:tc>
      </w:tr>
      <w:tr w14:paraId="4B595B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2" w:hRule="atLeast"/>
          <w:jc w:val="center"/>
        </w:trPr>
        <w:tc>
          <w:tcPr>
            <w:tcW w:w="317" w:type="pct"/>
            <w:noWrap w:val="0"/>
            <w:vAlign w:val="center"/>
          </w:tcPr>
          <w:p w14:paraId="1EABF358">
            <w:pPr>
              <w:pStyle w:val="55"/>
              <w:bidi w:val="0"/>
            </w:pPr>
            <w:r>
              <w:t>4</w:t>
            </w:r>
          </w:p>
        </w:tc>
        <w:tc>
          <w:tcPr>
            <w:tcW w:w="780" w:type="pct"/>
            <w:noWrap w:val="0"/>
            <w:vAlign w:val="center"/>
          </w:tcPr>
          <w:p w14:paraId="17310C52">
            <w:pPr>
              <w:pStyle w:val="55"/>
              <w:bidi w:val="0"/>
            </w:pPr>
            <w:r>
              <w:t>防雷及电气保护</w:t>
            </w:r>
          </w:p>
        </w:tc>
        <w:tc>
          <w:tcPr>
            <w:tcW w:w="374" w:type="pct"/>
            <w:noWrap w:val="0"/>
            <w:vAlign w:val="center"/>
          </w:tcPr>
          <w:p w14:paraId="1124ACA8">
            <w:pPr>
              <w:pStyle w:val="55"/>
              <w:bidi w:val="0"/>
            </w:pPr>
          </w:p>
        </w:tc>
        <w:tc>
          <w:tcPr>
            <w:tcW w:w="343" w:type="pct"/>
            <w:noWrap w:val="0"/>
            <w:vAlign w:val="center"/>
          </w:tcPr>
          <w:p w14:paraId="1470C0D5">
            <w:pPr>
              <w:pStyle w:val="55"/>
              <w:bidi w:val="0"/>
            </w:pPr>
          </w:p>
        </w:tc>
        <w:tc>
          <w:tcPr>
            <w:tcW w:w="2167" w:type="pct"/>
            <w:noWrap w:val="0"/>
            <w:vAlign w:val="center"/>
          </w:tcPr>
          <w:p w14:paraId="4B103534">
            <w:pPr>
              <w:pStyle w:val="55"/>
              <w:bidi w:val="0"/>
            </w:pPr>
          </w:p>
        </w:tc>
        <w:tc>
          <w:tcPr>
            <w:tcW w:w="675" w:type="pct"/>
            <w:noWrap w:val="0"/>
            <w:vAlign w:val="center"/>
          </w:tcPr>
          <w:p w14:paraId="22032235">
            <w:pPr>
              <w:pStyle w:val="55"/>
              <w:bidi w:val="0"/>
            </w:pPr>
          </w:p>
        </w:tc>
        <w:tc>
          <w:tcPr>
            <w:tcW w:w="340" w:type="pct"/>
            <w:noWrap w:val="0"/>
            <w:vAlign w:val="center"/>
          </w:tcPr>
          <w:p w14:paraId="6A0B5658">
            <w:pPr>
              <w:pStyle w:val="55"/>
              <w:bidi w:val="0"/>
            </w:pPr>
          </w:p>
        </w:tc>
      </w:tr>
      <w:tr w14:paraId="6FCAD5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317" w:type="pct"/>
            <w:noWrap w:val="0"/>
            <w:vAlign w:val="center"/>
          </w:tcPr>
          <w:p w14:paraId="6743D487">
            <w:pPr>
              <w:pStyle w:val="55"/>
              <w:bidi w:val="0"/>
            </w:pPr>
            <w:r>
              <w:t>4.1</w:t>
            </w:r>
          </w:p>
        </w:tc>
        <w:tc>
          <w:tcPr>
            <w:tcW w:w="780" w:type="pct"/>
            <w:noWrap w:val="0"/>
            <w:vAlign w:val="center"/>
          </w:tcPr>
          <w:p w14:paraId="021F7EAB">
            <w:pPr>
              <w:pStyle w:val="55"/>
              <w:bidi w:val="0"/>
            </w:pPr>
            <w:r>
              <w:t>地面建筑物防雷设施</w:t>
            </w:r>
          </w:p>
        </w:tc>
        <w:tc>
          <w:tcPr>
            <w:tcW w:w="374" w:type="pct"/>
            <w:noWrap w:val="0"/>
            <w:vAlign w:val="center"/>
          </w:tcPr>
          <w:p w14:paraId="007B023C">
            <w:pPr>
              <w:pStyle w:val="55"/>
              <w:bidi w:val="0"/>
            </w:pPr>
            <w:r>
              <w:t>专用</w:t>
            </w:r>
          </w:p>
        </w:tc>
        <w:tc>
          <w:tcPr>
            <w:tcW w:w="343" w:type="pct"/>
            <w:noWrap w:val="0"/>
            <w:vAlign w:val="center"/>
          </w:tcPr>
          <w:p w14:paraId="35926EDA">
            <w:pPr>
              <w:pStyle w:val="55"/>
              <w:bidi w:val="0"/>
            </w:pPr>
            <w:r>
              <w:t>△</w:t>
            </w:r>
          </w:p>
        </w:tc>
        <w:tc>
          <w:tcPr>
            <w:tcW w:w="2167" w:type="pct"/>
            <w:noWrap w:val="0"/>
            <w:vAlign w:val="center"/>
          </w:tcPr>
          <w:p w14:paraId="4C719BF5">
            <w:pPr>
              <w:pStyle w:val="55"/>
              <w:bidi w:val="0"/>
            </w:pPr>
            <w:r>
              <w:t>检查内容：防雷等级，避雷装置型式、引下线数量、接地极配置是否与批复的安全设施设计一致。</w:t>
            </w:r>
          </w:p>
          <w:p w14:paraId="156B4E89">
            <w:pPr>
              <w:pStyle w:val="55"/>
              <w:bidi w:val="0"/>
            </w:pPr>
            <w:r>
              <w:t>检查方法：查阅安全设施验收评价报告</w:t>
            </w:r>
            <w:r>
              <w:rPr>
                <w:rFonts w:hint="eastAsia"/>
              </w:rPr>
              <w:t>和</w:t>
            </w:r>
            <w:r>
              <w:t>防雷防静电检测报告、现场抽查。</w:t>
            </w:r>
          </w:p>
        </w:tc>
        <w:tc>
          <w:tcPr>
            <w:tcW w:w="675" w:type="pct"/>
            <w:noWrap w:val="0"/>
            <w:vAlign w:val="center"/>
          </w:tcPr>
          <w:p w14:paraId="527C3437">
            <w:pPr>
              <w:pStyle w:val="50"/>
              <w:bidi w:val="0"/>
            </w:pPr>
            <w:r>
              <w:rPr>
                <w:rFonts w:hint="default"/>
              </w:rPr>
              <w:t>配电室等按要求进行接地接零。</w:t>
            </w:r>
          </w:p>
        </w:tc>
        <w:tc>
          <w:tcPr>
            <w:tcW w:w="340" w:type="pct"/>
            <w:noWrap w:val="0"/>
            <w:vAlign w:val="center"/>
          </w:tcPr>
          <w:p w14:paraId="58CEF7DC">
            <w:pPr>
              <w:pStyle w:val="55"/>
              <w:bidi w:val="0"/>
              <w:rPr>
                <w:rFonts w:hint="eastAsia" w:eastAsia="宋体"/>
                <w:lang w:val="en-US" w:eastAsia="zh-CN"/>
              </w:rPr>
            </w:pPr>
            <w:r>
              <w:rPr>
                <w:rFonts w:hint="eastAsia"/>
                <w:lang w:val="en-US" w:eastAsia="zh-CN"/>
              </w:rPr>
              <w:t>符合</w:t>
            </w:r>
          </w:p>
        </w:tc>
      </w:tr>
      <w:tr w14:paraId="758302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 w:type="pct"/>
            <w:noWrap w:val="0"/>
            <w:vAlign w:val="center"/>
          </w:tcPr>
          <w:p w14:paraId="42F3C2DA">
            <w:pPr>
              <w:pStyle w:val="55"/>
              <w:bidi w:val="0"/>
            </w:pPr>
            <w:r>
              <w:t>4.2</w:t>
            </w:r>
          </w:p>
        </w:tc>
        <w:tc>
          <w:tcPr>
            <w:tcW w:w="780" w:type="pct"/>
            <w:noWrap w:val="0"/>
            <w:vAlign w:val="center"/>
          </w:tcPr>
          <w:p w14:paraId="683F5A01">
            <w:pPr>
              <w:pStyle w:val="55"/>
              <w:bidi w:val="0"/>
            </w:pPr>
            <w:r>
              <w:t>架空线路防雷设施</w:t>
            </w:r>
          </w:p>
        </w:tc>
        <w:tc>
          <w:tcPr>
            <w:tcW w:w="374" w:type="pct"/>
            <w:noWrap w:val="0"/>
            <w:vAlign w:val="center"/>
          </w:tcPr>
          <w:p w14:paraId="086BD91C">
            <w:pPr>
              <w:pStyle w:val="55"/>
              <w:bidi w:val="0"/>
            </w:pPr>
            <w:r>
              <w:t>基本</w:t>
            </w:r>
          </w:p>
        </w:tc>
        <w:tc>
          <w:tcPr>
            <w:tcW w:w="343" w:type="pct"/>
            <w:noWrap w:val="0"/>
            <w:vAlign w:val="center"/>
          </w:tcPr>
          <w:p w14:paraId="375D3344">
            <w:pPr>
              <w:pStyle w:val="55"/>
              <w:bidi w:val="0"/>
            </w:pPr>
            <w:r>
              <w:t>△</w:t>
            </w:r>
          </w:p>
        </w:tc>
        <w:tc>
          <w:tcPr>
            <w:tcW w:w="2167" w:type="pct"/>
            <w:noWrap w:val="0"/>
            <w:vAlign w:val="center"/>
          </w:tcPr>
          <w:p w14:paraId="1172FCCC">
            <w:pPr>
              <w:pStyle w:val="55"/>
              <w:bidi w:val="0"/>
            </w:pPr>
            <w:r>
              <w:t>检查内容：避雷器的位置、避雷器的型号、数量是否与批复的安全设施设计一致。</w:t>
            </w:r>
          </w:p>
          <w:p w14:paraId="498574A1">
            <w:pPr>
              <w:pStyle w:val="55"/>
              <w:bidi w:val="0"/>
            </w:pPr>
            <w:r>
              <w:t>检查方法：查阅安全设施验收评价报告、现场抽查。</w:t>
            </w:r>
          </w:p>
        </w:tc>
        <w:tc>
          <w:tcPr>
            <w:tcW w:w="675" w:type="pct"/>
            <w:noWrap w:val="0"/>
            <w:vAlign w:val="top"/>
          </w:tcPr>
          <w:p w14:paraId="53ED56AA">
            <w:pPr>
              <w:pStyle w:val="55"/>
              <w:bidi w:val="0"/>
              <w:ind w:firstLine="0" w:firstLineChars="0"/>
            </w:pPr>
            <w:r>
              <w:rPr>
                <w:rFonts w:hint="default" w:ascii="Times New Roman" w:hAnsi="Times New Roman" w:eastAsia="宋体" w:cs="Times New Roman"/>
                <w:color w:val="auto"/>
                <w:spacing w:val="0"/>
                <w:w w:val="100"/>
                <w:position w:val="0"/>
                <w:sz w:val="21"/>
                <w:szCs w:val="21"/>
              </w:rPr>
              <w:t>矿山变压器</w:t>
            </w:r>
            <w:r>
              <w:rPr>
                <w:rFonts w:hint="default" w:ascii="Times New Roman" w:hAnsi="Times New Roman" w:eastAsia="宋体" w:cs="Times New Roman"/>
                <w:color w:val="auto"/>
                <w:spacing w:val="0"/>
                <w:w w:val="100"/>
                <w:position w:val="0"/>
                <w:sz w:val="21"/>
                <w:szCs w:val="21"/>
                <w:lang w:eastAsia="zh-CN"/>
              </w:rPr>
              <w:t>的</w:t>
            </w:r>
            <w:r>
              <w:rPr>
                <w:rFonts w:hint="default" w:ascii="Times New Roman" w:hAnsi="Times New Roman" w:eastAsia="宋体" w:cs="Times New Roman"/>
                <w:color w:val="auto"/>
                <w:spacing w:val="0"/>
                <w:w w:val="100"/>
                <w:position w:val="0"/>
                <w:sz w:val="21"/>
                <w:szCs w:val="21"/>
              </w:rPr>
              <w:t>设置</w:t>
            </w:r>
            <w:r>
              <w:rPr>
                <w:rFonts w:hint="default" w:ascii="Times New Roman" w:hAnsi="Times New Roman" w:eastAsia="宋体" w:cs="Times New Roman"/>
                <w:color w:val="auto"/>
                <w:spacing w:val="0"/>
                <w:w w:val="100"/>
                <w:position w:val="0"/>
                <w:sz w:val="21"/>
                <w:szCs w:val="21"/>
                <w:lang w:eastAsia="zh-CN"/>
              </w:rPr>
              <w:t>已</w:t>
            </w:r>
            <w:r>
              <w:rPr>
                <w:rFonts w:hint="default" w:ascii="Times New Roman" w:hAnsi="Times New Roman" w:eastAsia="宋体" w:cs="Times New Roman"/>
                <w:color w:val="auto"/>
                <w:spacing w:val="0"/>
                <w:w w:val="100"/>
                <w:position w:val="0"/>
                <w:sz w:val="21"/>
                <w:szCs w:val="21"/>
              </w:rPr>
              <w:t>按要求设置相应的避雷设施。</w:t>
            </w:r>
          </w:p>
        </w:tc>
        <w:tc>
          <w:tcPr>
            <w:tcW w:w="340" w:type="pct"/>
            <w:noWrap w:val="0"/>
            <w:vAlign w:val="center"/>
          </w:tcPr>
          <w:p w14:paraId="00F4763A">
            <w:pPr>
              <w:pStyle w:val="55"/>
              <w:bidi w:val="0"/>
              <w:ind w:firstLine="0" w:firstLineChars="0"/>
              <w:rPr>
                <w:rFonts w:hint="eastAsia" w:eastAsia="宋体"/>
                <w:lang w:val="en-US" w:eastAsia="zh-CN"/>
              </w:rPr>
            </w:pPr>
            <w:r>
              <w:rPr>
                <w:rFonts w:hint="eastAsia"/>
                <w:lang w:val="en-US" w:eastAsia="zh-CN"/>
              </w:rPr>
              <w:t>符合</w:t>
            </w:r>
          </w:p>
        </w:tc>
      </w:tr>
      <w:tr w14:paraId="419DB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9" w:hRule="atLeast"/>
          <w:jc w:val="center"/>
        </w:trPr>
        <w:tc>
          <w:tcPr>
            <w:tcW w:w="317" w:type="pct"/>
            <w:noWrap w:val="0"/>
            <w:vAlign w:val="center"/>
          </w:tcPr>
          <w:p w14:paraId="668957BD">
            <w:pPr>
              <w:pStyle w:val="55"/>
              <w:bidi w:val="0"/>
            </w:pPr>
            <w:r>
              <w:t>4.3</w:t>
            </w:r>
          </w:p>
        </w:tc>
        <w:tc>
          <w:tcPr>
            <w:tcW w:w="780" w:type="pct"/>
            <w:noWrap w:val="0"/>
            <w:vAlign w:val="center"/>
          </w:tcPr>
          <w:p w14:paraId="19B15F95">
            <w:pPr>
              <w:pStyle w:val="55"/>
              <w:bidi w:val="0"/>
            </w:pPr>
            <w:r>
              <w:t>高压供配电系统继电保护装置</w:t>
            </w:r>
          </w:p>
        </w:tc>
        <w:tc>
          <w:tcPr>
            <w:tcW w:w="374" w:type="pct"/>
            <w:noWrap w:val="0"/>
            <w:vAlign w:val="center"/>
          </w:tcPr>
          <w:p w14:paraId="34BAEE6B">
            <w:pPr>
              <w:pStyle w:val="55"/>
              <w:bidi w:val="0"/>
            </w:pPr>
            <w:r>
              <w:t>基本</w:t>
            </w:r>
          </w:p>
        </w:tc>
        <w:tc>
          <w:tcPr>
            <w:tcW w:w="343" w:type="pct"/>
            <w:noWrap w:val="0"/>
            <w:vAlign w:val="center"/>
          </w:tcPr>
          <w:p w14:paraId="7454CD6A">
            <w:pPr>
              <w:pStyle w:val="55"/>
              <w:bidi w:val="0"/>
            </w:pPr>
            <w:r>
              <w:t>△</w:t>
            </w:r>
          </w:p>
        </w:tc>
        <w:tc>
          <w:tcPr>
            <w:tcW w:w="2167" w:type="pct"/>
            <w:noWrap w:val="0"/>
            <w:vAlign w:val="center"/>
          </w:tcPr>
          <w:p w14:paraId="613EA1D7">
            <w:pPr>
              <w:pStyle w:val="55"/>
              <w:bidi w:val="0"/>
            </w:pPr>
            <w:r>
              <w:t>检查内容：继电保护装置是否与批复的安全设施设计一致。</w:t>
            </w:r>
          </w:p>
          <w:p w14:paraId="1D0C301A">
            <w:pPr>
              <w:pStyle w:val="55"/>
              <w:bidi w:val="0"/>
            </w:pPr>
            <w:r>
              <w:t>检查方法：查阅安全设施验收评价报告、设备调试记录、试验报告。</w:t>
            </w:r>
          </w:p>
        </w:tc>
        <w:tc>
          <w:tcPr>
            <w:tcW w:w="1312" w:type="dxa"/>
            <w:noWrap w:val="0"/>
            <w:vAlign w:val="center"/>
          </w:tcPr>
          <w:p w14:paraId="3E5F38D6">
            <w:pPr>
              <w:widowControl w:val="0"/>
              <w:wordWrap/>
              <w:adjustRightInd w:val="0"/>
              <w:snapToGrid w:val="0"/>
              <w:spacing w:before="0" w:beforeLines="0" w:after="0" w:afterLines="0" w:line="240" w:lineRule="auto"/>
              <w:ind w:left="0" w:leftChars="0" w:right="0" w:rightChars="0" w:firstLine="0" w:firstLineChars="0"/>
              <w:textAlignment w:val="auto"/>
              <w:outlineLvl w:val="9"/>
            </w:pPr>
            <w:r>
              <w:rPr>
                <w:rFonts w:hint="default" w:ascii="Times New Roman" w:hAnsi="Times New Roman" w:eastAsia="宋体" w:cs="Times New Roman"/>
                <w:color w:val="auto"/>
                <w:spacing w:val="0"/>
                <w:w w:val="100"/>
                <w:position w:val="0"/>
                <w:sz w:val="21"/>
                <w:szCs w:val="21"/>
              </w:rPr>
              <w:t>设置继电保护装置。</w:t>
            </w:r>
          </w:p>
        </w:tc>
        <w:tc>
          <w:tcPr>
            <w:tcW w:w="340" w:type="pct"/>
            <w:noWrap w:val="0"/>
            <w:vAlign w:val="center"/>
          </w:tcPr>
          <w:p w14:paraId="27BA88A8">
            <w:pPr>
              <w:pStyle w:val="55"/>
              <w:bidi w:val="0"/>
              <w:ind w:firstLine="0" w:firstLineChars="0"/>
              <w:rPr>
                <w:rFonts w:hint="eastAsia" w:eastAsia="宋体"/>
                <w:lang w:val="en-US" w:eastAsia="zh-CN"/>
              </w:rPr>
            </w:pPr>
            <w:r>
              <w:rPr>
                <w:rFonts w:hint="eastAsia"/>
                <w:lang w:val="en-US" w:eastAsia="zh-CN"/>
              </w:rPr>
              <w:t>符合</w:t>
            </w:r>
          </w:p>
        </w:tc>
      </w:tr>
      <w:tr w14:paraId="39C2B7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 w:type="pct"/>
            <w:noWrap w:val="0"/>
            <w:vAlign w:val="center"/>
          </w:tcPr>
          <w:p w14:paraId="3723A97B">
            <w:pPr>
              <w:pStyle w:val="55"/>
              <w:bidi w:val="0"/>
            </w:pPr>
            <w:r>
              <w:t>4.4</w:t>
            </w:r>
          </w:p>
        </w:tc>
        <w:tc>
          <w:tcPr>
            <w:tcW w:w="780" w:type="pct"/>
            <w:noWrap w:val="0"/>
            <w:vAlign w:val="center"/>
          </w:tcPr>
          <w:p w14:paraId="455AC32B">
            <w:pPr>
              <w:pStyle w:val="55"/>
              <w:bidi w:val="0"/>
            </w:pPr>
            <w:r>
              <w:t>低压配电系统故障（间接接触）防护设施</w:t>
            </w:r>
          </w:p>
        </w:tc>
        <w:tc>
          <w:tcPr>
            <w:tcW w:w="374" w:type="pct"/>
            <w:noWrap w:val="0"/>
            <w:vAlign w:val="center"/>
          </w:tcPr>
          <w:p w14:paraId="3A355DC3">
            <w:pPr>
              <w:pStyle w:val="55"/>
              <w:bidi w:val="0"/>
            </w:pPr>
            <w:r>
              <w:t>专用</w:t>
            </w:r>
          </w:p>
        </w:tc>
        <w:tc>
          <w:tcPr>
            <w:tcW w:w="343" w:type="pct"/>
            <w:noWrap w:val="0"/>
            <w:vAlign w:val="center"/>
          </w:tcPr>
          <w:p w14:paraId="10B7E401">
            <w:pPr>
              <w:pStyle w:val="55"/>
              <w:bidi w:val="0"/>
            </w:pPr>
            <w:r>
              <w:t>△</w:t>
            </w:r>
          </w:p>
        </w:tc>
        <w:tc>
          <w:tcPr>
            <w:tcW w:w="2167" w:type="pct"/>
            <w:noWrap w:val="0"/>
            <w:vAlign w:val="center"/>
          </w:tcPr>
          <w:p w14:paraId="273BAD67">
            <w:pPr>
              <w:pStyle w:val="55"/>
              <w:bidi w:val="0"/>
            </w:pPr>
            <w:r>
              <w:t>检查内容：低压配电系统故障（间接接触）防护设施是否与批复的安全设施设计一致。</w:t>
            </w:r>
          </w:p>
          <w:p w14:paraId="61E58AE6">
            <w:pPr>
              <w:pStyle w:val="55"/>
              <w:bidi w:val="0"/>
            </w:pPr>
            <w:r>
              <w:t>检查方法：查阅安全设施验收评价报告、现场抽查。</w:t>
            </w:r>
          </w:p>
        </w:tc>
        <w:tc>
          <w:tcPr>
            <w:tcW w:w="1312" w:type="dxa"/>
            <w:noWrap w:val="0"/>
            <w:vAlign w:val="center"/>
          </w:tcPr>
          <w:p w14:paraId="62E0457C">
            <w:pPr>
              <w:widowControl w:val="0"/>
              <w:wordWrap/>
              <w:adjustRightInd w:val="0"/>
              <w:snapToGrid w:val="0"/>
              <w:spacing w:before="0" w:beforeLines="0" w:after="0" w:afterLines="0" w:line="240" w:lineRule="auto"/>
              <w:ind w:left="0" w:leftChars="0" w:right="0" w:rightChars="0" w:firstLine="0" w:firstLineChars="0"/>
              <w:textAlignment w:val="auto"/>
              <w:outlineLvl w:val="9"/>
            </w:pPr>
            <w:r>
              <w:rPr>
                <w:rFonts w:hint="default" w:ascii="Times New Roman" w:hAnsi="Times New Roman" w:eastAsia="宋体" w:cs="Times New Roman"/>
                <w:color w:val="auto"/>
                <w:spacing w:val="0"/>
                <w:w w:val="100"/>
                <w:position w:val="0"/>
                <w:sz w:val="21"/>
                <w:szCs w:val="21"/>
              </w:rPr>
              <w:t>设置低压配电系统故障（间接接触）防护装置。</w:t>
            </w:r>
          </w:p>
        </w:tc>
        <w:tc>
          <w:tcPr>
            <w:tcW w:w="340" w:type="pct"/>
            <w:noWrap w:val="0"/>
            <w:vAlign w:val="center"/>
          </w:tcPr>
          <w:p w14:paraId="4416B5B4">
            <w:pPr>
              <w:pStyle w:val="55"/>
              <w:bidi w:val="0"/>
              <w:ind w:firstLine="0" w:firstLineChars="0"/>
              <w:rPr>
                <w:rFonts w:hint="eastAsia" w:eastAsia="宋体"/>
                <w:lang w:val="en-US" w:eastAsia="zh-CN"/>
              </w:rPr>
            </w:pPr>
            <w:r>
              <w:rPr>
                <w:rFonts w:hint="eastAsia"/>
                <w:lang w:val="en-US" w:eastAsia="zh-CN"/>
              </w:rPr>
              <w:t>符合</w:t>
            </w:r>
          </w:p>
        </w:tc>
      </w:tr>
      <w:tr w14:paraId="1B2127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74" w:hRule="atLeast"/>
          <w:jc w:val="center"/>
        </w:trPr>
        <w:tc>
          <w:tcPr>
            <w:tcW w:w="317" w:type="pct"/>
            <w:noWrap w:val="0"/>
            <w:vAlign w:val="center"/>
          </w:tcPr>
          <w:p w14:paraId="3FFF0823">
            <w:pPr>
              <w:pStyle w:val="55"/>
              <w:bidi w:val="0"/>
            </w:pPr>
            <w:r>
              <w:t>4.5</w:t>
            </w:r>
          </w:p>
        </w:tc>
        <w:tc>
          <w:tcPr>
            <w:tcW w:w="780" w:type="pct"/>
            <w:noWrap w:val="0"/>
            <w:vAlign w:val="center"/>
          </w:tcPr>
          <w:p w14:paraId="2953A48E">
            <w:pPr>
              <w:pStyle w:val="55"/>
              <w:bidi w:val="0"/>
            </w:pPr>
            <w:r>
              <w:t>裸带电体基本（直接接触）防护设施</w:t>
            </w:r>
          </w:p>
        </w:tc>
        <w:tc>
          <w:tcPr>
            <w:tcW w:w="374" w:type="pct"/>
            <w:noWrap w:val="0"/>
            <w:vAlign w:val="center"/>
          </w:tcPr>
          <w:p w14:paraId="1781351E">
            <w:pPr>
              <w:pStyle w:val="55"/>
              <w:bidi w:val="0"/>
            </w:pPr>
            <w:r>
              <w:t>专用</w:t>
            </w:r>
          </w:p>
        </w:tc>
        <w:tc>
          <w:tcPr>
            <w:tcW w:w="343" w:type="pct"/>
            <w:noWrap w:val="0"/>
            <w:vAlign w:val="center"/>
          </w:tcPr>
          <w:p w14:paraId="015E8D3E">
            <w:pPr>
              <w:pStyle w:val="55"/>
              <w:bidi w:val="0"/>
            </w:pPr>
            <w:r>
              <w:t>△</w:t>
            </w:r>
          </w:p>
        </w:tc>
        <w:tc>
          <w:tcPr>
            <w:tcW w:w="2167" w:type="pct"/>
            <w:noWrap w:val="0"/>
            <w:vAlign w:val="center"/>
          </w:tcPr>
          <w:p w14:paraId="6DEF06FD">
            <w:pPr>
              <w:pStyle w:val="55"/>
              <w:bidi w:val="0"/>
            </w:pPr>
            <w:r>
              <w:t>检查内容：裸带电体基本（直接接触）防护设施是否与批复的安全设施设计一致。</w:t>
            </w:r>
          </w:p>
          <w:p w14:paraId="1F1BCEFC">
            <w:pPr>
              <w:pStyle w:val="55"/>
              <w:bidi w:val="0"/>
            </w:pPr>
            <w:r>
              <w:t>检查方法：查阅安全设施验收评价报告、现场抽查。</w:t>
            </w:r>
          </w:p>
        </w:tc>
        <w:tc>
          <w:tcPr>
            <w:tcW w:w="675" w:type="pct"/>
            <w:noWrap w:val="0"/>
            <w:vAlign w:val="center"/>
          </w:tcPr>
          <w:p w14:paraId="08A206A5">
            <w:pPr>
              <w:pStyle w:val="55"/>
              <w:numPr>
                <w:ilvl w:val="0"/>
                <w:numId w:val="0"/>
              </w:numPr>
              <w:bidi w:val="0"/>
              <w:ind w:left="0" w:leftChars="0" w:firstLine="0" w:firstLineChars="0"/>
            </w:pPr>
            <w:r>
              <w:rPr>
                <w:rFonts w:hint="default" w:ascii="Times New Roman" w:hAnsi="Times New Roman" w:eastAsia="宋体" w:cs="Times New Roman"/>
                <w:color w:val="auto"/>
                <w:spacing w:val="0"/>
                <w:w w:val="100"/>
                <w:position w:val="0"/>
                <w:sz w:val="21"/>
                <w:szCs w:val="21"/>
              </w:rPr>
              <w:t>电气设备外壳设置保护接地设施。</w:t>
            </w:r>
          </w:p>
        </w:tc>
        <w:tc>
          <w:tcPr>
            <w:tcW w:w="340" w:type="pct"/>
            <w:noWrap w:val="0"/>
            <w:vAlign w:val="center"/>
          </w:tcPr>
          <w:p w14:paraId="0B0B2E71">
            <w:pPr>
              <w:pStyle w:val="55"/>
              <w:bidi w:val="0"/>
              <w:ind w:firstLine="0" w:firstLineChars="0"/>
              <w:rPr>
                <w:rFonts w:hint="eastAsia" w:eastAsia="宋体"/>
                <w:lang w:val="en-US" w:eastAsia="zh-CN"/>
              </w:rPr>
            </w:pPr>
            <w:r>
              <w:rPr>
                <w:rFonts w:hint="eastAsia"/>
                <w:lang w:val="en-US" w:eastAsia="zh-CN"/>
              </w:rPr>
              <w:t>符合</w:t>
            </w:r>
          </w:p>
        </w:tc>
      </w:tr>
      <w:tr w14:paraId="7AE21D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6" w:hRule="atLeast"/>
          <w:jc w:val="center"/>
        </w:trPr>
        <w:tc>
          <w:tcPr>
            <w:tcW w:w="317" w:type="pct"/>
            <w:noWrap w:val="0"/>
            <w:vAlign w:val="center"/>
          </w:tcPr>
          <w:p w14:paraId="5433B341">
            <w:pPr>
              <w:pStyle w:val="55"/>
              <w:bidi w:val="0"/>
            </w:pPr>
            <w:r>
              <w:t>5</w:t>
            </w:r>
          </w:p>
        </w:tc>
        <w:tc>
          <w:tcPr>
            <w:tcW w:w="780" w:type="pct"/>
            <w:noWrap w:val="0"/>
            <w:vAlign w:val="center"/>
          </w:tcPr>
          <w:p w14:paraId="577F8432">
            <w:pPr>
              <w:pStyle w:val="55"/>
              <w:bidi w:val="0"/>
            </w:pPr>
            <w:r>
              <w:t>接地系统</w:t>
            </w:r>
          </w:p>
        </w:tc>
        <w:tc>
          <w:tcPr>
            <w:tcW w:w="374" w:type="pct"/>
            <w:noWrap w:val="0"/>
            <w:vAlign w:val="center"/>
          </w:tcPr>
          <w:p w14:paraId="776BD9D0">
            <w:pPr>
              <w:pStyle w:val="55"/>
              <w:bidi w:val="0"/>
            </w:pPr>
          </w:p>
        </w:tc>
        <w:tc>
          <w:tcPr>
            <w:tcW w:w="343" w:type="pct"/>
            <w:noWrap w:val="0"/>
            <w:vAlign w:val="center"/>
          </w:tcPr>
          <w:p w14:paraId="3DE02096">
            <w:pPr>
              <w:pStyle w:val="55"/>
              <w:bidi w:val="0"/>
            </w:pPr>
          </w:p>
        </w:tc>
        <w:tc>
          <w:tcPr>
            <w:tcW w:w="2167" w:type="pct"/>
            <w:noWrap w:val="0"/>
            <w:vAlign w:val="center"/>
          </w:tcPr>
          <w:p w14:paraId="334E750D">
            <w:pPr>
              <w:pStyle w:val="55"/>
              <w:bidi w:val="0"/>
            </w:pPr>
          </w:p>
        </w:tc>
        <w:tc>
          <w:tcPr>
            <w:tcW w:w="675" w:type="pct"/>
            <w:noWrap w:val="0"/>
            <w:vAlign w:val="center"/>
          </w:tcPr>
          <w:p w14:paraId="64851315">
            <w:pPr>
              <w:pStyle w:val="55"/>
              <w:bidi w:val="0"/>
            </w:pPr>
          </w:p>
        </w:tc>
        <w:tc>
          <w:tcPr>
            <w:tcW w:w="340" w:type="pct"/>
            <w:noWrap w:val="0"/>
            <w:vAlign w:val="center"/>
          </w:tcPr>
          <w:p w14:paraId="5B54DD5E">
            <w:pPr>
              <w:pStyle w:val="55"/>
              <w:bidi w:val="0"/>
            </w:pPr>
          </w:p>
        </w:tc>
      </w:tr>
      <w:tr w14:paraId="5C1394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92" w:hRule="atLeast"/>
          <w:jc w:val="center"/>
        </w:trPr>
        <w:tc>
          <w:tcPr>
            <w:tcW w:w="317" w:type="pct"/>
            <w:noWrap w:val="0"/>
            <w:vAlign w:val="center"/>
          </w:tcPr>
          <w:p w14:paraId="2C57D065">
            <w:pPr>
              <w:pStyle w:val="55"/>
              <w:bidi w:val="0"/>
            </w:pPr>
            <w:r>
              <w:t>5.1</w:t>
            </w:r>
          </w:p>
        </w:tc>
        <w:tc>
          <w:tcPr>
            <w:tcW w:w="780" w:type="pct"/>
            <w:noWrap w:val="0"/>
            <w:vAlign w:val="center"/>
          </w:tcPr>
          <w:p w14:paraId="199E00AB">
            <w:pPr>
              <w:pStyle w:val="55"/>
              <w:bidi w:val="0"/>
            </w:pPr>
            <w:r>
              <w:t>接地</w:t>
            </w:r>
          </w:p>
        </w:tc>
        <w:tc>
          <w:tcPr>
            <w:tcW w:w="374" w:type="pct"/>
            <w:noWrap w:val="0"/>
            <w:vAlign w:val="center"/>
          </w:tcPr>
          <w:p w14:paraId="19BBAF4E">
            <w:pPr>
              <w:pStyle w:val="55"/>
              <w:bidi w:val="0"/>
            </w:pPr>
            <w:r>
              <w:t>基本</w:t>
            </w:r>
          </w:p>
        </w:tc>
        <w:tc>
          <w:tcPr>
            <w:tcW w:w="343" w:type="pct"/>
            <w:noWrap w:val="0"/>
            <w:vAlign w:val="center"/>
          </w:tcPr>
          <w:p w14:paraId="025315F2">
            <w:pPr>
              <w:pStyle w:val="55"/>
              <w:bidi w:val="0"/>
            </w:pPr>
            <w:r>
              <w:t>△</w:t>
            </w:r>
          </w:p>
        </w:tc>
        <w:tc>
          <w:tcPr>
            <w:tcW w:w="2167" w:type="pct"/>
            <w:noWrap w:val="0"/>
            <w:vAlign w:val="center"/>
          </w:tcPr>
          <w:p w14:paraId="232E92A8">
            <w:pPr>
              <w:pStyle w:val="55"/>
              <w:bidi w:val="0"/>
            </w:pPr>
            <w:r>
              <w:t>检查内容：36V以上及由于绝缘损坏而带有危险电压的电气装置、设备的外露可导电部分和构架的接地设施是否与批复的安全设施设计一致。</w:t>
            </w:r>
          </w:p>
          <w:p w14:paraId="31DBDB20">
            <w:pPr>
              <w:pStyle w:val="55"/>
              <w:bidi w:val="0"/>
            </w:pPr>
            <w:r>
              <w:t>检查方法：查阅安全设施验收评价报告、现场抽查。</w:t>
            </w:r>
          </w:p>
        </w:tc>
        <w:tc>
          <w:tcPr>
            <w:tcW w:w="675" w:type="pct"/>
            <w:noWrap w:val="0"/>
            <w:vAlign w:val="center"/>
          </w:tcPr>
          <w:p w14:paraId="08B2A8E7">
            <w:pPr>
              <w:pStyle w:val="55"/>
              <w:bidi w:val="0"/>
              <w:rPr>
                <w:rFonts w:hint="default" w:eastAsia="宋体"/>
                <w:lang w:val="en-US" w:eastAsia="zh-CN"/>
              </w:rPr>
            </w:pPr>
            <w:r>
              <w:rPr>
                <w:rFonts w:hint="default" w:ascii="Times New Roman" w:hAnsi="Times New Roman" w:eastAsia="宋体" w:cs="Times New Roman"/>
                <w:color w:val="auto"/>
                <w:spacing w:val="0"/>
                <w:w w:val="100"/>
                <w:position w:val="0"/>
                <w:sz w:val="21"/>
                <w:szCs w:val="21"/>
              </w:rPr>
              <w:t>电气设备外壳设置保护接地设施。</w:t>
            </w:r>
          </w:p>
        </w:tc>
        <w:tc>
          <w:tcPr>
            <w:tcW w:w="340" w:type="pct"/>
            <w:noWrap w:val="0"/>
            <w:vAlign w:val="center"/>
          </w:tcPr>
          <w:p w14:paraId="09AA92B6">
            <w:pPr>
              <w:pStyle w:val="55"/>
              <w:bidi w:val="0"/>
              <w:rPr>
                <w:rFonts w:hint="eastAsia" w:eastAsia="宋体"/>
                <w:lang w:val="en-US" w:eastAsia="zh-CN"/>
              </w:rPr>
            </w:pPr>
            <w:r>
              <w:rPr>
                <w:rFonts w:hint="eastAsia"/>
                <w:lang w:val="en-US" w:eastAsia="zh-CN"/>
              </w:rPr>
              <w:t>符合</w:t>
            </w:r>
          </w:p>
        </w:tc>
      </w:tr>
      <w:tr w14:paraId="75F8C0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5" w:hRule="atLeast"/>
          <w:jc w:val="center"/>
        </w:trPr>
        <w:tc>
          <w:tcPr>
            <w:tcW w:w="317" w:type="pct"/>
            <w:noWrap w:val="0"/>
            <w:vAlign w:val="center"/>
          </w:tcPr>
          <w:p w14:paraId="22200486">
            <w:pPr>
              <w:pStyle w:val="55"/>
              <w:bidi w:val="0"/>
            </w:pPr>
            <w:r>
              <w:t>5.2</w:t>
            </w:r>
          </w:p>
        </w:tc>
        <w:tc>
          <w:tcPr>
            <w:tcW w:w="780" w:type="pct"/>
            <w:noWrap w:val="0"/>
            <w:vAlign w:val="center"/>
          </w:tcPr>
          <w:p w14:paraId="741D6BB3">
            <w:pPr>
              <w:pStyle w:val="55"/>
              <w:bidi w:val="0"/>
            </w:pPr>
            <w:r>
              <w:t>接地电阻</w:t>
            </w:r>
          </w:p>
        </w:tc>
        <w:tc>
          <w:tcPr>
            <w:tcW w:w="374" w:type="pct"/>
            <w:noWrap w:val="0"/>
            <w:vAlign w:val="center"/>
          </w:tcPr>
          <w:p w14:paraId="2A28445D">
            <w:pPr>
              <w:pStyle w:val="55"/>
              <w:bidi w:val="0"/>
            </w:pPr>
            <w:r>
              <w:t>基本</w:t>
            </w:r>
          </w:p>
        </w:tc>
        <w:tc>
          <w:tcPr>
            <w:tcW w:w="343" w:type="pct"/>
            <w:noWrap w:val="0"/>
            <w:vAlign w:val="center"/>
          </w:tcPr>
          <w:p w14:paraId="743F9B7A">
            <w:pPr>
              <w:pStyle w:val="55"/>
              <w:bidi w:val="0"/>
            </w:pPr>
            <w:r>
              <w:t>△</w:t>
            </w:r>
          </w:p>
        </w:tc>
        <w:tc>
          <w:tcPr>
            <w:tcW w:w="2167" w:type="pct"/>
            <w:noWrap w:val="0"/>
            <w:vAlign w:val="center"/>
          </w:tcPr>
          <w:p w14:paraId="31A872F4">
            <w:pPr>
              <w:pStyle w:val="55"/>
              <w:bidi w:val="0"/>
            </w:pPr>
            <w:r>
              <w:t>检查内容：有2组及以上主接地极时，当任一组主接地极断开后，在架空接地线上任一点所测得的对地电阻值</w:t>
            </w:r>
            <w:r>
              <w:rPr>
                <w:rFonts w:hint="eastAsia"/>
              </w:rPr>
              <w:t>以及</w:t>
            </w:r>
            <w:r>
              <w:t>移动式设备与架空接地线之间的接地线电阻值是否与批复的安全设施设计一致。</w:t>
            </w:r>
          </w:p>
          <w:p w14:paraId="42E681C5">
            <w:pPr>
              <w:pStyle w:val="55"/>
              <w:bidi w:val="0"/>
            </w:pPr>
            <w:r>
              <w:t>检查方法：查阅安全设施验收评价报告、现场抽查。</w:t>
            </w:r>
          </w:p>
        </w:tc>
        <w:tc>
          <w:tcPr>
            <w:tcW w:w="675" w:type="pct"/>
            <w:noWrap w:val="0"/>
            <w:vAlign w:val="center"/>
          </w:tcPr>
          <w:p w14:paraId="26B096BA">
            <w:pPr>
              <w:pStyle w:val="55"/>
              <w:bidi w:val="0"/>
              <w:rPr>
                <w:rFonts w:hint="default" w:eastAsia="宋体"/>
                <w:lang w:val="en-US" w:eastAsia="zh-CN"/>
              </w:rPr>
            </w:pPr>
            <w:r>
              <w:rPr>
                <w:rFonts w:hint="eastAsia"/>
                <w:lang w:val="en-US" w:eastAsia="zh-CN"/>
              </w:rPr>
              <w:t>利旧</w:t>
            </w:r>
          </w:p>
        </w:tc>
        <w:tc>
          <w:tcPr>
            <w:tcW w:w="340" w:type="pct"/>
            <w:noWrap w:val="0"/>
            <w:vAlign w:val="center"/>
          </w:tcPr>
          <w:p w14:paraId="1F537489">
            <w:pPr>
              <w:pStyle w:val="55"/>
              <w:bidi w:val="0"/>
              <w:rPr>
                <w:rFonts w:hint="eastAsia" w:eastAsia="宋体"/>
                <w:lang w:val="en-US" w:eastAsia="zh-CN"/>
              </w:rPr>
            </w:pPr>
            <w:r>
              <w:rPr>
                <w:rFonts w:hint="eastAsia"/>
                <w:lang w:val="en-US" w:eastAsia="zh-CN"/>
              </w:rPr>
              <w:t>符合</w:t>
            </w:r>
          </w:p>
        </w:tc>
      </w:tr>
      <w:tr w14:paraId="76D48D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24" w:hRule="atLeast"/>
          <w:jc w:val="center"/>
        </w:trPr>
        <w:tc>
          <w:tcPr>
            <w:tcW w:w="317" w:type="pct"/>
            <w:noWrap w:val="0"/>
            <w:vAlign w:val="center"/>
          </w:tcPr>
          <w:p w14:paraId="18BDB018">
            <w:pPr>
              <w:pStyle w:val="55"/>
              <w:bidi w:val="0"/>
            </w:pPr>
            <w:r>
              <w:t>5.3</w:t>
            </w:r>
          </w:p>
        </w:tc>
        <w:tc>
          <w:tcPr>
            <w:tcW w:w="780" w:type="pct"/>
            <w:noWrap w:val="0"/>
            <w:vAlign w:val="center"/>
          </w:tcPr>
          <w:p w14:paraId="7C87A463">
            <w:pPr>
              <w:pStyle w:val="55"/>
              <w:bidi w:val="0"/>
            </w:pPr>
            <w:r>
              <w:t>总接地网、主接地极</w:t>
            </w:r>
          </w:p>
        </w:tc>
        <w:tc>
          <w:tcPr>
            <w:tcW w:w="374" w:type="pct"/>
            <w:noWrap w:val="0"/>
            <w:vAlign w:val="center"/>
          </w:tcPr>
          <w:p w14:paraId="319D6B54">
            <w:pPr>
              <w:pStyle w:val="55"/>
              <w:bidi w:val="0"/>
            </w:pPr>
            <w:r>
              <w:t>基本</w:t>
            </w:r>
          </w:p>
        </w:tc>
        <w:tc>
          <w:tcPr>
            <w:tcW w:w="343" w:type="pct"/>
            <w:noWrap w:val="0"/>
            <w:vAlign w:val="center"/>
          </w:tcPr>
          <w:p w14:paraId="5B1EEA15">
            <w:pPr>
              <w:pStyle w:val="55"/>
              <w:bidi w:val="0"/>
            </w:pPr>
            <w:r>
              <w:t>△</w:t>
            </w:r>
          </w:p>
        </w:tc>
        <w:tc>
          <w:tcPr>
            <w:tcW w:w="2167" w:type="pct"/>
            <w:noWrap w:val="0"/>
            <w:vAlign w:val="center"/>
          </w:tcPr>
          <w:p w14:paraId="326EABC2">
            <w:pPr>
              <w:pStyle w:val="55"/>
              <w:bidi w:val="0"/>
            </w:pPr>
            <w:r>
              <w:t>检查内容：采矿场</w:t>
            </w:r>
            <w:r>
              <w:rPr>
                <w:rFonts w:hint="eastAsia"/>
              </w:rPr>
              <w:t>和</w:t>
            </w:r>
            <w:r>
              <w:t>排废场主接地极组数</w:t>
            </w:r>
            <w:r>
              <w:rPr>
                <w:rFonts w:hint="eastAsia"/>
              </w:rPr>
              <w:t>、</w:t>
            </w:r>
            <w:r>
              <w:t>设置地点</w:t>
            </w:r>
            <w:r>
              <w:rPr>
                <w:rFonts w:hint="eastAsia"/>
              </w:rPr>
              <w:t>，</w:t>
            </w:r>
            <w:r>
              <w:t>架空接地线材质、规格</w:t>
            </w:r>
            <w:r>
              <w:rPr>
                <w:rFonts w:hint="eastAsia"/>
              </w:rPr>
              <w:t>及</w:t>
            </w:r>
            <w:r>
              <w:t>与配电线路的布置关系、距离</w:t>
            </w:r>
            <w:r>
              <w:rPr>
                <w:rFonts w:hint="eastAsia"/>
              </w:rPr>
              <w:t>，</w:t>
            </w:r>
            <w:r>
              <w:t>移动式电气设备接地线配置是否与批复的安全设施设计一致。</w:t>
            </w:r>
          </w:p>
          <w:p w14:paraId="035C0788">
            <w:pPr>
              <w:pStyle w:val="55"/>
              <w:bidi w:val="0"/>
            </w:pPr>
            <w:r>
              <w:t>检查方法：查阅安全设施验收评价报告、现场抽查。</w:t>
            </w:r>
          </w:p>
        </w:tc>
        <w:tc>
          <w:tcPr>
            <w:tcW w:w="675" w:type="pct"/>
            <w:noWrap w:val="0"/>
            <w:vAlign w:val="center"/>
          </w:tcPr>
          <w:p w14:paraId="3F582F3C">
            <w:pPr>
              <w:pStyle w:val="55"/>
              <w:bidi w:val="0"/>
            </w:pPr>
            <w:r>
              <w:rPr>
                <w:rFonts w:hint="eastAsia"/>
                <w:lang w:val="en-US" w:eastAsia="zh-CN"/>
              </w:rPr>
              <w:t>利旧</w:t>
            </w:r>
          </w:p>
        </w:tc>
        <w:tc>
          <w:tcPr>
            <w:tcW w:w="340" w:type="pct"/>
            <w:noWrap w:val="0"/>
            <w:vAlign w:val="center"/>
          </w:tcPr>
          <w:p w14:paraId="03215399">
            <w:pPr>
              <w:pStyle w:val="55"/>
              <w:bidi w:val="0"/>
              <w:rPr>
                <w:rFonts w:hint="eastAsia" w:eastAsia="宋体"/>
                <w:lang w:val="en-US" w:eastAsia="zh-CN"/>
              </w:rPr>
            </w:pPr>
            <w:r>
              <w:rPr>
                <w:rFonts w:hint="eastAsia"/>
                <w:lang w:val="en-US" w:eastAsia="zh-CN"/>
              </w:rPr>
              <w:t>符合</w:t>
            </w:r>
          </w:p>
        </w:tc>
      </w:tr>
      <w:tr w14:paraId="4B423A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 w:type="pct"/>
            <w:noWrap w:val="0"/>
            <w:vAlign w:val="center"/>
          </w:tcPr>
          <w:p w14:paraId="5EEC50AD">
            <w:pPr>
              <w:pStyle w:val="55"/>
              <w:bidi w:val="0"/>
            </w:pPr>
            <w:r>
              <w:t>6</w:t>
            </w:r>
          </w:p>
        </w:tc>
        <w:tc>
          <w:tcPr>
            <w:tcW w:w="780" w:type="pct"/>
            <w:noWrap w:val="0"/>
            <w:vAlign w:val="center"/>
          </w:tcPr>
          <w:p w14:paraId="3AC69284">
            <w:pPr>
              <w:pStyle w:val="55"/>
              <w:bidi w:val="0"/>
            </w:pPr>
            <w:r>
              <w:t>牵引网络</w:t>
            </w:r>
          </w:p>
        </w:tc>
        <w:tc>
          <w:tcPr>
            <w:tcW w:w="374" w:type="pct"/>
            <w:noWrap w:val="0"/>
            <w:vAlign w:val="center"/>
          </w:tcPr>
          <w:p w14:paraId="07366DD7">
            <w:pPr>
              <w:pStyle w:val="55"/>
              <w:bidi w:val="0"/>
            </w:pPr>
          </w:p>
        </w:tc>
        <w:tc>
          <w:tcPr>
            <w:tcW w:w="343" w:type="pct"/>
            <w:noWrap w:val="0"/>
            <w:vAlign w:val="center"/>
          </w:tcPr>
          <w:p w14:paraId="7DA2F501">
            <w:pPr>
              <w:pStyle w:val="55"/>
              <w:bidi w:val="0"/>
            </w:pPr>
          </w:p>
        </w:tc>
        <w:tc>
          <w:tcPr>
            <w:tcW w:w="2167" w:type="pct"/>
            <w:noWrap w:val="0"/>
            <w:vAlign w:val="center"/>
          </w:tcPr>
          <w:p w14:paraId="23D1459C">
            <w:pPr>
              <w:pStyle w:val="55"/>
              <w:bidi w:val="0"/>
            </w:pPr>
          </w:p>
        </w:tc>
        <w:tc>
          <w:tcPr>
            <w:tcW w:w="675" w:type="pct"/>
            <w:noWrap w:val="0"/>
            <w:vAlign w:val="center"/>
          </w:tcPr>
          <w:p w14:paraId="402EF55A">
            <w:pPr>
              <w:pStyle w:val="55"/>
              <w:bidi w:val="0"/>
            </w:pPr>
          </w:p>
        </w:tc>
        <w:tc>
          <w:tcPr>
            <w:tcW w:w="340" w:type="pct"/>
            <w:noWrap w:val="0"/>
            <w:vAlign w:val="center"/>
          </w:tcPr>
          <w:p w14:paraId="71F92551">
            <w:pPr>
              <w:pStyle w:val="55"/>
              <w:bidi w:val="0"/>
            </w:pPr>
            <w:r>
              <w:rPr>
                <w:rFonts w:hint="eastAsia"/>
                <w:lang w:val="en-US" w:eastAsia="zh-CN"/>
              </w:rPr>
              <w:t>不涉及</w:t>
            </w:r>
          </w:p>
        </w:tc>
      </w:tr>
      <w:tr w14:paraId="492202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05" w:hRule="atLeast"/>
          <w:jc w:val="center"/>
        </w:trPr>
        <w:tc>
          <w:tcPr>
            <w:tcW w:w="317" w:type="pct"/>
            <w:noWrap w:val="0"/>
            <w:vAlign w:val="center"/>
          </w:tcPr>
          <w:p w14:paraId="0E932DB4">
            <w:pPr>
              <w:pStyle w:val="55"/>
              <w:bidi w:val="0"/>
            </w:pPr>
            <w:r>
              <w:t>6.1</w:t>
            </w:r>
          </w:p>
        </w:tc>
        <w:tc>
          <w:tcPr>
            <w:tcW w:w="780" w:type="pct"/>
            <w:noWrap w:val="0"/>
            <w:vAlign w:val="center"/>
          </w:tcPr>
          <w:p w14:paraId="3D0E0B15">
            <w:pPr>
              <w:pStyle w:val="55"/>
              <w:bidi w:val="0"/>
            </w:pPr>
            <w:r>
              <w:t>直流牵引变电所电气保护设施</w:t>
            </w:r>
          </w:p>
        </w:tc>
        <w:tc>
          <w:tcPr>
            <w:tcW w:w="374" w:type="pct"/>
            <w:noWrap w:val="0"/>
            <w:vAlign w:val="center"/>
          </w:tcPr>
          <w:p w14:paraId="1B21DBD1">
            <w:pPr>
              <w:pStyle w:val="55"/>
              <w:bidi w:val="0"/>
            </w:pPr>
            <w:r>
              <w:t>基本</w:t>
            </w:r>
          </w:p>
        </w:tc>
        <w:tc>
          <w:tcPr>
            <w:tcW w:w="343" w:type="pct"/>
            <w:noWrap w:val="0"/>
            <w:vAlign w:val="center"/>
          </w:tcPr>
          <w:p w14:paraId="7B6F5A26">
            <w:pPr>
              <w:pStyle w:val="55"/>
              <w:bidi w:val="0"/>
            </w:pPr>
            <w:r>
              <w:t>△</w:t>
            </w:r>
          </w:p>
        </w:tc>
        <w:tc>
          <w:tcPr>
            <w:tcW w:w="2167" w:type="pct"/>
            <w:noWrap w:val="0"/>
            <w:vAlign w:val="center"/>
          </w:tcPr>
          <w:p w14:paraId="5F27F191">
            <w:pPr>
              <w:pStyle w:val="55"/>
              <w:bidi w:val="0"/>
            </w:pPr>
            <w:r>
              <w:t>检查内容：直流出线快速开关型号、规格，开关动作电流整定值，标准轨距主要馈出线自动重合闸装置是否与批复的安全设施设计一致。</w:t>
            </w:r>
          </w:p>
          <w:p w14:paraId="5930AD11">
            <w:pPr>
              <w:pStyle w:val="55"/>
              <w:bidi w:val="0"/>
            </w:pPr>
            <w:r>
              <w:t>检查方法：查阅安全设施验收评价报告。</w:t>
            </w:r>
          </w:p>
        </w:tc>
        <w:tc>
          <w:tcPr>
            <w:tcW w:w="675" w:type="pct"/>
            <w:noWrap w:val="0"/>
            <w:vAlign w:val="center"/>
          </w:tcPr>
          <w:p w14:paraId="23BD4B99">
            <w:pPr>
              <w:pStyle w:val="55"/>
              <w:bidi w:val="0"/>
            </w:pPr>
          </w:p>
        </w:tc>
        <w:tc>
          <w:tcPr>
            <w:tcW w:w="340" w:type="pct"/>
            <w:noWrap w:val="0"/>
            <w:vAlign w:val="center"/>
          </w:tcPr>
          <w:p w14:paraId="0D4EA584">
            <w:pPr>
              <w:pStyle w:val="55"/>
              <w:bidi w:val="0"/>
              <w:rPr>
                <w:rFonts w:hint="default" w:eastAsia="宋体"/>
                <w:lang w:val="en-US" w:eastAsia="zh-CN"/>
              </w:rPr>
            </w:pPr>
            <w:r>
              <w:rPr>
                <w:rFonts w:hint="eastAsia"/>
                <w:lang w:val="en-US" w:eastAsia="zh-CN"/>
              </w:rPr>
              <w:t>不涉及</w:t>
            </w:r>
          </w:p>
        </w:tc>
      </w:tr>
      <w:tr w14:paraId="1F3F41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20" w:hRule="atLeast"/>
          <w:jc w:val="center"/>
        </w:trPr>
        <w:tc>
          <w:tcPr>
            <w:tcW w:w="317" w:type="pct"/>
            <w:noWrap w:val="0"/>
            <w:vAlign w:val="center"/>
          </w:tcPr>
          <w:p w14:paraId="06F2F286">
            <w:pPr>
              <w:pStyle w:val="55"/>
              <w:bidi w:val="0"/>
            </w:pPr>
            <w:r>
              <w:t>6.2</w:t>
            </w:r>
          </w:p>
        </w:tc>
        <w:tc>
          <w:tcPr>
            <w:tcW w:w="780" w:type="pct"/>
            <w:noWrap w:val="0"/>
            <w:vAlign w:val="center"/>
          </w:tcPr>
          <w:p w14:paraId="018FDE4F">
            <w:pPr>
              <w:pStyle w:val="55"/>
              <w:bidi w:val="0"/>
            </w:pPr>
            <w:r>
              <w:t>直流牵引网络安全措施</w:t>
            </w:r>
          </w:p>
        </w:tc>
        <w:tc>
          <w:tcPr>
            <w:tcW w:w="374" w:type="pct"/>
            <w:noWrap w:val="0"/>
            <w:vAlign w:val="center"/>
          </w:tcPr>
          <w:p w14:paraId="6F14E57A">
            <w:pPr>
              <w:pStyle w:val="55"/>
              <w:bidi w:val="0"/>
            </w:pPr>
            <w:r>
              <w:t>基本</w:t>
            </w:r>
          </w:p>
        </w:tc>
        <w:tc>
          <w:tcPr>
            <w:tcW w:w="343" w:type="pct"/>
            <w:noWrap w:val="0"/>
            <w:vAlign w:val="center"/>
          </w:tcPr>
          <w:p w14:paraId="1DB986BC">
            <w:pPr>
              <w:pStyle w:val="55"/>
              <w:bidi w:val="0"/>
            </w:pPr>
            <w:r>
              <w:t>△</w:t>
            </w:r>
          </w:p>
        </w:tc>
        <w:tc>
          <w:tcPr>
            <w:tcW w:w="2167" w:type="pct"/>
            <w:noWrap w:val="0"/>
            <w:vAlign w:val="center"/>
          </w:tcPr>
          <w:p w14:paraId="26BEF257">
            <w:pPr>
              <w:pStyle w:val="55"/>
              <w:bidi w:val="0"/>
            </w:pPr>
            <w:r>
              <w:t>检查内容：接触线最大弛度时距轨面高度是否与批复的安全设施设计一致。</w:t>
            </w:r>
          </w:p>
          <w:p w14:paraId="0E017D93">
            <w:pPr>
              <w:pStyle w:val="55"/>
              <w:bidi w:val="0"/>
            </w:pPr>
            <w:r>
              <w:t>检查方法：查阅安全设施验收评价报告。</w:t>
            </w:r>
          </w:p>
        </w:tc>
        <w:tc>
          <w:tcPr>
            <w:tcW w:w="675" w:type="pct"/>
            <w:noWrap w:val="0"/>
            <w:vAlign w:val="center"/>
          </w:tcPr>
          <w:p w14:paraId="6649FA64">
            <w:pPr>
              <w:pStyle w:val="55"/>
              <w:bidi w:val="0"/>
            </w:pPr>
          </w:p>
        </w:tc>
        <w:tc>
          <w:tcPr>
            <w:tcW w:w="340" w:type="pct"/>
            <w:noWrap w:val="0"/>
            <w:vAlign w:val="center"/>
          </w:tcPr>
          <w:p w14:paraId="7474A9C5">
            <w:pPr>
              <w:pStyle w:val="55"/>
              <w:bidi w:val="0"/>
              <w:rPr>
                <w:rFonts w:hint="default" w:eastAsia="宋体"/>
                <w:lang w:val="en-US" w:eastAsia="zh-CN"/>
              </w:rPr>
            </w:pPr>
            <w:r>
              <w:rPr>
                <w:rFonts w:hint="eastAsia"/>
                <w:lang w:val="en-US" w:eastAsia="zh-CN"/>
              </w:rPr>
              <w:t>不涉及</w:t>
            </w:r>
          </w:p>
        </w:tc>
      </w:tr>
      <w:tr w14:paraId="56A5C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317" w:type="pct"/>
            <w:noWrap w:val="0"/>
            <w:vAlign w:val="center"/>
          </w:tcPr>
          <w:p w14:paraId="7CCD37F4">
            <w:pPr>
              <w:pStyle w:val="55"/>
              <w:bidi w:val="0"/>
            </w:pPr>
            <w:r>
              <w:t>6.3</w:t>
            </w:r>
          </w:p>
        </w:tc>
        <w:tc>
          <w:tcPr>
            <w:tcW w:w="780" w:type="pct"/>
            <w:noWrap w:val="0"/>
            <w:vAlign w:val="center"/>
          </w:tcPr>
          <w:p w14:paraId="173AEFFE">
            <w:pPr>
              <w:pStyle w:val="55"/>
              <w:bidi w:val="0"/>
            </w:pPr>
            <w:r>
              <w:t>爆炸危险场所电机车轨道电气的安全措施</w:t>
            </w:r>
          </w:p>
        </w:tc>
        <w:tc>
          <w:tcPr>
            <w:tcW w:w="374" w:type="pct"/>
            <w:noWrap w:val="0"/>
            <w:vAlign w:val="center"/>
          </w:tcPr>
          <w:p w14:paraId="14D7CA76">
            <w:pPr>
              <w:pStyle w:val="55"/>
              <w:bidi w:val="0"/>
            </w:pPr>
            <w:r>
              <w:t>基本</w:t>
            </w:r>
          </w:p>
        </w:tc>
        <w:tc>
          <w:tcPr>
            <w:tcW w:w="343" w:type="pct"/>
            <w:noWrap w:val="0"/>
            <w:vAlign w:val="center"/>
          </w:tcPr>
          <w:p w14:paraId="3A35B38A">
            <w:pPr>
              <w:pStyle w:val="55"/>
              <w:bidi w:val="0"/>
            </w:pPr>
            <w:r>
              <w:t>△</w:t>
            </w:r>
          </w:p>
        </w:tc>
        <w:tc>
          <w:tcPr>
            <w:tcW w:w="2167" w:type="pct"/>
            <w:noWrap w:val="0"/>
            <w:vAlign w:val="center"/>
          </w:tcPr>
          <w:p w14:paraId="38034926">
            <w:pPr>
              <w:pStyle w:val="55"/>
              <w:bidi w:val="0"/>
            </w:pPr>
            <w:r>
              <w:t>检查内容：轨道是否作回流导体、钢轨与回流钢轨连接处的轨道绝缘数量，距离是否与批复的安全设施设计一致。</w:t>
            </w:r>
          </w:p>
          <w:p w14:paraId="06C2AA41">
            <w:pPr>
              <w:pStyle w:val="55"/>
              <w:bidi w:val="0"/>
            </w:pPr>
            <w:r>
              <w:t>检查方法：查阅安全设施验收评价报告、现场抽查。</w:t>
            </w:r>
          </w:p>
        </w:tc>
        <w:tc>
          <w:tcPr>
            <w:tcW w:w="675" w:type="pct"/>
            <w:noWrap w:val="0"/>
            <w:vAlign w:val="center"/>
          </w:tcPr>
          <w:p w14:paraId="03FB7B44">
            <w:pPr>
              <w:pStyle w:val="55"/>
              <w:bidi w:val="0"/>
            </w:pPr>
          </w:p>
        </w:tc>
        <w:tc>
          <w:tcPr>
            <w:tcW w:w="340" w:type="pct"/>
            <w:noWrap w:val="0"/>
            <w:vAlign w:val="center"/>
          </w:tcPr>
          <w:p w14:paraId="23688BF5">
            <w:pPr>
              <w:pStyle w:val="55"/>
              <w:bidi w:val="0"/>
              <w:rPr>
                <w:rFonts w:hint="default" w:eastAsia="宋体"/>
                <w:lang w:val="en-US" w:eastAsia="zh-CN"/>
              </w:rPr>
            </w:pPr>
            <w:r>
              <w:rPr>
                <w:rFonts w:hint="eastAsia"/>
                <w:lang w:val="en-US" w:eastAsia="zh-CN"/>
              </w:rPr>
              <w:t>不涉及</w:t>
            </w:r>
          </w:p>
        </w:tc>
      </w:tr>
      <w:tr w14:paraId="77286A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23" w:hRule="atLeast"/>
          <w:jc w:val="center"/>
        </w:trPr>
        <w:tc>
          <w:tcPr>
            <w:tcW w:w="317" w:type="pct"/>
            <w:noWrap w:val="0"/>
            <w:vAlign w:val="center"/>
          </w:tcPr>
          <w:p w14:paraId="1275F476">
            <w:pPr>
              <w:pStyle w:val="55"/>
              <w:bidi w:val="0"/>
            </w:pPr>
            <w:r>
              <w:t>6.4</w:t>
            </w:r>
          </w:p>
        </w:tc>
        <w:tc>
          <w:tcPr>
            <w:tcW w:w="780" w:type="pct"/>
            <w:noWrap w:val="0"/>
            <w:vAlign w:val="center"/>
          </w:tcPr>
          <w:p w14:paraId="769F9544">
            <w:pPr>
              <w:pStyle w:val="55"/>
              <w:bidi w:val="0"/>
            </w:pPr>
            <w:r>
              <w:t>牵引变电所接地设施</w:t>
            </w:r>
          </w:p>
        </w:tc>
        <w:tc>
          <w:tcPr>
            <w:tcW w:w="374" w:type="pct"/>
            <w:noWrap w:val="0"/>
            <w:vAlign w:val="center"/>
          </w:tcPr>
          <w:p w14:paraId="64022C94">
            <w:pPr>
              <w:pStyle w:val="55"/>
              <w:bidi w:val="0"/>
            </w:pPr>
            <w:r>
              <w:t>专用</w:t>
            </w:r>
          </w:p>
        </w:tc>
        <w:tc>
          <w:tcPr>
            <w:tcW w:w="343" w:type="pct"/>
            <w:noWrap w:val="0"/>
            <w:vAlign w:val="center"/>
          </w:tcPr>
          <w:p w14:paraId="64942725">
            <w:pPr>
              <w:pStyle w:val="55"/>
              <w:bidi w:val="0"/>
            </w:pPr>
            <w:r>
              <w:t>△</w:t>
            </w:r>
          </w:p>
        </w:tc>
        <w:tc>
          <w:tcPr>
            <w:tcW w:w="2167" w:type="pct"/>
            <w:noWrap w:val="0"/>
            <w:vAlign w:val="center"/>
          </w:tcPr>
          <w:p w14:paraId="4BA65E6F">
            <w:pPr>
              <w:pStyle w:val="55"/>
              <w:bidi w:val="0"/>
            </w:pPr>
            <w:r>
              <w:t>检查内容：整流装置、直流配电装置是否接地、与交流设备金属连接情况、接地装置电阻值是否与批复的安全设施设计一致。</w:t>
            </w:r>
          </w:p>
          <w:p w14:paraId="5A605851">
            <w:pPr>
              <w:pStyle w:val="55"/>
              <w:bidi w:val="0"/>
            </w:pPr>
            <w:r>
              <w:t>检查方法：查阅安全设施验收评价报告、现场抽查。</w:t>
            </w:r>
          </w:p>
        </w:tc>
        <w:tc>
          <w:tcPr>
            <w:tcW w:w="675" w:type="pct"/>
            <w:noWrap w:val="0"/>
            <w:vAlign w:val="center"/>
          </w:tcPr>
          <w:p w14:paraId="73589BD8">
            <w:pPr>
              <w:pStyle w:val="55"/>
              <w:bidi w:val="0"/>
            </w:pPr>
          </w:p>
        </w:tc>
        <w:tc>
          <w:tcPr>
            <w:tcW w:w="340" w:type="pct"/>
            <w:noWrap w:val="0"/>
            <w:vAlign w:val="center"/>
          </w:tcPr>
          <w:p w14:paraId="33BE67DE">
            <w:pPr>
              <w:pStyle w:val="55"/>
              <w:bidi w:val="0"/>
              <w:rPr>
                <w:rFonts w:hint="default" w:eastAsia="宋体"/>
                <w:lang w:val="en-US" w:eastAsia="zh-CN"/>
              </w:rPr>
            </w:pPr>
            <w:r>
              <w:rPr>
                <w:rFonts w:hint="eastAsia"/>
                <w:lang w:val="en-US" w:eastAsia="zh-CN"/>
              </w:rPr>
              <w:t>不涉及</w:t>
            </w:r>
          </w:p>
        </w:tc>
      </w:tr>
      <w:tr w14:paraId="7A179D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317" w:type="pct"/>
            <w:noWrap w:val="0"/>
            <w:vAlign w:val="center"/>
          </w:tcPr>
          <w:p w14:paraId="3EE91109">
            <w:pPr>
              <w:pStyle w:val="55"/>
              <w:bidi w:val="0"/>
            </w:pPr>
            <w:r>
              <w:t>7</w:t>
            </w:r>
          </w:p>
        </w:tc>
        <w:tc>
          <w:tcPr>
            <w:tcW w:w="780" w:type="pct"/>
            <w:noWrap w:val="0"/>
            <w:vAlign w:val="center"/>
          </w:tcPr>
          <w:p w14:paraId="2B6C33E1">
            <w:pPr>
              <w:pStyle w:val="55"/>
              <w:bidi w:val="0"/>
            </w:pPr>
            <w:r>
              <w:t>照明</w:t>
            </w:r>
          </w:p>
        </w:tc>
        <w:tc>
          <w:tcPr>
            <w:tcW w:w="374" w:type="pct"/>
            <w:noWrap w:val="0"/>
            <w:vAlign w:val="center"/>
          </w:tcPr>
          <w:p w14:paraId="7C09BD3B">
            <w:pPr>
              <w:pStyle w:val="55"/>
              <w:bidi w:val="0"/>
            </w:pPr>
          </w:p>
        </w:tc>
        <w:tc>
          <w:tcPr>
            <w:tcW w:w="343" w:type="pct"/>
            <w:noWrap w:val="0"/>
            <w:vAlign w:val="top"/>
          </w:tcPr>
          <w:p w14:paraId="5BBED58B">
            <w:pPr>
              <w:pStyle w:val="55"/>
              <w:bidi w:val="0"/>
            </w:pPr>
          </w:p>
        </w:tc>
        <w:tc>
          <w:tcPr>
            <w:tcW w:w="2167" w:type="pct"/>
            <w:noWrap w:val="0"/>
            <w:vAlign w:val="center"/>
          </w:tcPr>
          <w:p w14:paraId="137E99CC">
            <w:pPr>
              <w:pStyle w:val="55"/>
              <w:bidi w:val="0"/>
            </w:pPr>
          </w:p>
        </w:tc>
        <w:tc>
          <w:tcPr>
            <w:tcW w:w="675" w:type="pct"/>
            <w:noWrap w:val="0"/>
            <w:vAlign w:val="center"/>
          </w:tcPr>
          <w:p w14:paraId="6555F8C8">
            <w:pPr>
              <w:pStyle w:val="55"/>
              <w:bidi w:val="0"/>
            </w:pPr>
          </w:p>
        </w:tc>
        <w:tc>
          <w:tcPr>
            <w:tcW w:w="340" w:type="pct"/>
            <w:noWrap w:val="0"/>
            <w:vAlign w:val="center"/>
          </w:tcPr>
          <w:p w14:paraId="74513457">
            <w:pPr>
              <w:pStyle w:val="55"/>
              <w:bidi w:val="0"/>
            </w:pPr>
          </w:p>
        </w:tc>
      </w:tr>
      <w:tr w14:paraId="365F3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03" w:hRule="atLeast"/>
          <w:jc w:val="center"/>
        </w:trPr>
        <w:tc>
          <w:tcPr>
            <w:tcW w:w="317" w:type="pct"/>
            <w:noWrap w:val="0"/>
            <w:vAlign w:val="center"/>
          </w:tcPr>
          <w:p w14:paraId="71FDA266">
            <w:pPr>
              <w:pStyle w:val="55"/>
              <w:bidi w:val="0"/>
            </w:pPr>
            <w:r>
              <w:t>7.1</w:t>
            </w:r>
          </w:p>
        </w:tc>
        <w:tc>
          <w:tcPr>
            <w:tcW w:w="780" w:type="pct"/>
            <w:noWrap w:val="0"/>
            <w:vAlign w:val="center"/>
          </w:tcPr>
          <w:p w14:paraId="1899ED61">
            <w:pPr>
              <w:pStyle w:val="55"/>
              <w:bidi w:val="0"/>
            </w:pPr>
            <w:r>
              <w:t>采矿场和排土场照明设施</w:t>
            </w:r>
          </w:p>
        </w:tc>
        <w:tc>
          <w:tcPr>
            <w:tcW w:w="374" w:type="pct"/>
            <w:noWrap w:val="0"/>
            <w:vAlign w:val="center"/>
          </w:tcPr>
          <w:p w14:paraId="4F1693B0">
            <w:pPr>
              <w:pStyle w:val="55"/>
              <w:bidi w:val="0"/>
            </w:pPr>
            <w:r>
              <w:t>基本</w:t>
            </w:r>
          </w:p>
        </w:tc>
        <w:tc>
          <w:tcPr>
            <w:tcW w:w="343" w:type="pct"/>
            <w:noWrap w:val="0"/>
            <w:vAlign w:val="center"/>
          </w:tcPr>
          <w:p w14:paraId="650DBE5E">
            <w:pPr>
              <w:pStyle w:val="55"/>
              <w:bidi w:val="0"/>
            </w:pPr>
            <w:r>
              <w:t>△</w:t>
            </w:r>
          </w:p>
        </w:tc>
        <w:tc>
          <w:tcPr>
            <w:tcW w:w="2167" w:type="pct"/>
            <w:noWrap w:val="0"/>
            <w:vAlign w:val="center"/>
          </w:tcPr>
          <w:p w14:paraId="68AA757A">
            <w:pPr>
              <w:pStyle w:val="55"/>
              <w:bidi w:val="0"/>
            </w:pPr>
            <w:r>
              <w:t>检查内容：设置照明的地点、照明灯具型号、数量是否与批复的安全设施设计一致。</w:t>
            </w:r>
          </w:p>
          <w:p w14:paraId="01C3AF50">
            <w:pPr>
              <w:pStyle w:val="55"/>
              <w:bidi w:val="0"/>
            </w:pPr>
            <w:r>
              <w:t>检查方法：查阅安全设施验收评价报告。</w:t>
            </w:r>
          </w:p>
        </w:tc>
        <w:tc>
          <w:tcPr>
            <w:tcW w:w="675" w:type="pct"/>
            <w:noWrap w:val="0"/>
            <w:vAlign w:val="center"/>
          </w:tcPr>
          <w:p w14:paraId="0A6AEE03">
            <w:pPr>
              <w:pStyle w:val="55"/>
              <w:numPr>
                <w:ilvl w:val="0"/>
                <w:numId w:val="0"/>
              </w:numPr>
              <w:bidi w:val="0"/>
              <w:ind w:left="0" w:leftChars="0" w:firstLine="0" w:firstLineChars="0"/>
            </w:pPr>
            <w:r>
              <w:t>露天采场夜间不作业</w:t>
            </w:r>
            <w:r>
              <w:rPr>
                <w:rFonts w:hint="eastAsia"/>
                <w:lang w:eastAsia="zh-CN"/>
              </w:rPr>
              <w:t>，</w:t>
            </w:r>
            <w:r>
              <w:rPr>
                <w:rFonts w:hint="eastAsia"/>
                <w:lang w:val="en-US" w:eastAsia="zh-CN"/>
              </w:rPr>
              <w:t>不涉及。</w:t>
            </w:r>
          </w:p>
        </w:tc>
        <w:tc>
          <w:tcPr>
            <w:tcW w:w="340" w:type="pct"/>
            <w:noWrap w:val="0"/>
            <w:vAlign w:val="center"/>
          </w:tcPr>
          <w:p w14:paraId="51F42A24">
            <w:pPr>
              <w:pStyle w:val="55"/>
              <w:bidi w:val="0"/>
              <w:ind w:firstLine="0" w:firstLineChars="0"/>
              <w:rPr>
                <w:rFonts w:hint="eastAsia" w:eastAsia="宋体"/>
                <w:lang w:val="en-US" w:eastAsia="zh-CN"/>
              </w:rPr>
            </w:pPr>
            <w:r>
              <w:rPr>
                <w:rFonts w:hint="eastAsia"/>
                <w:lang w:val="en-US" w:eastAsia="zh-CN"/>
              </w:rPr>
              <w:t>符合</w:t>
            </w:r>
          </w:p>
        </w:tc>
      </w:tr>
      <w:tr w14:paraId="73CD2D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17" w:type="pct"/>
            <w:noWrap w:val="0"/>
            <w:vAlign w:val="center"/>
          </w:tcPr>
          <w:p w14:paraId="7DC1119C">
            <w:pPr>
              <w:pStyle w:val="55"/>
              <w:bidi w:val="0"/>
            </w:pPr>
            <w:r>
              <w:t>7.2</w:t>
            </w:r>
          </w:p>
        </w:tc>
        <w:tc>
          <w:tcPr>
            <w:tcW w:w="780" w:type="pct"/>
            <w:noWrap w:val="0"/>
            <w:vAlign w:val="center"/>
          </w:tcPr>
          <w:p w14:paraId="25473426">
            <w:pPr>
              <w:pStyle w:val="55"/>
              <w:bidi w:val="0"/>
            </w:pPr>
            <w:r>
              <w:t>采场变、变配电室应急照明设施</w:t>
            </w:r>
          </w:p>
        </w:tc>
        <w:tc>
          <w:tcPr>
            <w:tcW w:w="374" w:type="pct"/>
            <w:noWrap w:val="0"/>
            <w:vAlign w:val="center"/>
          </w:tcPr>
          <w:p w14:paraId="22BA54D5">
            <w:pPr>
              <w:pStyle w:val="55"/>
              <w:bidi w:val="0"/>
            </w:pPr>
            <w:r>
              <w:t>专用</w:t>
            </w:r>
          </w:p>
        </w:tc>
        <w:tc>
          <w:tcPr>
            <w:tcW w:w="343" w:type="pct"/>
            <w:noWrap w:val="0"/>
            <w:vAlign w:val="center"/>
          </w:tcPr>
          <w:p w14:paraId="0B4937C3">
            <w:pPr>
              <w:pStyle w:val="55"/>
              <w:bidi w:val="0"/>
            </w:pPr>
            <w:r>
              <w:t>△</w:t>
            </w:r>
          </w:p>
        </w:tc>
        <w:tc>
          <w:tcPr>
            <w:tcW w:w="2167" w:type="pct"/>
            <w:noWrap w:val="0"/>
            <w:vAlign w:val="center"/>
          </w:tcPr>
          <w:p w14:paraId="6F681028">
            <w:pPr>
              <w:pStyle w:val="55"/>
              <w:bidi w:val="0"/>
            </w:pPr>
            <w:r>
              <w:t>检查内容：应急照明布置和照度是否与批复的安全设施设计一致。</w:t>
            </w:r>
          </w:p>
          <w:p w14:paraId="3BD74B5B">
            <w:pPr>
              <w:pStyle w:val="55"/>
              <w:bidi w:val="0"/>
            </w:pPr>
            <w:r>
              <w:t>检查方法：查阅安全设施验收评价报告。</w:t>
            </w:r>
          </w:p>
        </w:tc>
        <w:tc>
          <w:tcPr>
            <w:tcW w:w="675" w:type="pct"/>
            <w:noWrap w:val="0"/>
            <w:vAlign w:val="center"/>
          </w:tcPr>
          <w:p w14:paraId="7E774CB2">
            <w:pPr>
              <w:pStyle w:val="55"/>
              <w:numPr>
                <w:ilvl w:val="0"/>
                <w:numId w:val="0"/>
              </w:numPr>
              <w:bidi w:val="0"/>
              <w:ind w:left="0" w:leftChars="0" w:firstLine="0" w:firstLineChars="0"/>
            </w:pPr>
            <w:r>
              <w:rPr>
                <w:rFonts w:hint="eastAsia"/>
                <w:lang w:val="en-US" w:eastAsia="zh-CN"/>
              </w:rPr>
              <w:t>现场检查，</w:t>
            </w:r>
            <w:r>
              <w:t>配电室已设置应急照明设施</w:t>
            </w:r>
            <w:r>
              <w:rPr>
                <w:rFonts w:hint="eastAsia"/>
                <w:lang w:eastAsia="zh-CN"/>
              </w:rPr>
              <w:t>。</w:t>
            </w:r>
          </w:p>
        </w:tc>
        <w:tc>
          <w:tcPr>
            <w:tcW w:w="340" w:type="pct"/>
            <w:noWrap w:val="0"/>
            <w:vAlign w:val="center"/>
          </w:tcPr>
          <w:p w14:paraId="16F108BC">
            <w:pPr>
              <w:pStyle w:val="55"/>
              <w:bidi w:val="0"/>
              <w:ind w:firstLine="0" w:firstLineChars="0"/>
              <w:rPr>
                <w:rFonts w:hint="eastAsia" w:eastAsia="宋体"/>
                <w:lang w:val="en-US" w:eastAsia="zh-CN"/>
              </w:rPr>
            </w:pPr>
            <w:r>
              <w:rPr>
                <w:rFonts w:hint="eastAsia"/>
                <w:lang w:val="en-US" w:eastAsia="zh-CN"/>
              </w:rPr>
              <w:t>符合</w:t>
            </w:r>
          </w:p>
        </w:tc>
      </w:tr>
    </w:tbl>
    <w:p w14:paraId="5FBABE69">
      <w:pPr>
        <w:ind w:firstLine="480"/>
        <w:rPr>
          <w:rFonts w:ascii="Times New Roman" w:hAnsi="Times New Roman"/>
          <w:b/>
          <w:color w:val="000000" w:themeColor="text1"/>
          <w14:textFill>
            <w14:solidFill>
              <w14:schemeClr w14:val="tx1"/>
            </w14:solidFill>
          </w14:textFill>
        </w:rPr>
      </w:pPr>
      <w:r>
        <w:rPr>
          <w:rFonts w:ascii="Times New Roman" w:hAnsi="Times New Roman"/>
          <w:snapToGrid w:val="0"/>
          <w:color w:val="000000" w:themeColor="text1"/>
          <w:kern w:val="0"/>
          <w:sz w:val="24"/>
          <w:szCs w:val="20"/>
          <w14:textFill>
            <w14:solidFill>
              <w14:schemeClr w14:val="tx1"/>
            </w14:solidFill>
          </w14:textFill>
        </w:rPr>
        <w:t>检查类别中，“■”表示该项为否决项，“</w:t>
      </w:r>
      <w:r>
        <w:rPr>
          <w:rFonts w:ascii="Cambria Math" w:hAnsi="Cambria Math" w:cs="Cambria Math"/>
          <w:snapToGrid w:val="0"/>
          <w:color w:val="000000" w:themeColor="text1"/>
          <w:kern w:val="0"/>
          <w:sz w:val="24"/>
          <w:szCs w:val="20"/>
          <w14:textFill>
            <w14:solidFill>
              <w14:schemeClr w14:val="tx1"/>
            </w14:solidFill>
          </w14:textFill>
        </w:rPr>
        <w:t>△</w:t>
      </w:r>
      <w:r>
        <w:rPr>
          <w:rFonts w:ascii="Times New Roman" w:hAnsi="Times New Roman"/>
          <w:snapToGrid w:val="0"/>
          <w:color w:val="000000" w:themeColor="text1"/>
          <w:kern w:val="0"/>
          <w:sz w:val="24"/>
          <w:szCs w:val="20"/>
          <w14:textFill>
            <w14:solidFill>
              <w14:schemeClr w14:val="tx1"/>
            </w14:solidFill>
          </w14:textFill>
        </w:rPr>
        <w:t>”表示为一般项。</w:t>
      </w:r>
    </w:p>
    <w:p w14:paraId="3BD4D32C">
      <w:pPr>
        <w:adjustRightInd w:val="0"/>
        <w:snapToGrid w:val="0"/>
        <w:ind w:firstLine="562"/>
        <w:rPr>
          <w:rFonts w:ascii="Times New Roman" w:hAnsi="Times New Roman"/>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针对供配电系统符合性安全检查表内的</w:t>
      </w:r>
      <w:r>
        <w:rPr>
          <w:rFonts w:hint="eastAsia" w:ascii="Times New Roman" w:hAnsi="Times New Roman"/>
          <w:color w:val="000000" w:themeColor="text1"/>
          <w:lang w:val="en-US" w:eastAsia="zh-CN"/>
          <w14:textFill>
            <w14:solidFill>
              <w14:schemeClr w14:val="tx1"/>
            </w14:solidFill>
          </w14:textFill>
        </w:rPr>
        <w:t>22</w:t>
      </w:r>
      <w:r>
        <w:rPr>
          <w:rFonts w:ascii="Times New Roman" w:hAnsi="Times New Roman"/>
          <w:color w:val="000000" w:themeColor="text1"/>
          <w14:textFill>
            <w14:solidFill>
              <w14:schemeClr w14:val="tx1"/>
            </w14:solidFill>
          </w14:textFill>
        </w:rPr>
        <w:t>项内容，其中</w:t>
      </w:r>
      <w:r>
        <w:rPr>
          <w:rFonts w:hint="eastAsia" w:ascii="Times New Roman" w:hAnsi="Times New Roman"/>
          <w:color w:val="000000" w:themeColor="text1"/>
          <w:lang w:val="en-US" w:eastAsia="zh-CN"/>
          <w14:textFill>
            <w14:solidFill>
              <w14:schemeClr w14:val="tx1"/>
            </w14:solidFill>
          </w14:textFill>
        </w:rPr>
        <w:t>否决项</w:t>
      </w:r>
      <w:r>
        <w:rPr>
          <w:rFonts w:ascii="Times New Roman" w:hAnsi="Times New Roman"/>
          <w:color w:val="000000" w:themeColor="text1"/>
          <w14:textFill>
            <w14:solidFill>
              <w14:schemeClr w14:val="tx1"/>
            </w14:solidFill>
          </w14:textFill>
        </w:rPr>
        <w:t>1项</w:t>
      </w:r>
      <w:r>
        <w:rPr>
          <w:rFonts w:hint="eastAsia" w:ascii="Times New Roman" w:hAnsi="Times New Roman"/>
          <w:color w:val="000000" w:themeColor="text1"/>
          <w:lang w:eastAsia="zh-CN"/>
          <w14:textFill>
            <w14:solidFill>
              <w14:schemeClr w14:val="tx1"/>
            </w14:solidFill>
          </w14:textFill>
        </w:rPr>
        <w:t>，</w:t>
      </w:r>
      <w:r>
        <w:rPr>
          <w:rFonts w:hint="eastAsia" w:ascii="Times New Roman" w:hAnsi="Times New Roman"/>
          <w:color w:val="000000" w:themeColor="text1"/>
          <w:lang w:val="en-US" w:eastAsia="zh-CN"/>
          <w14:textFill>
            <w14:solidFill>
              <w14:schemeClr w14:val="tx1"/>
            </w14:solidFill>
          </w14:textFill>
        </w:rPr>
        <w:t>1项合格。一般项21项，其中15</w:t>
      </w:r>
      <w:r>
        <w:rPr>
          <w:rFonts w:ascii="Times New Roman" w:hAnsi="Times New Roman"/>
          <w:color w:val="000000" w:themeColor="text1"/>
          <w14:textFill>
            <w14:solidFill>
              <w14:schemeClr w14:val="tx1"/>
            </w14:solidFill>
          </w14:textFill>
        </w:rPr>
        <w:t>项合格</w:t>
      </w:r>
      <w:r>
        <w:rPr>
          <w:rFonts w:hint="eastAsia" w:ascii="Times New Roman" w:hAnsi="Times New Roman"/>
          <w:color w:val="000000" w:themeColor="text1"/>
          <w:lang w:eastAsia="zh-CN"/>
          <w14:textFill>
            <w14:solidFill>
              <w14:schemeClr w14:val="tx1"/>
            </w14:solidFill>
          </w14:textFill>
        </w:rPr>
        <w:t>，</w:t>
      </w:r>
      <w:r>
        <w:rPr>
          <w:rFonts w:hint="eastAsia" w:ascii="Times New Roman" w:hAnsi="Times New Roman"/>
          <w:color w:val="000000" w:themeColor="text1"/>
          <w:lang w:val="en-US" w:eastAsia="zh-CN"/>
          <w14:textFill>
            <w14:solidFill>
              <w14:schemeClr w14:val="tx1"/>
            </w14:solidFill>
          </w14:textFill>
        </w:rPr>
        <w:t>6项</w:t>
      </w:r>
      <w:r>
        <w:rPr>
          <w:rFonts w:ascii="Times New Roman" w:hAnsi="Times New Roman"/>
          <w:color w:val="000000" w:themeColor="text1"/>
          <w14:textFill>
            <w14:solidFill>
              <w14:schemeClr w14:val="tx1"/>
            </w14:solidFill>
          </w14:textFill>
        </w:rPr>
        <w:t>不涉及</w:t>
      </w:r>
      <w:r>
        <w:rPr>
          <w:rFonts w:hint="eastAsia" w:ascii="Times New Roman" w:hAnsi="Times New Roman"/>
          <w:color w:val="000000" w:themeColor="text1"/>
          <w:lang w:val="en-US" w:eastAsia="zh-CN"/>
          <w14:textFill>
            <w14:solidFill>
              <w14:schemeClr w14:val="tx1"/>
            </w14:solidFill>
          </w14:textFill>
        </w:rPr>
        <w:t>。</w:t>
      </w:r>
    </w:p>
    <w:p w14:paraId="2B3E7220">
      <w:pPr>
        <w:pStyle w:val="4"/>
        <w:bidi w:val="0"/>
      </w:pPr>
      <w:bookmarkStart w:id="347" w:name="_Toc476244173"/>
      <w:bookmarkStart w:id="348" w:name="_Toc214284044"/>
      <w:bookmarkStart w:id="349" w:name="_Toc978"/>
      <w:bookmarkStart w:id="350" w:name="_Toc22439"/>
      <w:bookmarkStart w:id="351" w:name="_Toc9079"/>
      <w:bookmarkStart w:id="352" w:name="_Toc30365"/>
      <w:bookmarkStart w:id="353" w:name="_Toc454614332"/>
      <w:bookmarkStart w:id="354" w:name="_Toc20380"/>
      <w:r>
        <w:t>3.5.2单元小结</w:t>
      </w:r>
      <w:bookmarkEnd w:id="347"/>
      <w:bookmarkEnd w:id="348"/>
      <w:bookmarkEnd w:id="349"/>
      <w:bookmarkEnd w:id="350"/>
      <w:bookmarkEnd w:id="351"/>
      <w:bookmarkEnd w:id="352"/>
      <w:bookmarkEnd w:id="353"/>
      <w:bookmarkEnd w:id="354"/>
    </w:p>
    <w:p w14:paraId="15AD0B6C">
      <w:pPr>
        <w:adjustRightInd w:val="0"/>
        <w:snapToGrid w:val="0"/>
        <w:ind w:firstLine="56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矿山所用的</w:t>
      </w:r>
      <w:r>
        <w:rPr>
          <w:rFonts w:hint="eastAsia" w:ascii="Times New Roman" w:hAnsi="Times New Roman"/>
          <w:color w:val="000000" w:themeColor="text1"/>
          <w:lang w:val="en-US" w:eastAsia="zh-CN"/>
          <w14:textFill>
            <w14:solidFill>
              <w14:schemeClr w14:val="tx1"/>
            </w14:solidFill>
          </w14:textFill>
        </w:rPr>
        <w:t>电气设施全部利旧</w:t>
      </w:r>
      <w:r>
        <w:rPr>
          <w:rFonts w:ascii="Times New Roman" w:hAnsi="Times New Roman"/>
          <w:color w:val="000000" w:themeColor="text1"/>
          <w14:textFill>
            <w14:solidFill>
              <w14:schemeClr w14:val="tx1"/>
            </w14:solidFill>
          </w14:textFill>
        </w:rPr>
        <w:t>，安全保护装置齐全、有效，用电设备接地良好，其他设备运转正常，安全装置基本正常，经评价认为该单元满足安全生产要求。</w:t>
      </w:r>
    </w:p>
    <w:p w14:paraId="2A9BE0E3">
      <w:pPr>
        <w:pStyle w:val="3"/>
        <w:bidi w:val="0"/>
      </w:pPr>
      <w:bookmarkStart w:id="355" w:name="_Toc214284045"/>
      <w:bookmarkStart w:id="356" w:name="_Toc8081"/>
      <w:bookmarkStart w:id="357" w:name="_Toc15611"/>
      <w:r>
        <w:t>3.6总平面布置</w:t>
      </w:r>
      <w:bookmarkEnd w:id="355"/>
      <w:bookmarkEnd w:id="356"/>
      <w:bookmarkEnd w:id="357"/>
    </w:p>
    <w:p w14:paraId="4CDF4476">
      <w:pPr>
        <w:pStyle w:val="4"/>
        <w:bidi w:val="0"/>
        <w:rPr>
          <w:rFonts w:hint="eastAsia"/>
          <w:lang w:val="en-US" w:eastAsia="zh-CN"/>
        </w:rPr>
      </w:pPr>
      <w:bookmarkStart w:id="358" w:name="_Toc3461"/>
      <w:bookmarkStart w:id="359" w:name="_Toc22070"/>
      <w:bookmarkStart w:id="360" w:name="_Toc214284046"/>
      <w:bookmarkStart w:id="361" w:name="_Toc10075"/>
      <w:r>
        <w:rPr>
          <w:lang w:val="en-US" w:eastAsia="zh-CN"/>
        </w:rPr>
        <w:t>3.6.1工业场地</w:t>
      </w:r>
      <w:bookmarkEnd w:id="358"/>
      <w:bookmarkEnd w:id="359"/>
    </w:p>
    <w:p w14:paraId="0DD3AD04">
      <w:pPr>
        <w:bidi w:val="0"/>
        <w:rPr>
          <w:rFonts w:hint="eastAsia"/>
          <w:lang w:val="en-US" w:eastAsia="zh-CN"/>
        </w:rPr>
      </w:pPr>
      <w:r>
        <w:rPr>
          <w:rFonts w:hint="eastAsia"/>
          <w:lang w:val="en-US" w:eastAsia="zh-CN"/>
        </w:rPr>
        <w:t>1、按照《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对照有关法规规范，编制安全检查表检查。</w:t>
      </w:r>
    </w:p>
    <w:p w14:paraId="0C167D3B">
      <w:pPr>
        <w:rPr>
          <w:rFonts w:hint="eastAsia"/>
          <w:lang w:val="en-US" w:eastAsia="zh-CN"/>
        </w:rPr>
      </w:pPr>
      <w:r>
        <w:rPr>
          <w:rFonts w:hint="eastAsia"/>
          <w:lang w:val="en-US" w:eastAsia="zh-CN"/>
        </w:rPr>
        <w:br w:type="page"/>
      </w:r>
    </w:p>
    <w:p w14:paraId="4C06A51A">
      <w:pPr>
        <w:pStyle w:val="73"/>
        <w:bidi w:val="0"/>
        <w:rPr>
          <w:lang w:val="en-US" w:eastAsia="en-US"/>
        </w:rPr>
      </w:pPr>
      <w:r>
        <w:rPr>
          <w:lang w:val="en-US" w:eastAsia="en-US"/>
        </w:rPr>
        <w:t>表3</w:t>
      </w:r>
      <w:r>
        <w:rPr>
          <w:rFonts w:hint="eastAsia"/>
          <w:lang w:val="en-US" w:eastAsia="zh-CN"/>
        </w:rPr>
        <w:t>.6-1</w:t>
      </w:r>
      <w:r>
        <w:rPr>
          <w:lang w:val="en-US" w:eastAsia="en-US"/>
        </w:rPr>
        <w:t>工业场地安全检查</w:t>
      </w:r>
    </w:p>
    <w:tbl>
      <w:tblPr>
        <w:tblStyle w:val="36"/>
        <w:tblW w:w="96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47"/>
        <w:gridCol w:w="4350"/>
        <w:gridCol w:w="2141"/>
        <w:gridCol w:w="1827"/>
        <w:gridCol w:w="710"/>
      </w:tblGrid>
      <w:tr w14:paraId="09CB1C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top"/>
          </w:tcPr>
          <w:p w14:paraId="51EAA169">
            <w:pPr>
              <w:pStyle w:val="47"/>
              <w:bidi w:val="0"/>
              <w:ind w:firstLine="0" w:firstLineChars="0"/>
              <w:rPr>
                <w:vertAlign w:val="baseline"/>
                <w:lang w:val="en-US" w:eastAsia="en-US"/>
              </w:rPr>
            </w:pPr>
            <w:r>
              <w:rPr>
                <w:rFonts w:hint="eastAsia"/>
                <w:lang w:val="en-US" w:eastAsia="zh-CN"/>
              </w:rPr>
              <w:t>序号</w:t>
            </w:r>
          </w:p>
        </w:tc>
        <w:tc>
          <w:tcPr>
            <w:tcW w:w="4350" w:type="dxa"/>
            <w:vAlign w:val="top"/>
          </w:tcPr>
          <w:p w14:paraId="7221CD89">
            <w:pPr>
              <w:pStyle w:val="47"/>
              <w:bidi w:val="0"/>
              <w:ind w:firstLine="0" w:firstLineChars="0"/>
              <w:rPr>
                <w:vertAlign w:val="baseline"/>
                <w:lang w:val="en-US" w:eastAsia="en-US"/>
              </w:rPr>
            </w:pPr>
            <w:r>
              <w:rPr>
                <w:lang w:eastAsia="en-US"/>
              </w:rPr>
              <w:t>检查内容</w:t>
            </w:r>
          </w:p>
        </w:tc>
        <w:tc>
          <w:tcPr>
            <w:tcW w:w="2141" w:type="dxa"/>
            <w:vAlign w:val="top"/>
          </w:tcPr>
          <w:p w14:paraId="3914D3A9">
            <w:pPr>
              <w:pStyle w:val="47"/>
              <w:bidi w:val="0"/>
              <w:ind w:firstLine="0" w:firstLineChars="0"/>
              <w:rPr>
                <w:vertAlign w:val="baseline"/>
                <w:lang w:val="en-US" w:eastAsia="en-US"/>
              </w:rPr>
            </w:pPr>
            <w:r>
              <w:rPr>
                <w:lang w:eastAsia="en-US"/>
              </w:rPr>
              <w:t>依据标准条款</w:t>
            </w:r>
          </w:p>
        </w:tc>
        <w:tc>
          <w:tcPr>
            <w:tcW w:w="1827" w:type="dxa"/>
            <w:vAlign w:val="top"/>
          </w:tcPr>
          <w:p w14:paraId="303F031E">
            <w:pPr>
              <w:pStyle w:val="47"/>
              <w:bidi w:val="0"/>
              <w:ind w:firstLine="0" w:firstLineChars="0"/>
              <w:rPr>
                <w:vertAlign w:val="baseline"/>
                <w:lang w:val="en-US" w:eastAsia="en-US"/>
              </w:rPr>
            </w:pPr>
            <w:r>
              <w:rPr>
                <w:lang w:eastAsia="en-US"/>
              </w:rPr>
              <w:t>检查情况</w:t>
            </w:r>
          </w:p>
        </w:tc>
        <w:tc>
          <w:tcPr>
            <w:tcW w:w="710" w:type="dxa"/>
            <w:vAlign w:val="center"/>
          </w:tcPr>
          <w:p w14:paraId="03D26603">
            <w:pPr>
              <w:pStyle w:val="47"/>
              <w:bidi w:val="0"/>
              <w:ind w:firstLine="0" w:firstLineChars="0"/>
              <w:rPr>
                <w:vertAlign w:val="baseline"/>
                <w:lang w:val="en-US" w:eastAsia="en-US"/>
              </w:rPr>
            </w:pPr>
            <w:r>
              <w:rPr>
                <w:lang w:eastAsia="en-US"/>
              </w:rPr>
              <w:t>检查结果</w:t>
            </w:r>
          </w:p>
        </w:tc>
      </w:tr>
      <w:tr w14:paraId="6CA3D7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8" w:hRule="atLeast"/>
        </w:trPr>
        <w:tc>
          <w:tcPr>
            <w:tcW w:w="647" w:type="dxa"/>
            <w:vAlign w:val="center"/>
          </w:tcPr>
          <w:p w14:paraId="3420B036">
            <w:pPr>
              <w:pStyle w:val="50"/>
              <w:bidi w:val="0"/>
              <w:ind w:firstLine="0" w:firstLineChars="0"/>
              <w:rPr>
                <w:vertAlign w:val="baseline"/>
                <w:lang w:val="en-US" w:eastAsia="en-US"/>
              </w:rPr>
            </w:pPr>
            <w:r>
              <w:rPr>
                <w:rFonts w:hint="eastAsia"/>
                <w:lang w:val="en-US" w:eastAsia="zh-CN"/>
              </w:rPr>
              <w:t>1</w:t>
            </w:r>
          </w:p>
        </w:tc>
        <w:tc>
          <w:tcPr>
            <w:tcW w:w="4350" w:type="dxa"/>
            <w:vAlign w:val="center"/>
          </w:tcPr>
          <w:p w14:paraId="25E66612">
            <w:pPr>
              <w:pStyle w:val="50"/>
              <w:bidi w:val="0"/>
              <w:ind w:firstLine="0" w:firstLineChars="0"/>
              <w:rPr>
                <w:vertAlign w:val="baseline"/>
                <w:lang w:val="en-US" w:eastAsia="en-US"/>
              </w:rPr>
            </w:pPr>
            <w:r>
              <w:rPr>
                <w:rFonts w:hint="eastAsia"/>
              </w:rPr>
              <w:t>厂址应具有满足生产、生活及发展所必需的水源和电源。</w:t>
            </w:r>
          </w:p>
        </w:tc>
        <w:tc>
          <w:tcPr>
            <w:tcW w:w="2141" w:type="dxa"/>
            <w:vAlign w:val="top"/>
          </w:tcPr>
          <w:p w14:paraId="7B6C3454">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w:t>
            </w:r>
            <w:r>
              <w:t>3.0.6</w:t>
            </w:r>
            <w:r>
              <w:rPr>
                <w:lang w:val="en-US" w:eastAsia="en-US"/>
              </w:rPr>
              <w:t>条</w:t>
            </w:r>
          </w:p>
        </w:tc>
        <w:tc>
          <w:tcPr>
            <w:tcW w:w="1827" w:type="dxa"/>
            <w:vAlign w:val="top"/>
          </w:tcPr>
          <w:p w14:paraId="61D014FB">
            <w:pPr>
              <w:pStyle w:val="50"/>
              <w:bidi w:val="0"/>
              <w:ind w:firstLine="0" w:firstLineChars="0"/>
              <w:rPr>
                <w:vertAlign w:val="baseline"/>
                <w:lang w:val="en-US" w:eastAsia="en-US"/>
              </w:rPr>
            </w:pPr>
            <w:r>
              <w:rPr>
                <w:rFonts w:hint="eastAsia"/>
              </w:rPr>
              <w:t>有水源和电源</w:t>
            </w:r>
          </w:p>
        </w:tc>
        <w:tc>
          <w:tcPr>
            <w:tcW w:w="710" w:type="dxa"/>
            <w:vAlign w:val="center"/>
          </w:tcPr>
          <w:p w14:paraId="3182472F">
            <w:pPr>
              <w:pStyle w:val="50"/>
              <w:bidi w:val="0"/>
              <w:ind w:firstLine="0" w:firstLineChars="0"/>
              <w:rPr>
                <w:vertAlign w:val="baseline"/>
                <w:lang w:val="en-US" w:eastAsia="en-US"/>
              </w:rPr>
            </w:pPr>
            <w:r>
              <w:rPr>
                <w:rFonts w:hint="eastAsia"/>
                <w:lang w:val="en-US" w:eastAsia="zh-CN"/>
              </w:rPr>
              <w:t>符合</w:t>
            </w:r>
          </w:p>
        </w:tc>
      </w:tr>
      <w:tr w14:paraId="0013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13" w:hRule="atLeast"/>
        </w:trPr>
        <w:tc>
          <w:tcPr>
            <w:tcW w:w="647" w:type="dxa"/>
            <w:vAlign w:val="center"/>
          </w:tcPr>
          <w:p w14:paraId="2C6F4915">
            <w:pPr>
              <w:pStyle w:val="50"/>
              <w:bidi w:val="0"/>
              <w:ind w:firstLine="0" w:firstLineChars="0"/>
              <w:rPr>
                <w:vertAlign w:val="baseline"/>
                <w:lang w:val="en-US" w:eastAsia="en-US"/>
              </w:rPr>
            </w:pPr>
            <w:r>
              <w:rPr>
                <w:rFonts w:hint="eastAsia"/>
                <w:lang w:val="en-US" w:eastAsia="zh-CN"/>
              </w:rPr>
              <w:t>2</w:t>
            </w:r>
          </w:p>
        </w:tc>
        <w:tc>
          <w:tcPr>
            <w:tcW w:w="4350" w:type="dxa"/>
            <w:vAlign w:val="center"/>
          </w:tcPr>
          <w:p w14:paraId="7E90995A">
            <w:pPr>
              <w:pStyle w:val="50"/>
              <w:bidi w:val="0"/>
              <w:ind w:firstLine="0" w:firstLineChars="0"/>
              <w:rPr>
                <w:vertAlign w:val="baseline"/>
                <w:lang w:val="en-US" w:eastAsia="en-US"/>
              </w:rPr>
            </w:pPr>
            <w:r>
              <w:rPr>
                <w:rFonts w:hint="eastAsia"/>
              </w:rPr>
              <w:t>厂址不受洪水、潮水或内涝威胁的地带</w:t>
            </w:r>
          </w:p>
        </w:tc>
        <w:tc>
          <w:tcPr>
            <w:tcW w:w="2141" w:type="dxa"/>
            <w:vAlign w:val="top"/>
          </w:tcPr>
          <w:p w14:paraId="3FBD5872">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w:t>
            </w:r>
            <w:r>
              <w:rPr>
                <w:rFonts w:hint="eastAsia"/>
                <w:lang w:val="en-US" w:eastAsia="zh-CN"/>
              </w:rPr>
              <w:t>3.0.8</w:t>
            </w:r>
            <w:r>
              <w:rPr>
                <w:lang w:val="en-US" w:eastAsia="en-US"/>
              </w:rPr>
              <w:t>条</w:t>
            </w:r>
          </w:p>
        </w:tc>
        <w:tc>
          <w:tcPr>
            <w:tcW w:w="1827" w:type="dxa"/>
            <w:vAlign w:val="top"/>
          </w:tcPr>
          <w:p w14:paraId="509B2B07">
            <w:pPr>
              <w:pStyle w:val="50"/>
              <w:bidi w:val="0"/>
              <w:ind w:firstLine="0" w:firstLineChars="0"/>
              <w:rPr>
                <w:vertAlign w:val="baseline"/>
                <w:lang w:val="en-US" w:eastAsia="en-US"/>
              </w:rPr>
            </w:pPr>
            <w:r>
              <w:rPr>
                <w:rFonts w:hint="eastAsia"/>
              </w:rPr>
              <w:t>厂址不受洪水、潮水或内涝威胁</w:t>
            </w:r>
          </w:p>
        </w:tc>
        <w:tc>
          <w:tcPr>
            <w:tcW w:w="710" w:type="dxa"/>
            <w:vAlign w:val="center"/>
          </w:tcPr>
          <w:p w14:paraId="247B8594">
            <w:pPr>
              <w:pStyle w:val="50"/>
              <w:bidi w:val="0"/>
              <w:ind w:firstLine="0" w:firstLineChars="0"/>
              <w:rPr>
                <w:vertAlign w:val="baseline"/>
                <w:lang w:val="en-US" w:eastAsia="en-US"/>
              </w:rPr>
            </w:pPr>
            <w:r>
              <w:rPr>
                <w:rFonts w:hint="eastAsia"/>
                <w:lang w:val="en-US" w:eastAsia="zh-CN"/>
              </w:rPr>
              <w:t>符合</w:t>
            </w:r>
          </w:p>
        </w:tc>
      </w:tr>
      <w:tr w14:paraId="5BB463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56" w:hRule="atLeast"/>
        </w:trPr>
        <w:tc>
          <w:tcPr>
            <w:tcW w:w="647" w:type="dxa"/>
            <w:vAlign w:val="center"/>
          </w:tcPr>
          <w:p w14:paraId="457BDB42">
            <w:pPr>
              <w:pStyle w:val="50"/>
              <w:bidi w:val="0"/>
              <w:ind w:firstLine="0" w:firstLineChars="0"/>
              <w:rPr>
                <w:vertAlign w:val="baseline"/>
                <w:lang w:val="en-US" w:eastAsia="en-US"/>
              </w:rPr>
            </w:pPr>
            <w:r>
              <w:rPr>
                <w:rFonts w:hint="eastAsia"/>
                <w:lang w:val="en-US" w:eastAsia="zh-CN"/>
              </w:rPr>
              <w:t>3</w:t>
            </w:r>
          </w:p>
        </w:tc>
        <w:tc>
          <w:tcPr>
            <w:tcW w:w="4350" w:type="dxa"/>
            <w:vAlign w:val="center"/>
          </w:tcPr>
          <w:p w14:paraId="035A3814">
            <w:pPr>
              <w:pStyle w:val="50"/>
              <w:bidi w:val="0"/>
              <w:ind w:firstLine="0" w:firstLineChars="0"/>
              <w:rPr>
                <w:vertAlign w:val="baseline"/>
                <w:lang w:val="en-US" w:eastAsia="en-US"/>
              </w:rPr>
            </w:pPr>
            <w:r>
              <w:rPr>
                <w:rFonts w:hint="eastAsia"/>
              </w:rPr>
              <w:t>厂址应具有满足建设工程需要的工程地质条件和水文地质条件。</w:t>
            </w:r>
          </w:p>
        </w:tc>
        <w:tc>
          <w:tcPr>
            <w:tcW w:w="2141" w:type="dxa"/>
            <w:vAlign w:val="top"/>
          </w:tcPr>
          <w:p w14:paraId="4AC21B40">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w:t>
            </w:r>
            <w:r>
              <w:rPr>
                <w:rFonts w:hint="eastAsia"/>
                <w:lang w:val="en-US" w:eastAsia="zh-CN"/>
              </w:rPr>
              <w:t>3.0.12</w:t>
            </w:r>
            <w:r>
              <w:rPr>
                <w:lang w:val="en-US" w:eastAsia="en-US"/>
              </w:rPr>
              <w:t>条</w:t>
            </w:r>
          </w:p>
        </w:tc>
        <w:tc>
          <w:tcPr>
            <w:tcW w:w="1827" w:type="dxa"/>
            <w:vAlign w:val="top"/>
          </w:tcPr>
          <w:p w14:paraId="2F9DB137">
            <w:pPr>
              <w:pStyle w:val="59"/>
              <w:bidi w:val="0"/>
              <w:ind w:firstLine="0" w:firstLineChars="0"/>
              <w:rPr>
                <w:vertAlign w:val="baseline"/>
                <w:lang w:val="en-US" w:eastAsia="en-US"/>
              </w:rPr>
            </w:pPr>
            <w:r>
              <w:rPr>
                <w:rFonts w:hint="default"/>
              </w:rPr>
              <w:t>工程地质条件中等</w:t>
            </w:r>
            <w:r>
              <w:rPr>
                <w:rFonts w:hint="default"/>
                <w:lang w:eastAsia="zh-CN"/>
              </w:rPr>
              <w:t>类型</w:t>
            </w:r>
            <w:r>
              <w:rPr>
                <w:rFonts w:hint="eastAsia"/>
                <w:lang w:eastAsia="zh-CN"/>
              </w:rPr>
              <w:t>、</w:t>
            </w:r>
            <w:r>
              <w:rPr>
                <w:rFonts w:hint="default"/>
              </w:rPr>
              <w:t>水文地质</w:t>
            </w:r>
            <w:r>
              <w:rPr>
                <w:rFonts w:hint="default"/>
                <w:lang w:val="en-US" w:eastAsia="zh-CN"/>
              </w:rPr>
              <w:t>勘查类型属岩溶裂隙含水层充水为主的简单类型。</w:t>
            </w:r>
          </w:p>
        </w:tc>
        <w:tc>
          <w:tcPr>
            <w:tcW w:w="710" w:type="dxa"/>
            <w:vAlign w:val="center"/>
          </w:tcPr>
          <w:p w14:paraId="3C8538DB">
            <w:pPr>
              <w:pStyle w:val="50"/>
              <w:bidi w:val="0"/>
              <w:ind w:firstLine="0" w:firstLineChars="0"/>
              <w:rPr>
                <w:vertAlign w:val="baseline"/>
                <w:lang w:val="en-US" w:eastAsia="en-US"/>
              </w:rPr>
            </w:pPr>
            <w:r>
              <w:rPr>
                <w:rFonts w:hint="eastAsia"/>
                <w:lang w:val="en-US" w:eastAsia="zh-CN"/>
              </w:rPr>
              <w:t>符合</w:t>
            </w:r>
          </w:p>
        </w:tc>
      </w:tr>
      <w:tr w14:paraId="772170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33" w:hRule="atLeast"/>
        </w:trPr>
        <w:tc>
          <w:tcPr>
            <w:tcW w:w="647" w:type="dxa"/>
            <w:vAlign w:val="center"/>
          </w:tcPr>
          <w:p w14:paraId="35E8C8A4">
            <w:pPr>
              <w:pStyle w:val="50"/>
              <w:bidi w:val="0"/>
              <w:ind w:firstLine="0" w:firstLineChars="0"/>
              <w:rPr>
                <w:vertAlign w:val="baseline"/>
                <w:lang w:val="en-US" w:eastAsia="en-US"/>
              </w:rPr>
            </w:pPr>
            <w:r>
              <w:rPr>
                <w:rFonts w:hint="eastAsia"/>
                <w:lang w:val="en-US" w:eastAsia="zh-CN"/>
              </w:rPr>
              <w:t>4</w:t>
            </w:r>
          </w:p>
        </w:tc>
        <w:tc>
          <w:tcPr>
            <w:tcW w:w="4350" w:type="dxa"/>
            <w:vAlign w:val="center"/>
          </w:tcPr>
          <w:p w14:paraId="0E941DB7">
            <w:pPr>
              <w:pStyle w:val="50"/>
              <w:bidi w:val="0"/>
              <w:ind w:firstLine="0" w:firstLineChars="0"/>
              <w:rPr>
                <w:vertAlign w:val="baseline"/>
                <w:lang w:val="en-US" w:eastAsia="en-US"/>
              </w:rPr>
            </w:pPr>
            <w:r>
              <w:rPr>
                <w:rFonts w:hint="eastAsia"/>
              </w:rPr>
              <w:t>下列地段和地区不应选为厂址</w:t>
            </w:r>
            <w:r>
              <w:rPr>
                <w:rFonts w:hint="eastAsia"/>
                <w:lang w:eastAsia="zh-CN"/>
              </w:rPr>
              <w:t>：（</w:t>
            </w:r>
            <w:r>
              <w:rPr>
                <w:rFonts w:hint="eastAsia"/>
                <w:lang w:val="en-US" w:eastAsia="zh-CN"/>
              </w:rPr>
              <w:t>1</w:t>
            </w:r>
            <w:r>
              <w:rPr>
                <w:rFonts w:hint="eastAsia"/>
                <w:lang w:eastAsia="zh-CN"/>
              </w:rPr>
              <w:t>）</w:t>
            </w:r>
            <w:r>
              <w:rPr>
                <w:rFonts w:hint="eastAsia"/>
              </w:rPr>
              <w:t>发震断层和抗震设防烈度为9度及高于9度的地震区；</w:t>
            </w:r>
            <w:r>
              <w:rPr>
                <w:rFonts w:hint="eastAsia"/>
                <w:lang w:eastAsia="zh-CN"/>
              </w:rPr>
              <w:t>（</w:t>
            </w:r>
            <w:r>
              <w:rPr>
                <w:rFonts w:hint="eastAsia"/>
              </w:rPr>
              <w:t>2</w:t>
            </w:r>
            <w:r>
              <w:rPr>
                <w:rFonts w:hint="eastAsia"/>
                <w:lang w:eastAsia="zh-CN"/>
              </w:rPr>
              <w:t>）</w:t>
            </w:r>
            <w:r>
              <w:rPr>
                <w:rFonts w:hint="eastAsia"/>
              </w:rPr>
              <w:t>有泥石流、滑坡、流沙、溶洞等直接危害的地段；</w:t>
            </w:r>
            <w:r>
              <w:rPr>
                <w:rFonts w:hint="eastAsia"/>
                <w:lang w:eastAsia="zh-CN"/>
              </w:rPr>
              <w:t>（</w:t>
            </w:r>
            <w:r>
              <w:rPr>
                <w:rFonts w:hint="eastAsia"/>
              </w:rPr>
              <w:t>3</w:t>
            </w:r>
            <w:r>
              <w:rPr>
                <w:rFonts w:hint="eastAsia"/>
                <w:lang w:eastAsia="zh-CN"/>
              </w:rPr>
              <w:t>）</w:t>
            </w:r>
            <w:r>
              <w:rPr>
                <w:rFonts w:hint="eastAsia"/>
              </w:rPr>
              <w:t>采矿陷落（错动）区地表界限内；</w:t>
            </w:r>
            <w:r>
              <w:rPr>
                <w:rFonts w:hint="eastAsia"/>
                <w:lang w:eastAsia="zh-CN"/>
              </w:rPr>
              <w:t>（</w:t>
            </w:r>
            <w:r>
              <w:rPr>
                <w:rFonts w:hint="eastAsia"/>
              </w:rPr>
              <w:t>4</w:t>
            </w:r>
            <w:r>
              <w:rPr>
                <w:rFonts w:hint="eastAsia"/>
                <w:lang w:eastAsia="zh-CN"/>
              </w:rPr>
              <w:t>）</w:t>
            </w:r>
            <w:r>
              <w:rPr>
                <w:rFonts w:hint="eastAsia"/>
              </w:rPr>
              <w:t>爆破危险界限内；</w:t>
            </w:r>
            <w:r>
              <w:rPr>
                <w:rFonts w:hint="eastAsia"/>
                <w:lang w:eastAsia="zh-CN"/>
              </w:rPr>
              <w:t>（</w:t>
            </w:r>
            <w:r>
              <w:rPr>
                <w:rFonts w:hint="eastAsia"/>
              </w:rPr>
              <w:t>5</w:t>
            </w:r>
            <w:r>
              <w:rPr>
                <w:rFonts w:hint="eastAsia"/>
                <w:lang w:eastAsia="zh-CN"/>
              </w:rPr>
              <w:t>）</w:t>
            </w:r>
            <w:r>
              <w:rPr>
                <w:rFonts w:hint="eastAsia"/>
              </w:rPr>
              <w:t>坝或堤决溃后可能淹没的地区；</w:t>
            </w:r>
            <w:r>
              <w:rPr>
                <w:rFonts w:hint="eastAsia"/>
                <w:lang w:eastAsia="zh-CN"/>
              </w:rPr>
              <w:t>（</w:t>
            </w:r>
            <w:r>
              <w:rPr>
                <w:rFonts w:hint="eastAsia"/>
              </w:rPr>
              <w:t>6</w:t>
            </w:r>
            <w:r>
              <w:rPr>
                <w:rFonts w:hint="eastAsia"/>
                <w:lang w:eastAsia="zh-CN"/>
              </w:rPr>
              <w:t>）</w:t>
            </w:r>
            <w:r>
              <w:rPr>
                <w:rFonts w:hint="eastAsia"/>
              </w:rPr>
              <w:t>有严重放射性物质污染影响区；</w:t>
            </w:r>
            <w:r>
              <w:rPr>
                <w:rFonts w:hint="eastAsia"/>
                <w:lang w:eastAsia="zh-CN"/>
              </w:rPr>
              <w:t>（</w:t>
            </w:r>
            <w:r>
              <w:rPr>
                <w:rFonts w:hint="eastAsia"/>
              </w:rPr>
              <w:t>7</w:t>
            </w:r>
            <w:r>
              <w:rPr>
                <w:rFonts w:hint="eastAsia"/>
                <w:lang w:eastAsia="zh-CN"/>
              </w:rPr>
              <w:t>）</w:t>
            </w:r>
            <w:r>
              <w:rPr>
                <w:rFonts w:hint="eastAsia"/>
              </w:rPr>
              <w:t>生活居住区、文教区、水源保护区、名胜古迹、风景游览区、温泉、疗养区、自然保护区</w:t>
            </w:r>
            <w:r>
              <w:rPr>
                <w:rFonts w:hint="eastAsia"/>
                <w:lang w:eastAsia="zh-CN"/>
              </w:rPr>
              <w:t>和其他</w:t>
            </w:r>
            <w:r>
              <w:rPr>
                <w:rFonts w:hint="eastAsia"/>
              </w:rPr>
              <w:t>需要特别保护的区域；</w:t>
            </w:r>
            <w:r>
              <w:rPr>
                <w:rFonts w:hint="eastAsia"/>
                <w:lang w:eastAsia="zh-CN"/>
              </w:rPr>
              <w:t>（</w:t>
            </w:r>
            <w:r>
              <w:rPr>
                <w:rFonts w:hint="eastAsia"/>
              </w:rPr>
              <w:t>8</w:t>
            </w:r>
            <w:r>
              <w:rPr>
                <w:rFonts w:hint="eastAsia"/>
                <w:lang w:eastAsia="zh-CN"/>
              </w:rPr>
              <w:t>）</w:t>
            </w:r>
            <w:r>
              <w:rPr>
                <w:rFonts w:hint="eastAsia"/>
              </w:rPr>
              <w:t>对飞机起落、电台通讯、电视转播、雷达导航和重要的天文、气象、地震观察以及军事设施等规定有影响的范围内；</w:t>
            </w:r>
            <w:r>
              <w:rPr>
                <w:rFonts w:hint="eastAsia"/>
                <w:lang w:eastAsia="zh-CN"/>
              </w:rPr>
              <w:t>（</w:t>
            </w:r>
            <w:r>
              <w:rPr>
                <w:rFonts w:hint="eastAsia"/>
              </w:rPr>
              <w:t>9</w:t>
            </w:r>
            <w:r>
              <w:rPr>
                <w:rFonts w:hint="eastAsia"/>
                <w:lang w:eastAsia="zh-CN"/>
              </w:rPr>
              <w:t>）</w:t>
            </w:r>
            <w:r>
              <w:rPr>
                <w:rFonts w:hint="eastAsia"/>
              </w:rPr>
              <w:t>很严重的自重湿陷性黄土地段，厚度大的新近堆积黄土地段和高压缩性的饱和黄土地段等地质条件恶劣地段；</w:t>
            </w:r>
            <w:r>
              <w:rPr>
                <w:rFonts w:hint="eastAsia"/>
                <w:lang w:eastAsia="zh-CN"/>
              </w:rPr>
              <w:t>（</w:t>
            </w:r>
            <w:r>
              <w:rPr>
                <w:rFonts w:hint="eastAsia"/>
              </w:rPr>
              <w:t>10</w:t>
            </w:r>
            <w:r>
              <w:rPr>
                <w:rFonts w:hint="eastAsia"/>
                <w:lang w:eastAsia="zh-CN"/>
              </w:rPr>
              <w:t>）</w:t>
            </w:r>
            <w:r>
              <w:rPr>
                <w:rFonts w:hint="eastAsia"/>
              </w:rPr>
              <w:t>具有开采价值的矿藏区；</w:t>
            </w:r>
            <w:r>
              <w:rPr>
                <w:rFonts w:hint="eastAsia"/>
                <w:lang w:eastAsia="zh-CN"/>
              </w:rPr>
              <w:t>（</w:t>
            </w:r>
            <w:r>
              <w:rPr>
                <w:rFonts w:hint="eastAsia"/>
              </w:rPr>
              <w:t>11</w:t>
            </w:r>
            <w:r>
              <w:rPr>
                <w:rFonts w:hint="eastAsia"/>
                <w:lang w:eastAsia="zh-CN"/>
              </w:rPr>
              <w:t>）</w:t>
            </w:r>
            <w:r>
              <w:rPr>
                <w:rFonts w:hint="eastAsia"/>
              </w:rPr>
              <w:t>受海啸或湖涌危害的地区。</w:t>
            </w:r>
          </w:p>
        </w:tc>
        <w:tc>
          <w:tcPr>
            <w:tcW w:w="2141" w:type="dxa"/>
            <w:vAlign w:val="top"/>
          </w:tcPr>
          <w:p w14:paraId="112BF8BF">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w:t>
            </w:r>
            <w:r>
              <w:rPr>
                <w:rFonts w:hint="eastAsia"/>
                <w:lang w:val="en-US" w:eastAsia="zh-CN"/>
              </w:rPr>
              <w:t>3.0.14</w:t>
            </w:r>
            <w:r>
              <w:rPr>
                <w:lang w:val="en-US" w:eastAsia="en-US"/>
              </w:rPr>
              <w:t>条</w:t>
            </w:r>
          </w:p>
        </w:tc>
        <w:tc>
          <w:tcPr>
            <w:tcW w:w="1827" w:type="dxa"/>
            <w:vAlign w:val="top"/>
          </w:tcPr>
          <w:p w14:paraId="5BD84EE7">
            <w:pPr>
              <w:pStyle w:val="50"/>
              <w:bidi w:val="0"/>
              <w:ind w:firstLine="0" w:firstLineChars="0"/>
              <w:rPr>
                <w:vertAlign w:val="baseline"/>
                <w:lang w:val="en-US" w:eastAsia="en-US"/>
              </w:rPr>
            </w:pPr>
            <w:r>
              <w:rPr>
                <w:rFonts w:hint="eastAsia"/>
              </w:rPr>
              <w:t>不在上述区域内</w:t>
            </w:r>
          </w:p>
        </w:tc>
        <w:tc>
          <w:tcPr>
            <w:tcW w:w="710" w:type="dxa"/>
            <w:vAlign w:val="center"/>
          </w:tcPr>
          <w:p w14:paraId="12BA74FC">
            <w:pPr>
              <w:pStyle w:val="50"/>
              <w:bidi w:val="0"/>
              <w:ind w:firstLine="0" w:firstLineChars="0"/>
              <w:rPr>
                <w:vertAlign w:val="baseline"/>
                <w:lang w:val="en-US" w:eastAsia="en-US"/>
              </w:rPr>
            </w:pPr>
            <w:r>
              <w:rPr>
                <w:rFonts w:hint="eastAsia"/>
                <w:lang w:val="en-US" w:eastAsia="zh-CN"/>
              </w:rPr>
              <w:t>符合</w:t>
            </w:r>
          </w:p>
        </w:tc>
      </w:tr>
      <w:tr w14:paraId="273C09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44" w:hRule="atLeast"/>
        </w:trPr>
        <w:tc>
          <w:tcPr>
            <w:tcW w:w="647" w:type="dxa"/>
            <w:vAlign w:val="center"/>
          </w:tcPr>
          <w:p w14:paraId="0E831136">
            <w:pPr>
              <w:pStyle w:val="50"/>
              <w:bidi w:val="0"/>
              <w:ind w:firstLine="0" w:firstLineChars="0"/>
              <w:rPr>
                <w:vertAlign w:val="baseline"/>
                <w:lang w:val="en-US" w:eastAsia="en-US"/>
              </w:rPr>
            </w:pPr>
            <w:r>
              <w:rPr>
                <w:rFonts w:hint="eastAsia"/>
                <w:lang w:val="en-US" w:eastAsia="zh-CN"/>
              </w:rPr>
              <w:t>5</w:t>
            </w:r>
          </w:p>
        </w:tc>
        <w:tc>
          <w:tcPr>
            <w:tcW w:w="4350" w:type="dxa"/>
            <w:vAlign w:val="center"/>
          </w:tcPr>
          <w:p w14:paraId="48E41F3D">
            <w:pPr>
              <w:pStyle w:val="50"/>
              <w:bidi w:val="0"/>
              <w:ind w:firstLine="0" w:firstLineChars="0"/>
              <w:rPr>
                <w:vertAlign w:val="baseline"/>
                <w:lang w:val="en-US" w:eastAsia="en-US"/>
              </w:rPr>
            </w:pPr>
            <w:r>
              <w:rPr>
                <w:rFonts w:hint="eastAsia"/>
              </w:rPr>
              <w:t>厂区、居住区、交通运输、动力公用设施、防洪排涝、废料场、尾矿场、排土场、环境保护工程和综合利用场地等，均应同时规划。</w:t>
            </w:r>
          </w:p>
        </w:tc>
        <w:tc>
          <w:tcPr>
            <w:tcW w:w="2141" w:type="dxa"/>
            <w:vAlign w:val="top"/>
          </w:tcPr>
          <w:p w14:paraId="56580427">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w:t>
            </w:r>
            <w:r>
              <w:rPr>
                <w:rFonts w:hint="eastAsia"/>
                <w:lang w:val="en-US" w:eastAsia="zh-CN"/>
              </w:rPr>
              <w:t>4.1.3</w:t>
            </w:r>
            <w:r>
              <w:rPr>
                <w:lang w:val="en-US" w:eastAsia="en-US"/>
              </w:rPr>
              <w:t>条</w:t>
            </w:r>
          </w:p>
        </w:tc>
        <w:tc>
          <w:tcPr>
            <w:tcW w:w="1827" w:type="dxa"/>
            <w:vAlign w:val="top"/>
          </w:tcPr>
          <w:p w14:paraId="411A978F">
            <w:pPr>
              <w:pStyle w:val="50"/>
              <w:bidi w:val="0"/>
              <w:ind w:firstLine="0" w:firstLineChars="0"/>
              <w:rPr>
                <w:vertAlign w:val="baseline"/>
                <w:lang w:val="en-US" w:eastAsia="en-US"/>
              </w:rPr>
            </w:pPr>
            <w:r>
              <w:rPr>
                <w:rFonts w:hint="eastAsia"/>
                <w:lang w:val="en-US" w:eastAsia="zh-CN"/>
              </w:rPr>
              <w:t>利旧。</w:t>
            </w:r>
          </w:p>
        </w:tc>
        <w:tc>
          <w:tcPr>
            <w:tcW w:w="710" w:type="dxa"/>
            <w:vAlign w:val="center"/>
          </w:tcPr>
          <w:p w14:paraId="23C42263">
            <w:pPr>
              <w:pStyle w:val="55"/>
              <w:bidi w:val="0"/>
              <w:ind w:firstLine="0" w:firstLineChars="0"/>
              <w:rPr>
                <w:vertAlign w:val="baseline"/>
                <w:lang w:val="en-US" w:eastAsia="en-US"/>
              </w:rPr>
            </w:pPr>
            <w:r>
              <w:rPr>
                <w:rFonts w:hint="eastAsia"/>
                <w:lang w:val="en-US" w:eastAsia="zh-CN"/>
              </w:rPr>
              <w:t>符合</w:t>
            </w:r>
          </w:p>
        </w:tc>
      </w:tr>
      <w:tr w14:paraId="4F0EE6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025" w:hRule="atLeast"/>
        </w:trPr>
        <w:tc>
          <w:tcPr>
            <w:tcW w:w="647" w:type="dxa"/>
            <w:vAlign w:val="center"/>
          </w:tcPr>
          <w:p w14:paraId="48B3BFE4">
            <w:pPr>
              <w:pStyle w:val="50"/>
              <w:bidi w:val="0"/>
              <w:ind w:firstLine="0" w:firstLineChars="0"/>
              <w:rPr>
                <w:vertAlign w:val="baseline"/>
                <w:lang w:val="en-US" w:eastAsia="en-US"/>
              </w:rPr>
            </w:pPr>
            <w:r>
              <w:rPr>
                <w:rFonts w:hint="eastAsia"/>
                <w:lang w:val="en-US" w:eastAsia="zh-CN"/>
              </w:rPr>
              <w:t>6</w:t>
            </w:r>
          </w:p>
        </w:tc>
        <w:tc>
          <w:tcPr>
            <w:tcW w:w="4350" w:type="dxa"/>
            <w:vAlign w:val="top"/>
          </w:tcPr>
          <w:p w14:paraId="1296E99A">
            <w:pPr>
              <w:pStyle w:val="50"/>
              <w:bidi w:val="0"/>
              <w:ind w:firstLine="0" w:firstLineChars="0"/>
              <w:rPr>
                <w:vertAlign w:val="baseline"/>
                <w:lang w:val="en-US" w:eastAsia="en-US"/>
              </w:rPr>
            </w:pPr>
            <w:r>
              <w:rPr>
                <w:lang w:val="en-US" w:eastAsia="en-US"/>
              </w:rPr>
              <w:t>总平面布置，应符合下列要求：</w:t>
            </w:r>
            <w:r>
              <w:rPr>
                <w:rFonts w:hint="eastAsia"/>
                <w:lang w:val="en-US" w:eastAsia="zh-CN"/>
              </w:rPr>
              <w:t>（</w:t>
            </w:r>
            <w:r>
              <w:rPr>
                <w:lang w:val="en-US" w:eastAsia="en-US"/>
              </w:rPr>
              <w:t>1</w:t>
            </w:r>
            <w:r>
              <w:rPr>
                <w:rFonts w:hint="eastAsia"/>
                <w:lang w:val="en-US" w:eastAsia="zh-CN"/>
              </w:rPr>
              <w:t>）</w:t>
            </w:r>
            <w:r>
              <w:rPr>
                <w:lang w:val="en-US" w:eastAsia="en-US"/>
              </w:rPr>
              <w:t>在符合生产流程、操作要求和使用功能的前提下，建筑物、构筑物等设施，应联合多层布置；</w:t>
            </w:r>
            <w:r>
              <w:rPr>
                <w:rFonts w:hint="eastAsia"/>
                <w:lang w:val="en-US" w:eastAsia="zh-CN"/>
              </w:rPr>
              <w:t>（</w:t>
            </w:r>
            <w:r>
              <w:rPr>
                <w:lang w:val="en-US" w:eastAsia="en-US"/>
              </w:rPr>
              <w:t>2</w:t>
            </w:r>
            <w:r>
              <w:rPr>
                <w:rFonts w:hint="eastAsia"/>
                <w:lang w:val="en-US" w:eastAsia="zh-CN"/>
              </w:rPr>
              <w:t>）</w:t>
            </w:r>
            <w:r>
              <w:rPr>
                <w:lang w:val="en-US" w:eastAsia="en-US"/>
              </w:rPr>
              <w:t>按功能分区，合理地确定通道宽度；</w:t>
            </w:r>
            <w:r>
              <w:rPr>
                <w:rFonts w:hint="eastAsia"/>
                <w:lang w:val="en-US" w:eastAsia="zh-CN"/>
              </w:rPr>
              <w:t>（</w:t>
            </w:r>
            <w:r>
              <w:rPr>
                <w:lang w:val="en-US" w:eastAsia="en-US"/>
              </w:rPr>
              <w:t>3</w:t>
            </w:r>
            <w:r>
              <w:rPr>
                <w:rFonts w:hint="eastAsia"/>
                <w:lang w:val="en-US" w:eastAsia="zh-CN"/>
              </w:rPr>
              <w:t>）</w:t>
            </w:r>
            <w:r>
              <w:rPr>
                <w:lang w:val="en-US" w:eastAsia="en-US"/>
              </w:rPr>
              <w:t>厂区、功能分区及建筑物、构筑物的外形宜规整；</w:t>
            </w:r>
            <w:r>
              <w:rPr>
                <w:rFonts w:hint="eastAsia"/>
                <w:lang w:val="en-US" w:eastAsia="zh-CN"/>
              </w:rPr>
              <w:t>（4）</w:t>
            </w:r>
            <w:r>
              <w:rPr>
                <w:lang w:val="en-US" w:eastAsia="en-US"/>
              </w:rPr>
              <w:t>功能分区内各项设施的布置，应紧凑、合理。</w:t>
            </w:r>
          </w:p>
        </w:tc>
        <w:tc>
          <w:tcPr>
            <w:tcW w:w="2141" w:type="dxa"/>
            <w:vAlign w:val="top"/>
          </w:tcPr>
          <w:p w14:paraId="3D398BA7">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2012）第5.1.2条</w:t>
            </w:r>
          </w:p>
        </w:tc>
        <w:tc>
          <w:tcPr>
            <w:tcW w:w="1827" w:type="dxa"/>
            <w:vAlign w:val="top"/>
          </w:tcPr>
          <w:p w14:paraId="3110B675">
            <w:pPr>
              <w:pStyle w:val="50"/>
              <w:bidi w:val="0"/>
              <w:ind w:firstLine="0" w:firstLineChars="0"/>
              <w:rPr>
                <w:vertAlign w:val="baseline"/>
                <w:lang w:val="en-US" w:eastAsia="en-US"/>
              </w:rPr>
            </w:pPr>
            <w:r>
              <w:rPr>
                <w:lang w:val="en-US" w:eastAsia="en-US"/>
              </w:rPr>
              <w:t>矿山总平面布置合理，功能区分区明确。</w:t>
            </w:r>
          </w:p>
        </w:tc>
        <w:tc>
          <w:tcPr>
            <w:tcW w:w="710" w:type="dxa"/>
            <w:vAlign w:val="center"/>
          </w:tcPr>
          <w:p w14:paraId="38977333">
            <w:pPr>
              <w:pStyle w:val="55"/>
              <w:bidi w:val="0"/>
              <w:ind w:firstLine="0" w:firstLineChars="0"/>
              <w:rPr>
                <w:vertAlign w:val="baseline"/>
                <w:lang w:val="en-US" w:eastAsia="en-US"/>
              </w:rPr>
            </w:pPr>
            <w:r>
              <w:rPr>
                <w:lang w:val="en-US" w:eastAsia="en-US"/>
              </w:rPr>
              <w:t>符合</w:t>
            </w:r>
          </w:p>
        </w:tc>
      </w:tr>
      <w:tr w14:paraId="326CE1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1" w:hRule="atLeast"/>
        </w:trPr>
        <w:tc>
          <w:tcPr>
            <w:tcW w:w="647" w:type="dxa"/>
            <w:vAlign w:val="center"/>
          </w:tcPr>
          <w:p w14:paraId="2D593898">
            <w:pPr>
              <w:pStyle w:val="50"/>
              <w:bidi w:val="0"/>
              <w:ind w:firstLine="0" w:firstLineChars="0"/>
              <w:rPr>
                <w:vertAlign w:val="baseline"/>
                <w:lang w:val="en-US" w:eastAsia="en-US"/>
              </w:rPr>
            </w:pPr>
            <w:r>
              <w:rPr>
                <w:rFonts w:hint="eastAsia"/>
                <w:lang w:val="en-US" w:eastAsia="zh-CN"/>
              </w:rPr>
              <w:t>7</w:t>
            </w:r>
          </w:p>
        </w:tc>
        <w:tc>
          <w:tcPr>
            <w:tcW w:w="4350" w:type="dxa"/>
            <w:vAlign w:val="center"/>
          </w:tcPr>
          <w:p w14:paraId="10DC093D">
            <w:pPr>
              <w:pStyle w:val="50"/>
              <w:bidi w:val="0"/>
              <w:ind w:firstLine="0" w:firstLineChars="0"/>
              <w:rPr>
                <w:vertAlign w:val="baseline"/>
                <w:lang w:val="en-US" w:eastAsia="en-US"/>
              </w:rPr>
            </w:pPr>
            <w:r>
              <w:rPr>
                <w:rFonts w:hint="eastAsia"/>
              </w:rPr>
              <w:t>厂区的通道宽度，应符合下列要求</w:t>
            </w:r>
            <w:r>
              <w:rPr>
                <w:rFonts w:hint="eastAsia"/>
                <w:lang w:eastAsia="zh-CN"/>
              </w:rPr>
              <w:t>：（</w:t>
            </w:r>
            <w:r>
              <w:rPr>
                <w:rFonts w:hint="eastAsia"/>
              </w:rPr>
              <w:t>1</w:t>
            </w:r>
            <w:r>
              <w:rPr>
                <w:rFonts w:hint="eastAsia"/>
                <w:lang w:eastAsia="zh-CN"/>
              </w:rPr>
              <w:t>）</w:t>
            </w:r>
            <w:r>
              <w:rPr>
                <w:rFonts w:hint="eastAsia"/>
              </w:rPr>
              <w:t>应符合通道两侧建筑物、构筑物及露天设施对防火、安全与卫生间距的要求；</w:t>
            </w:r>
            <w:r>
              <w:rPr>
                <w:rFonts w:hint="eastAsia"/>
                <w:lang w:eastAsia="zh-CN"/>
              </w:rPr>
              <w:t>（</w:t>
            </w:r>
            <w:r>
              <w:rPr>
                <w:rFonts w:hint="eastAsia"/>
              </w:rPr>
              <w:t>2</w:t>
            </w:r>
            <w:r>
              <w:rPr>
                <w:rFonts w:hint="eastAsia"/>
                <w:lang w:eastAsia="zh-CN"/>
              </w:rPr>
              <w:t>）</w:t>
            </w:r>
            <w:r>
              <w:rPr>
                <w:rFonts w:hint="eastAsia"/>
              </w:rPr>
              <w:t>应符合铁路、道路与带式输送机通廊等工业运输线路的布置要求；</w:t>
            </w:r>
            <w:r>
              <w:rPr>
                <w:rFonts w:hint="eastAsia"/>
                <w:lang w:eastAsia="zh-CN"/>
              </w:rPr>
              <w:t>（</w:t>
            </w:r>
            <w:r>
              <w:rPr>
                <w:rFonts w:hint="eastAsia"/>
              </w:rPr>
              <w:t>3</w:t>
            </w:r>
            <w:r>
              <w:rPr>
                <w:rFonts w:hint="eastAsia"/>
                <w:lang w:eastAsia="zh-CN"/>
              </w:rPr>
              <w:t>）</w:t>
            </w:r>
            <w:r>
              <w:rPr>
                <w:rFonts w:hint="eastAsia"/>
              </w:rPr>
              <w:t>应符合各种工程管线的布置要求；</w:t>
            </w:r>
            <w:r>
              <w:rPr>
                <w:rFonts w:hint="eastAsia"/>
                <w:lang w:eastAsia="zh-CN"/>
              </w:rPr>
              <w:t>（</w:t>
            </w:r>
            <w:r>
              <w:rPr>
                <w:rFonts w:hint="eastAsia"/>
              </w:rPr>
              <w:t>4</w:t>
            </w:r>
            <w:r>
              <w:rPr>
                <w:rFonts w:hint="eastAsia"/>
                <w:lang w:eastAsia="zh-CN"/>
              </w:rPr>
              <w:t>）</w:t>
            </w:r>
            <w:r>
              <w:rPr>
                <w:rFonts w:hint="eastAsia"/>
              </w:rPr>
              <w:t>应符合绿化布置的要求；</w:t>
            </w:r>
            <w:r>
              <w:rPr>
                <w:rFonts w:hint="eastAsia"/>
                <w:lang w:eastAsia="zh-CN"/>
              </w:rPr>
              <w:t>（</w:t>
            </w:r>
            <w:r>
              <w:rPr>
                <w:rFonts w:hint="eastAsia"/>
              </w:rPr>
              <w:t>5</w:t>
            </w:r>
            <w:r>
              <w:rPr>
                <w:rFonts w:hint="eastAsia"/>
                <w:lang w:eastAsia="zh-CN"/>
              </w:rPr>
              <w:t>）</w:t>
            </w:r>
            <w:r>
              <w:rPr>
                <w:rFonts w:hint="eastAsia"/>
              </w:rPr>
              <w:t>应符合施工、安装与检修的要求；</w:t>
            </w:r>
            <w:r>
              <w:rPr>
                <w:rFonts w:hint="eastAsia"/>
                <w:lang w:eastAsia="zh-CN"/>
              </w:rPr>
              <w:t>（</w:t>
            </w:r>
            <w:r>
              <w:rPr>
                <w:rFonts w:hint="eastAsia"/>
              </w:rPr>
              <w:t>6</w:t>
            </w:r>
            <w:r>
              <w:rPr>
                <w:rFonts w:hint="eastAsia"/>
                <w:lang w:eastAsia="zh-CN"/>
              </w:rPr>
              <w:t>）</w:t>
            </w:r>
            <w:r>
              <w:rPr>
                <w:rFonts w:hint="eastAsia"/>
              </w:rPr>
              <w:t>应符合竖向设计的要求；</w:t>
            </w:r>
            <w:r>
              <w:rPr>
                <w:rFonts w:hint="eastAsia"/>
                <w:lang w:eastAsia="zh-CN"/>
              </w:rPr>
              <w:t>（</w:t>
            </w:r>
            <w:r>
              <w:rPr>
                <w:rFonts w:hint="eastAsia"/>
              </w:rPr>
              <w:t>7</w:t>
            </w:r>
            <w:r>
              <w:rPr>
                <w:rFonts w:hint="eastAsia"/>
                <w:lang w:eastAsia="zh-CN"/>
              </w:rPr>
              <w:t>）</w:t>
            </w:r>
            <w:r>
              <w:rPr>
                <w:rFonts w:hint="eastAsia"/>
              </w:rPr>
              <w:t>应符合预留发展用地的要求。</w:t>
            </w:r>
          </w:p>
        </w:tc>
        <w:tc>
          <w:tcPr>
            <w:tcW w:w="2141" w:type="dxa"/>
            <w:vAlign w:val="top"/>
          </w:tcPr>
          <w:p w14:paraId="2AFA85C0">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2012）第5.1.</w:t>
            </w:r>
            <w:r>
              <w:rPr>
                <w:rFonts w:hint="eastAsia"/>
                <w:lang w:val="en-US" w:eastAsia="zh-CN"/>
              </w:rPr>
              <w:t>4</w:t>
            </w:r>
            <w:r>
              <w:rPr>
                <w:lang w:val="en-US" w:eastAsia="en-US"/>
              </w:rPr>
              <w:t>条</w:t>
            </w:r>
          </w:p>
        </w:tc>
        <w:tc>
          <w:tcPr>
            <w:tcW w:w="1827" w:type="dxa"/>
            <w:vAlign w:val="top"/>
          </w:tcPr>
          <w:p w14:paraId="7613DA38">
            <w:pPr>
              <w:pStyle w:val="50"/>
              <w:bidi w:val="0"/>
              <w:ind w:firstLine="0" w:firstLineChars="0"/>
              <w:rPr>
                <w:vertAlign w:val="baseline"/>
                <w:lang w:val="en-US" w:eastAsia="en-US"/>
              </w:rPr>
            </w:pPr>
            <w:r>
              <w:rPr>
                <w:rFonts w:hint="eastAsia"/>
                <w:color w:val="auto"/>
                <w:lang w:val="en-US" w:eastAsia="zh-CN"/>
              </w:rPr>
              <w:t>道路宽约6m-8m。</w:t>
            </w:r>
          </w:p>
        </w:tc>
        <w:tc>
          <w:tcPr>
            <w:tcW w:w="710" w:type="dxa"/>
            <w:vAlign w:val="center"/>
          </w:tcPr>
          <w:p w14:paraId="2AC76548">
            <w:pPr>
              <w:pStyle w:val="55"/>
              <w:bidi w:val="0"/>
              <w:ind w:firstLine="0" w:firstLineChars="0"/>
              <w:rPr>
                <w:vertAlign w:val="baseline"/>
                <w:lang w:val="en-US" w:eastAsia="en-US"/>
              </w:rPr>
            </w:pPr>
            <w:r>
              <w:rPr>
                <w:rFonts w:hint="eastAsia"/>
                <w:lang w:val="en-US" w:eastAsia="zh-CN"/>
              </w:rPr>
              <w:t>符合</w:t>
            </w:r>
          </w:p>
        </w:tc>
      </w:tr>
      <w:tr w14:paraId="33F8A5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10" w:hRule="atLeast"/>
        </w:trPr>
        <w:tc>
          <w:tcPr>
            <w:tcW w:w="647" w:type="dxa"/>
            <w:vAlign w:val="center"/>
          </w:tcPr>
          <w:p w14:paraId="2D4C222F">
            <w:pPr>
              <w:pStyle w:val="50"/>
              <w:bidi w:val="0"/>
              <w:ind w:firstLine="0" w:firstLineChars="0"/>
              <w:rPr>
                <w:vertAlign w:val="baseline"/>
                <w:lang w:val="en-US" w:eastAsia="en-US"/>
              </w:rPr>
            </w:pPr>
            <w:r>
              <w:rPr>
                <w:rFonts w:hint="eastAsia"/>
                <w:lang w:val="en-US" w:eastAsia="zh-CN"/>
              </w:rPr>
              <w:t>8</w:t>
            </w:r>
          </w:p>
        </w:tc>
        <w:tc>
          <w:tcPr>
            <w:tcW w:w="4350" w:type="dxa"/>
            <w:vAlign w:val="top"/>
          </w:tcPr>
          <w:p w14:paraId="7EC74874">
            <w:pPr>
              <w:pStyle w:val="50"/>
              <w:bidi w:val="0"/>
              <w:ind w:firstLine="0" w:firstLineChars="0"/>
              <w:rPr>
                <w:vertAlign w:val="baseline"/>
                <w:lang w:val="en-US" w:eastAsia="en-US"/>
              </w:rPr>
            </w:pPr>
            <w:r>
              <w:rPr>
                <w:lang w:eastAsia="en-US"/>
              </w:rPr>
              <w:t>总平面布置，应充分利用地形、地势、工程地质及水文地质条件，合理地布置建筑物、构筑物和有关设施，并应减少土（石）方工程量和基础工程费用。当厂区地形坡度较大时，建筑物、构筑物的长轴宜顺等高线布置，并应结合竖向设计，为物料采用自流管道及高站台、低货位等设施创造条件。</w:t>
            </w:r>
          </w:p>
        </w:tc>
        <w:tc>
          <w:tcPr>
            <w:tcW w:w="2141" w:type="dxa"/>
            <w:vAlign w:val="top"/>
          </w:tcPr>
          <w:p w14:paraId="0F062C80">
            <w:pPr>
              <w:pStyle w:val="50"/>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2012）第5.1.5条</w:t>
            </w:r>
          </w:p>
        </w:tc>
        <w:tc>
          <w:tcPr>
            <w:tcW w:w="1827" w:type="dxa"/>
            <w:vAlign w:val="top"/>
          </w:tcPr>
          <w:p w14:paraId="4728C11B">
            <w:pPr>
              <w:pStyle w:val="50"/>
              <w:bidi w:val="0"/>
              <w:ind w:firstLine="0" w:firstLineChars="0"/>
              <w:rPr>
                <w:vertAlign w:val="baseline"/>
                <w:lang w:val="en-US" w:eastAsia="en-US"/>
              </w:rPr>
            </w:pPr>
            <w:r>
              <w:rPr>
                <w:lang w:eastAsia="en-US"/>
              </w:rPr>
              <w:t>矿山相关功能区布置在矿区地势相对平坦的位置。</w:t>
            </w:r>
          </w:p>
        </w:tc>
        <w:tc>
          <w:tcPr>
            <w:tcW w:w="710" w:type="dxa"/>
            <w:vAlign w:val="center"/>
          </w:tcPr>
          <w:p w14:paraId="1286F5A6">
            <w:pPr>
              <w:pStyle w:val="55"/>
              <w:bidi w:val="0"/>
              <w:ind w:firstLine="0" w:firstLineChars="0"/>
              <w:rPr>
                <w:vertAlign w:val="baseline"/>
                <w:lang w:val="en-US" w:eastAsia="en-US"/>
              </w:rPr>
            </w:pPr>
            <w:r>
              <w:rPr>
                <w:rFonts w:hint="eastAsia"/>
                <w:lang w:val="en-US" w:eastAsia="zh-CN"/>
              </w:rPr>
              <w:t>符合</w:t>
            </w:r>
          </w:p>
        </w:tc>
      </w:tr>
      <w:tr w14:paraId="26BBA9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4" w:hRule="atLeast"/>
        </w:trPr>
        <w:tc>
          <w:tcPr>
            <w:tcW w:w="647" w:type="dxa"/>
            <w:vAlign w:val="center"/>
          </w:tcPr>
          <w:p w14:paraId="7BC4B0A8">
            <w:pPr>
              <w:pStyle w:val="55"/>
              <w:bidi w:val="0"/>
              <w:ind w:firstLine="0" w:firstLineChars="0"/>
              <w:jc w:val="center"/>
              <w:rPr>
                <w:vertAlign w:val="baseline"/>
                <w:lang w:val="en-US" w:eastAsia="en-US"/>
              </w:rPr>
            </w:pPr>
            <w:r>
              <w:rPr>
                <w:rFonts w:hint="eastAsia"/>
                <w:lang w:val="en-US" w:eastAsia="zh-CN"/>
              </w:rPr>
              <w:t>9</w:t>
            </w:r>
          </w:p>
        </w:tc>
        <w:tc>
          <w:tcPr>
            <w:tcW w:w="4350" w:type="dxa"/>
            <w:vAlign w:val="center"/>
          </w:tcPr>
          <w:p w14:paraId="3F013161">
            <w:pPr>
              <w:pStyle w:val="55"/>
              <w:bidi w:val="0"/>
              <w:ind w:firstLine="0" w:firstLineChars="0"/>
              <w:rPr>
                <w:vertAlign w:val="baseline"/>
                <w:lang w:val="en-US" w:eastAsia="en-US"/>
              </w:rPr>
            </w:pPr>
            <w:r>
              <w:rPr>
                <w:rFonts w:hint="eastAsia"/>
              </w:rPr>
              <w:t>总平面布置，应结合当地气象条件，使建筑物具有良好的朝向、采光和自然通风条件。</w:t>
            </w:r>
          </w:p>
        </w:tc>
        <w:tc>
          <w:tcPr>
            <w:tcW w:w="2141" w:type="dxa"/>
            <w:vAlign w:val="top"/>
          </w:tcPr>
          <w:p w14:paraId="28320479">
            <w:pPr>
              <w:pStyle w:val="55"/>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2012）第5.1.</w:t>
            </w:r>
            <w:r>
              <w:rPr>
                <w:rFonts w:hint="eastAsia"/>
                <w:lang w:val="en-US" w:eastAsia="zh-CN"/>
              </w:rPr>
              <w:t>6</w:t>
            </w:r>
            <w:r>
              <w:rPr>
                <w:lang w:val="en-US" w:eastAsia="en-US"/>
              </w:rPr>
              <w:t>条</w:t>
            </w:r>
          </w:p>
        </w:tc>
        <w:tc>
          <w:tcPr>
            <w:tcW w:w="1827" w:type="dxa"/>
            <w:vAlign w:val="top"/>
          </w:tcPr>
          <w:p w14:paraId="1590B5DE">
            <w:pPr>
              <w:pStyle w:val="55"/>
              <w:bidi w:val="0"/>
              <w:ind w:firstLine="0" w:firstLineChars="0"/>
              <w:rPr>
                <w:vertAlign w:val="baseline"/>
                <w:lang w:val="en-US" w:eastAsia="en-US"/>
              </w:rPr>
            </w:pPr>
            <w:r>
              <w:rPr>
                <w:rFonts w:hint="eastAsia"/>
              </w:rPr>
              <w:t>建筑物具有良好的朝向、采光和自然通风</w:t>
            </w:r>
            <w:r>
              <w:rPr>
                <w:rFonts w:hint="eastAsia"/>
                <w:lang w:eastAsia="zh-CN"/>
              </w:rPr>
              <w:t>。</w:t>
            </w:r>
          </w:p>
        </w:tc>
        <w:tc>
          <w:tcPr>
            <w:tcW w:w="710" w:type="dxa"/>
            <w:vAlign w:val="center"/>
          </w:tcPr>
          <w:p w14:paraId="2D5ACD9B">
            <w:pPr>
              <w:pStyle w:val="55"/>
              <w:bidi w:val="0"/>
              <w:ind w:firstLine="0" w:firstLineChars="0"/>
              <w:rPr>
                <w:vertAlign w:val="baseline"/>
                <w:lang w:val="en-US" w:eastAsia="en-US"/>
              </w:rPr>
            </w:pPr>
            <w:r>
              <w:rPr>
                <w:rFonts w:hint="eastAsia"/>
                <w:lang w:val="en-US" w:eastAsia="zh-CN"/>
              </w:rPr>
              <w:t>符合</w:t>
            </w:r>
          </w:p>
        </w:tc>
      </w:tr>
      <w:tr w14:paraId="2CA13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trPr>
        <w:tc>
          <w:tcPr>
            <w:tcW w:w="647" w:type="dxa"/>
            <w:vAlign w:val="center"/>
          </w:tcPr>
          <w:p w14:paraId="14828598">
            <w:pPr>
              <w:pStyle w:val="55"/>
              <w:bidi w:val="0"/>
              <w:ind w:firstLine="0" w:firstLineChars="0"/>
              <w:jc w:val="center"/>
              <w:rPr>
                <w:vertAlign w:val="baseline"/>
                <w:lang w:val="en-US" w:eastAsia="en-US"/>
              </w:rPr>
            </w:pPr>
            <w:r>
              <w:rPr>
                <w:rFonts w:hint="eastAsia"/>
                <w:lang w:val="en-US" w:eastAsia="zh-CN"/>
              </w:rPr>
              <w:t>10</w:t>
            </w:r>
          </w:p>
        </w:tc>
        <w:tc>
          <w:tcPr>
            <w:tcW w:w="4350" w:type="dxa"/>
            <w:vAlign w:val="center"/>
          </w:tcPr>
          <w:p w14:paraId="6671E7CA">
            <w:pPr>
              <w:pStyle w:val="55"/>
              <w:bidi w:val="0"/>
              <w:ind w:firstLine="0" w:firstLineChars="0"/>
              <w:rPr>
                <w:vertAlign w:val="baseline"/>
                <w:lang w:val="en-US" w:eastAsia="en-US"/>
              </w:rPr>
            </w:pPr>
            <w:r>
              <w:rPr>
                <w:rFonts w:hint="eastAsia"/>
              </w:rPr>
              <w:t>总平面布置应采取防止高温、有害气体、烟、雾、粉尘、强烈振动和高噪声对周围环境和人身安全的危害的安全保障措施，并应符合现行国家有关工业企业卫生设计标准的规定。</w:t>
            </w:r>
          </w:p>
        </w:tc>
        <w:tc>
          <w:tcPr>
            <w:tcW w:w="2141" w:type="dxa"/>
            <w:vAlign w:val="top"/>
          </w:tcPr>
          <w:p w14:paraId="68E372D1">
            <w:pPr>
              <w:pStyle w:val="55"/>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2012）第5.1.</w:t>
            </w:r>
            <w:r>
              <w:rPr>
                <w:rFonts w:hint="eastAsia"/>
                <w:lang w:val="en-US" w:eastAsia="zh-CN"/>
              </w:rPr>
              <w:t>7</w:t>
            </w:r>
            <w:r>
              <w:rPr>
                <w:lang w:val="en-US" w:eastAsia="en-US"/>
              </w:rPr>
              <w:t>条</w:t>
            </w:r>
          </w:p>
        </w:tc>
        <w:tc>
          <w:tcPr>
            <w:tcW w:w="1827" w:type="dxa"/>
            <w:vAlign w:val="top"/>
          </w:tcPr>
          <w:p w14:paraId="0890EF70">
            <w:pPr>
              <w:pStyle w:val="55"/>
              <w:bidi w:val="0"/>
              <w:ind w:firstLine="0" w:firstLineChars="0"/>
              <w:rPr>
                <w:vertAlign w:val="baseline"/>
                <w:lang w:val="en-US" w:eastAsia="en-US"/>
              </w:rPr>
            </w:pPr>
            <w:r>
              <w:rPr>
                <w:rFonts w:hint="eastAsia"/>
              </w:rPr>
              <w:t>符合现行国家有关工业企业卫生设计标准的规定</w:t>
            </w:r>
          </w:p>
        </w:tc>
        <w:tc>
          <w:tcPr>
            <w:tcW w:w="710" w:type="dxa"/>
            <w:vAlign w:val="center"/>
          </w:tcPr>
          <w:p w14:paraId="66B50C71">
            <w:pPr>
              <w:pStyle w:val="55"/>
              <w:bidi w:val="0"/>
              <w:ind w:firstLine="0" w:firstLineChars="0"/>
              <w:rPr>
                <w:vertAlign w:val="baseline"/>
                <w:lang w:val="en-US" w:eastAsia="en-US"/>
              </w:rPr>
            </w:pPr>
            <w:r>
              <w:rPr>
                <w:rFonts w:hint="eastAsia"/>
                <w:lang w:val="en-US" w:eastAsia="zh-CN"/>
              </w:rPr>
              <w:t>符合</w:t>
            </w:r>
          </w:p>
        </w:tc>
      </w:tr>
      <w:tr w14:paraId="1FC9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00D1F991">
            <w:pPr>
              <w:pStyle w:val="55"/>
              <w:bidi w:val="0"/>
              <w:ind w:firstLine="0" w:firstLineChars="0"/>
              <w:jc w:val="center"/>
              <w:rPr>
                <w:vertAlign w:val="baseline"/>
                <w:lang w:val="en-US" w:eastAsia="en-US"/>
              </w:rPr>
            </w:pPr>
            <w:r>
              <w:rPr>
                <w:rFonts w:hint="eastAsia"/>
                <w:lang w:val="en-US" w:eastAsia="zh-CN"/>
              </w:rPr>
              <w:t>11</w:t>
            </w:r>
          </w:p>
        </w:tc>
        <w:tc>
          <w:tcPr>
            <w:tcW w:w="4350" w:type="dxa"/>
            <w:vAlign w:val="center"/>
          </w:tcPr>
          <w:p w14:paraId="59F0A893">
            <w:pPr>
              <w:pStyle w:val="55"/>
              <w:bidi w:val="0"/>
              <w:ind w:firstLine="0" w:firstLineChars="0"/>
              <w:rPr>
                <w:vertAlign w:val="baseline"/>
                <w:lang w:val="en-US" w:eastAsia="en-US"/>
              </w:rPr>
            </w:pPr>
            <w:r>
              <w:rPr>
                <w:rFonts w:hint="eastAsia"/>
              </w:rPr>
              <w:t>产生高温、有害气体、烟、雾、粉尘的生产设施，应布置在厂区全年最小频率风向的上风侧且地势开阔、通风条件良好的地段，并不应采用封闭式或半封闭式的布置形式。产生高温的生产设施的长轴，宜与夏季盛行风向垂直或呈不小于45°交角布置。</w:t>
            </w:r>
          </w:p>
        </w:tc>
        <w:tc>
          <w:tcPr>
            <w:tcW w:w="2141" w:type="dxa"/>
            <w:vAlign w:val="top"/>
          </w:tcPr>
          <w:p w14:paraId="4659EBD4">
            <w:pPr>
              <w:pStyle w:val="55"/>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2012）第5.</w:t>
            </w:r>
            <w:r>
              <w:rPr>
                <w:rFonts w:hint="eastAsia"/>
                <w:lang w:val="en-US" w:eastAsia="zh-CN"/>
              </w:rPr>
              <w:t>2.3</w:t>
            </w:r>
            <w:r>
              <w:rPr>
                <w:lang w:val="en-US" w:eastAsia="en-US"/>
              </w:rPr>
              <w:t>条</w:t>
            </w:r>
          </w:p>
        </w:tc>
        <w:tc>
          <w:tcPr>
            <w:tcW w:w="1827" w:type="dxa"/>
            <w:vAlign w:val="top"/>
          </w:tcPr>
          <w:p w14:paraId="155A3974">
            <w:pPr>
              <w:pStyle w:val="55"/>
              <w:bidi w:val="0"/>
              <w:ind w:firstLine="0" w:firstLineChars="0"/>
              <w:rPr>
                <w:vertAlign w:val="baseline"/>
                <w:lang w:val="en-US" w:eastAsia="en-US"/>
              </w:rPr>
            </w:pPr>
            <w:r>
              <w:rPr>
                <w:rFonts w:hint="eastAsia"/>
              </w:rPr>
              <w:t>生产设施布置</w:t>
            </w:r>
            <w:r>
              <w:rPr>
                <w:rFonts w:hint="eastAsia"/>
                <w:lang w:val="en-US" w:eastAsia="zh-CN"/>
              </w:rPr>
              <w:t>位置符合要求</w:t>
            </w:r>
          </w:p>
        </w:tc>
        <w:tc>
          <w:tcPr>
            <w:tcW w:w="710" w:type="dxa"/>
            <w:vAlign w:val="center"/>
          </w:tcPr>
          <w:p w14:paraId="2B9770C2">
            <w:pPr>
              <w:pStyle w:val="55"/>
              <w:bidi w:val="0"/>
              <w:ind w:firstLine="0" w:firstLineChars="0"/>
              <w:rPr>
                <w:vertAlign w:val="baseline"/>
                <w:lang w:val="en-US" w:eastAsia="en-US"/>
              </w:rPr>
            </w:pPr>
            <w:r>
              <w:rPr>
                <w:rFonts w:hint="eastAsia"/>
                <w:lang w:val="en-US" w:eastAsia="zh-CN"/>
              </w:rPr>
              <w:t>符合</w:t>
            </w:r>
          </w:p>
        </w:tc>
      </w:tr>
      <w:tr w14:paraId="2C212B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17" w:hRule="atLeast"/>
        </w:trPr>
        <w:tc>
          <w:tcPr>
            <w:tcW w:w="647" w:type="dxa"/>
            <w:vAlign w:val="center"/>
          </w:tcPr>
          <w:p w14:paraId="0976AD23">
            <w:pPr>
              <w:pStyle w:val="55"/>
              <w:bidi w:val="0"/>
              <w:ind w:firstLine="0" w:firstLineChars="0"/>
              <w:jc w:val="center"/>
              <w:rPr>
                <w:vertAlign w:val="baseline"/>
                <w:lang w:val="en-US" w:eastAsia="en-US"/>
              </w:rPr>
            </w:pPr>
            <w:r>
              <w:rPr>
                <w:rFonts w:hint="eastAsia"/>
                <w:lang w:val="en-US" w:eastAsia="zh-CN"/>
              </w:rPr>
              <w:t>12</w:t>
            </w:r>
          </w:p>
        </w:tc>
        <w:tc>
          <w:tcPr>
            <w:tcW w:w="4350" w:type="dxa"/>
            <w:vAlign w:val="center"/>
          </w:tcPr>
          <w:p w14:paraId="7342316F">
            <w:pPr>
              <w:pStyle w:val="55"/>
              <w:bidi w:val="0"/>
              <w:rPr>
                <w:rFonts w:hint="eastAsia"/>
                <w:lang w:eastAsia="zh-CN"/>
              </w:rPr>
            </w:pPr>
            <w:r>
              <w:rPr>
                <w:rFonts w:hint="eastAsia"/>
              </w:rPr>
              <w:t>产生高噪声的生产设施，总图宜符合下列要求</w:t>
            </w:r>
            <w:r>
              <w:rPr>
                <w:rFonts w:hint="eastAsia"/>
                <w:lang w:eastAsia="zh-CN"/>
              </w:rPr>
              <w:t>：</w:t>
            </w:r>
          </w:p>
          <w:p w14:paraId="0C5EEDD6">
            <w:pPr>
              <w:pStyle w:val="55"/>
              <w:bidi w:val="0"/>
              <w:ind w:firstLine="0" w:firstLineChars="0"/>
              <w:rPr>
                <w:vertAlign w:val="baseline"/>
                <w:lang w:val="en-US" w:eastAsia="en-US"/>
              </w:rPr>
            </w:pPr>
            <w:r>
              <w:rPr>
                <w:rFonts w:hint="eastAsia"/>
                <w:lang w:eastAsia="zh-CN"/>
              </w:rPr>
              <w:t>（</w:t>
            </w:r>
            <w:r>
              <w:rPr>
                <w:rFonts w:hint="eastAsia"/>
              </w:rPr>
              <w:t>1</w:t>
            </w:r>
            <w:r>
              <w:rPr>
                <w:rFonts w:hint="eastAsia"/>
                <w:lang w:eastAsia="zh-CN"/>
              </w:rPr>
              <w:t>）</w:t>
            </w:r>
            <w:r>
              <w:rPr>
                <w:rFonts w:hint="eastAsia"/>
              </w:rPr>
              <w:t>宜相对集中布置在远离人员集中和有安静要求的场所；</w:t>
            </w:r>
            <w:r>
              <w:rPr>
                <w:rFonts w:hint="eastAsia"/>
                <w:lang w:eastAsia="zh-CN"/>
              </w:rPr>
              <w:t>（</w:t>
            </w:r>
            <w:r>
              <w:rPr>
                <w:rFonts w:hint="eastAsia"/>
              </w:rPr>
              <w:t>2</w:t>
            </w:r>
            <w:r>
              <w:rPr>
                <w:rFonts w:hint="eastAsia"/>
                <w:lang w:eastAsia="zh-CN"/>
              </w:rPr>
              <w:t>）</w:t>
            </w:r>
            <w:r>
              <w:rPr>
                <w:rFonts w:hint="eastAsia"/>
              </w:rPr>
              <w:t>产生高噪声的车间应与低噪声的车间分开布置；</w:t>
            </w:r>
            <w:r>
              <w:rPr>
                <w:rFonts w:hint="eastAsia"/>
                <w:lang w:eastAsia="zh-CN"/>
              </w:rPr>
              <w:t>（</w:t>
            </w:r>
            <w:r>
              <w:rPr>
                <w:rFonts w:hint="eastAsia"/>
              </w:rPr>
              <w:t>3</w:t>
            </w:r>
            <w:r>
              <w:rPr>
                <w:rFonts w:hint="eastAsia"/>
                <w:lang w:eastAsia="zh-CN"/>
              </w:rPr>
              <w:t>）</w:t>
            </w:r>
            <w:r>
              <w:rPr>
                <w:rFonts w:hint="eastAsia"/>
              </w:rPr>
              <w:t>产生声生产设施的周围宜布置对噪声较不敏感、高大、朝向有利于隔声的建筑物、构筑物和堆场等；</w:t>
            </w:r>
            <w:r>
              <w:rPr>
                <w:rFonts w:hint="eastAsia"/>
                <w:lang w:eastAsia="zh-CN"/>
              </w:rPr>
              <w:t>（</w:t>
            </w:r>
            <w:r>
              <w:rPr>
                <w:rFonts w:hint="eastAsia"/>
              </w:rPr>
              <w:t>4</w:t>
            </w:r>
            <w:r>
              <w:rPr>
                <w:rFonts w:hint="eastAsia"/>
                <w:lang w:eastAsia="zh-CN"/>
              </w:rPr>
              <w:t>）</w:t>
            </w:r>
            <w:r>
              <w:rPr>
                <w:rFonts w:hint="eastAsia"/>
              </w:rPr>
              <w:t>产生高噪声的生产设施与相邻设施的防噪声间距，应符合国家现行的有关噪声卫生防护距离的规定；</w:t>
            </w:r>
            <w:r>
              <w:rPr>
                <w:rFonts w:hint="eastAsia"/>
                <w:lang w:eastAsia="zh-CN"/>
              </w:rPr>
              <w:t>（</w:t>
            </w:r>
            <w:r>
              <w:rPr>
                <w:rFonts w:hint="eastAsia"/>
              </w:rPr>
              <w:t>5</w:t>
            </w:r>
            <w:r>
              <w:rPr>
                <w:rFonts w:hint="eastAsia"/>
                <w:lang w:eastAsia="zh-CN"/>
              </w:rPr>
              <w:t>）</w:t>
            </w:r>
            <w:r>
              <w:rPr>
                <w:rFonts w:hint="eastAsia"/>
              </w:rPr>
              <w:t>厂区内各类地点及厂界处的噪声限制值和总平面布置中的噪声控制，尚应符合现行国家标准《工业企业噪声控制设计规范》的有关规定。</w:t>
            </w:r>
          </w:p>
        </w:tc>
        <w:tc>
          <w:tcPr>
            <w:tcW w:w="2141" w:type="dxa"/>
            <w:vAlign w:val="top"/>
          </w:tcPr>
          <w:p w14:paraId="680A312F">
            <w:pPr>
              <w:pStyle w:val="55"/>
              <w:bidi w:val="0"/>
              <w:ind w:firstLine="0" w:firstLineChars="0"/>
              <w:rPr>
                <w:vertAlign w:val="baseline"/>
                <w:lang w:val="en-US" w:eastAsia="en-US"/>
              </w:rPr>
            </w:pPr>
            <w:r>
              <w:rPr>
                <w:lang w:val="en-US" w:eastAsia="en-US"/>
              </w:rPr>
              <w:t>《工业企业总平面设计规范》（GB50187-</w:t>
            </w:r>
            <w:r>
              <w:rPr>
                <w:rFonts w:hint="eastAsia"/>
                <w:lang w:val="en-US" w:eastAsia="zh-CN"/>
              </w:rPr>
              <w:t xml:space="preserve"> </w:t>
            </w:r>
            <w:r>
              <w:rPr>
                <w:lang w:val="en-US" w:eastAsia="en-US"/>
              </w:rPr>
              <w:t>2012）第5.</w:t>
            </w:r>
            <w:r>
              <w:rPr>
                <w:rFonts w:hint="eastAsia"/>
                <w:lang w:val="en-US" w:eastAsia="zh-CN"/>
              </w:rPr>
              <w:t>2.5</w:t>
            </w:r>
            <w:r>
              <w:rPr>
                <w:lang w:val="en-US" w:eastAsia="en-US"/>
              </w:rPr>
              <w:t>条</w:t>
            </w:r>
          </w:p>
        </w:tc>
        <w:tc>
          <w:tcPr>
            <w:tcW w:w="1827" w:type="dxa"/>
            <w:vAlign w:val="top"/>
          </w:tcPr>
          <w:p w14:paraId="0B8A4FC4">
            <w:pPr>
              <w:pStyle w:val="55"/>
              <w:bidi w:val="0"/>
              <w:ind w:firstLine="0" w:firstLineChars="0"/>
              <w:rPr>
                <w:vertAlign w:val="baseline"/>
                <w:lang w:val="en-US" w:eastAsia="en-US"/>
              </w:rPr>
            </w:pPr>
            <w:r>
              <w:rPr>
                <w:rFonts w:hint="eastAsia"/>
              </w:rPr>
              <w:t>生产设施布置</w:t>
            </w:r>
            <w:r>
              <w:rPr>
                <w:rFonts w:hint="eastAsia"/>
                <w:lang w:val="en-US" w:eastAsia="zh-CN"/>
              </w:rPr>
              <w:t>位置符合要求</w:t>
            </w:r>
          </w:p>
        </w:tc>
        <w:tc>
          <w:tcPr>
            <w:tcW w:w="710" w:type="dxa"/>
            <w:vAlign w:val="center"/>
          </w:tcPr>
          <w:p w14:paraId="15E650DA">
            <w:pPr>
              <w:pStyle w:val="55"/>
              <w:bidi w:val="0"/>
              <w:ind w:firstLine="0" w:firstLineChars="0"/>
              <w:rPr>
                <w:vertAlign w:val="baseline"/>
                <w:lang w:val="en-US" w:eastAsia="en-US"/>
              </w:rPr>
            </w:pPr>
            <w:r>
              <w:rPr>
                <w:rFonts w:hint="eastAsia"/>
                <w:lang w:val="en-US" w:eastAsia="zh-CN"/>
              </w:rPr>
              <w:t>符合</w:t>
            </w:r>
          </w:p>
        </w:tc>
      </w:tr>
      <w:tr w14:paraId="17C6F7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06" w:hRule="atLeast"/>
        </w:trPr>
        <w:tc>
          <w:tcPr>
            <w:tcW w:w="647" w:type="dxa"/>
            <w:vAlign w:val="center"/>
          </w:tcPr>
          <w:p w14:paraId="5767C0BD">
            <w:pPr>
              <w:pStyle w:val="55"/>
              <w:bidi w:val="0"/>
              <w:ind w:firstLine="0" w:firstLineChars="0"/>
              <w:jc w:val="center"/>
              <w:rPr>
                <w:vertAlign w:val="baseline"/>
                <w:lang w:val="en-US" w:eastAsia="en-US"/>
              </w:rPr>
            </w:pPr>
            <w:r>
              <w:rPr>
                <w:rFonts w:hint="eastAsia"/>
                <w:lang w:val="en-US" w:eastAsia="zh-CN"/>
              </w:rPr>
              <w:t>13</w:t>
            </w:r>
          </w:p>
        </w:tc>
        <w:tc>
          <w:tcPr>
            <w:tcW w:w="4350" w:type="dxa"/>
            <w:vAlign w:val="top"/>
          </w:tcPr>
          <w:p w14:paraId="06CD2C88">
            <w:pPr>
              <w:pStyle w:val="55"/>
              <w:bidi w:val="0"/>
              <w:rPr>
                <w:lang w:eastAsia="en-US"/>
              </w:rPr>
            </w:pPr>
            <w:r>
              <w:rPr>
                <w:lang w:eastAsia="en-US"/>
              </w:rPr>
              <w:t>矿山企业的办公区、生活区、工业场地、地面建筑等，不应设在危崖、塌陷区、崩落区，不应设在受尘毒、污风影响区域内，不应受洪水、泥石</w:t>
            </w:r>
          </w:p>
          <w:p w14:paraId="72B3D50A">
            <w:pPr>
              <w:pStyle w:val="55"/>
              <w:bidi w:val="0"/>
              <w:ind w:firstLine="0" w:firstLineChars="0"/>
              <w:rPr>
                <w:vertAlign w:val="baseline"/>
                <w:lang w:val="en-US" w:eastAsia="en-US"/>
              </w:rPr>
            </w:pPr>
            <w:r>
              <w:rPr>
                <w:lang w:eastAsia="en-US"/>
              </w:rPr>
              <w:t>流、爆破威胁。</w:t>
            </w:r>
          </w:p>
        </w:tc>
        <w:tc>
          <w:tcPr>
            <w:tcW w:w="2141" w:type="dxa"/>
            <w:vAlign w:val="top"/>
          </w:tcPr>
          <w:p w14:paraId="218B6454">
            <w:pPr>
              <w:pStyle w:val="55"/>
              <w:bidi w:val="0"/>
              <w:ind w:firstLine="0" w:firstLineChars="0"/>
              <w:rPr>
                <w:vertAlign w:val="baseline"/>
                <w:lang w:val="en-US" w:eastAsia="en-US"/>
              </w:rPr>
            </w:pPr>
            <w:r>
              <w:rPr>
                <w:lang w:val="en-US" w:eastAsia="en-US"/>
              </w:rPr>
              <w:t>《金属非金属矿山安全规程》（GB1624-</w:t>
            </w:r>
            <w:r>
              <w:rPr>
                <w:rFonts w:hint="eastAsia"/>
                <w:lang w:val="en-US" w:eastAsia="zh-CN"/>
              </w:rPr>
              <w:t xml:space="preserve"> </w:t>
            </w:r>
            <w:r>
              <w:rPr>
                <w:lang w:val="en-US" w:eastAsia="en-US"/>
              </w:rPr>
              <w:t>2020）第4.6.1条</w:t>
            </w:r>
          </w:p>
        </w:tc>
        <w:tc>
          <w:tcPr>
            <w:tcW w:w="1827" w:type="dxa"/>
            <w:vAlign w:val="top"/>
          </w:tcPr>
          <w:p w14:paraId="3FF27BD5">
            <w:pPr>
              <w:pStyle w:val="55"/>
              <w:bidi w:val="0"/>
              <w:ind w:firstLine="0" w:firstLineChars="0"/>
              <w:rPr>
                <w:vertAlign w:val="baseline"/>
                <w:lang w:val="en-US" w:eastAsia="en-US"/>
              </w:rPr>
            </w:pPr>
            <w:r>
              <w:rPr>
                <w:rFonts w:hint="eastAsia"/>
                <w:lang w:val="en-US" w:eastAsia="zh-CN"/>
              </w:rPr>
              <w:t>矿区不在</w:t>
            </w:r>
            <w:r>
              <w:rPr>
                <w:lang w:eastAsia="en-US"/>
              </w:rPr>
              <w:t>危崖、塌陷区、崩落区</w:t>
            </w:r>
            <w:r>
              <w:rPr>
                <w:rFonts w:hint="eastAsia"/>
                <w:lang w:eastAsia="zh-CN"/>
              </w:rPr>
              <w:t>。</w:t>
            </w:r>
          </w:p>
        </w:tc>
        <w:tc>
          <w:tcPr>
            <w:tcW w:w="710" w:type="dxa"/>
            <w:vAlign w:val="center"/>
          </w:tcPr>
          <w:p w14:paraId="2634592B">
            <w:pPr>
              <w:pStyle w:val="55"/>
              <w:bidi w:val="0"/>
              <w:ind w:firstLine="0" w:firstLineChars="0"/>
              <w:rPr>
                <w:vertAlign w:val="baseline"/>
                <w:lang w:val="en-US" w:eastAsia="en-US"/>
              </w:rPr>
            </w:pPr>
            <w:r>
              <w:rPr>
                <w:lang w:eastAsia="en-US"/>
              </w:rPr>
              <w:t>符合</w:t>
            </w:r>
          </w:p>
        </w:tc>
      </w:tr>
      <w:tr w14:paraId="6CA559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02" w:hRule="atLeast"/>
        </w:trPr>
        <w:tc>
          <w:tcPr>
            <w:tcW w:w="647" w:type="dxa"/>
            <w:vAlign w:val="center"/>
          </w:tcPr>
          <w:p w14:paraId="70C3623D">
            <w:pPr>
              <w:pStyle w:val="55"/>
              <w:bidi w:val="0"/>
              <w:ind w:firstLine="0" w:firstLineChars="0"/>
              <w:jc w:val="center"/>
              <w:rPr>
                <w:vertAlign w:val="baseline"/>
                <w:lang w:val="en-US" w:eastAsia="en-US"/>
              </w:rPr>
            </w:pPr>
            <w:r>
              <w:rPr>
                <w:rFonts w:hint="eastAsia"/>
                <w:lang w:val="en-US" w:eastAsia="zh-CN"/>
              </w:rPr>
              <w:t>14</w:t>
            </w:r>
          </w:p>
        </w:tc>
        <w:tc>
          <w:tcPr>
            <w:tcW w:w="4350" w:type="dxa"/>
            <w:vAlign w:val="top"/>
          </w:tcPr>
          <w:p w14:paraId="43265109">
            <w:pPr>
              <w:pStyle w:val="55"/>
              <w:bidi w:val="0"/>
              <w:ind w:firstLine="0" w:firstLineChars="0"/>
              <w:rPr>
                <w:vertAlign w:val="baseline"/>
                <w:lang w:val="en-US" w:eastAsia="en-US"/>
              </w:rPr>
            </w:pPr>
            <w:r>
              <w:rPr>
                <w:lang w:eastAsia="en-US"/>
              </w:rPr>
              <w:t>矿山建构筑物应建立消防设施，设置消防器材。</w:t>
            </w:r>
          </w:p>
        </w:tc>
        <w:tc>
          <w:tcPr>
            <w:tcW w:w="2141" w:type="dxa"/>
            <w:vAlign w:val="top"/>
          </w:tcPr>
          <w:p w14:paraId="110487D7">
            <w:pPr>
              <w:pStyle w:val="55"/>
              <w:bidi w:val="0"/>
              <w:ind w:firstLine="0" w:firstLineChars="0"/>
              <w:rPr>
                <w:vertAlign w:val="baseline"/>
                <w:lang w:val="en-US" w:eastAsia="en-US"/>
              </w:rPr>
            </w:pPr>
            <w:r>
              <w:rPr>
                <w:lang w:eastAsia="en-US"/>
              </w:rPr>
              <w:t>《金属非金属矿山安全规程》（GB1624-</w:t>
            </w:r>
            <w:r>
              <w:rPr>
                <w:rFonts w:hint="eastAsia"/>
                <w:lang w:val="en-US" w:eastAsia="zh-CN"/>
              </w:rPr>
              <w:t xml:space="preserve"> </w:t>
            </w:r>
            <w:r>
              <w:rPr>
                <w:lang w:eastAsia="en-US"/>
              </w:rPr>
              <w:t>2020）第</w:t>
            </w:r>
            <w:r>
              <w:rPr>
                <w:lang w:val="en-US" w:eastAsia="en-US"/>
              </w:rPr>
              <w:t>5.7.2.1条</w:t>
            </w:r>
          </w:p>
        </w:tc>
        <w:tc>
          <w:tcPr>
            <w:tcW w:w="1827" w:type="dxa"/>
            <w:vAlign w:val="top"/>
          </w:tcPr>
          <w:p w14:paraId="5019B94B">
            <w:pPr>
              <w:pStyle w:val="55"/>
              <w:bidi w:val="0"/>
              <w:ind w:firstLine="0" w:firstLineChars="0"/>
              <w:rPr>
                <w:vertAlign w:val="baseline"/>
                <w:lang w:val="en-US" w:eastAsia="en-US"/>
              </w:rPr>
            </w:pPr>
            <w:r>
              <w:rPr>
                <w:lang w:val="en-US" w:eastAsia="en-US"/>
              </w:rPr>
              <w:t>矿山</w:t>
            </w:r>
            <w:r>
              <w:rPr>
                <w:rFonts w:hint="eastAsia"/>
                <w:lang w:val="en-US" w:eastAsia="zh-CN"/>
              </w:rPr>
              <w:t>值班室、休息室、配电房</w:t>
            </w:r>
            <w:r>
              <w:rPr>
                <w:lang w:val="en-US" w:eastAsia="en-US"/>
              </w:rPr>
              <w:t>等建筑物配备有灭火器。</w:t>
            </w:r>
          </w:p>
        </w:tc>
        <w:tc>
          <w:tcPr>
            <w:tcW w:w="710" w:type="dxa"/>
            <w:vAlign w:val="center"/>
          </w:tcPr>
          <w:p w14:paraId="3A9CB54A">
            <w:pPr>
              <w:pStyle w:val="55"/>
              <w:bidi w:val="0"/>
              <w:ind w:firstLine="0" w:firstLineChars="0"/>
              <w:rPr>
                <w:vertAlign w:val="baseline"/>
                <w:lang w:val="en-US" w:eastAsia="en-US"/>
              </w:rPr>
            </w:pPr>
            <w:r>
              <w:rPr>
                <w:lang w:eastAsia="en-US"/>
              </w:rPr>
              <w:t>符合</w:t>
            </w:r>
          </w:p>
        </w:tc>
      </w:tr>
      <w:tr w14:paraId="662280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6" w:hRule="atLeast"/>
        </w:trPr>
        <w:tc>
          <w:tcPr>
            <w:tcW w:w="647" w:type="dxa"/>
            <w:vAlign w:val="center"/>
          </w:tcPr>
          <w:p w14:paraId="668164D1">
            <w:pPr>
              <w:pStyle w:val="55"/>
              <w:bidi w:val="0"/>
              <w:ind w:firstLine="0" w:firstLineChars="0"/>
              <w:jc w:val="center"/>
              <w:rPr>
                <w:vertAlign w:val="baseline"/>
                <w:lang w:val="en-US" w:eastAsia="en-US"/>
              </w:rPr>
            </w:pPr>
            <w:r>
              <w:rPr>
                <w:rFonts w:hint="eastAsia"/>
                <w:lang w:val="en-US" w:eastAsia="zh-CN"/>
              </w:rPr>
              <w:t>15</w:t>
            </w:r>
          </w:p>
        </w:tc>
        <w:tc>
          <w:tcPr>
            <w:tcW w:w="4350" w:type="dxa"/>
            <w:vAlign w:val="center"/>
          </w:tcPr>
          <w:p w14:paraId="65CC5ABB">
            <w:pPr>
              <w:pStyle w:val="55"/>
              <w:bidi w:val="0"/>
              <w:ind w:firstLine="0" w:firstLineChars="0"/>
              <w:rPr>
                <w:vertAlign w:val="baseline"/>
                <w:lang w:val="en-US" w:eastAsia="en-US"/>
              </w:rPr>
            </w:pPr>
            <w:r>
              <w:rPr>
                <w:rFonts w:hint="eastAsia"/>
              </w:rPr>
              <w:t>任何单位和个人不得在距电力设施范围500米内（指水平距离）进行爆破作业。因工作需要必须进行爆破时，应当按国家颁发的有关爆破作业的法律法规，采取可靠的安全防范措施，确保电力设施安全，并征得当地电力设施产权单位或管理部门的书面同意，报经政府有关管理部门</w:t>
            </w:r>
            <w:r>
              <w:rPr>
                <w:rFonts w:hint="eastAsia"/>
                <w:lang w:eastAsia="zh-CN"/>
              </w:rPr>
              <w:t>批准</w:t>
            </w:r>
            <w:r>
              <w:rPr>
                <w:rFonts w:hint="eastAsia"/>
              </w:rPr>
              <w:t>。</w:t>
            </w:r>
          </w:p>
        </w:tc>
        <w:tc>
          <w:tcPr>
            <w:tcW w:w="2141" w:type="dxa"/>
            <w:vAlign w:val="center"/>
          </w:tcPr>
          <w:p w14:paraId="383DE167">
            <w:pPr>
              <w:pStyle w:val="55"/>
              <w:bidi w:val="0"/>
              <w:ind w:firstLine="0" w:firstLineChars="0"/>
              <w:rPr>
                <w:vertAlign w:val="baseline"/>
                <w:lang w:val="en-US" w:eastAsia="en-US"/>
              </w:rPr>
            </w:pPr>
            <w:r>
              <w:rPr>
                <w:rFonts w:hint="eastAsia"/>
                <w:lang w:eastAsia="zh-CN"/>
              </w:rPr>
              <w:t>《电力设施保护条例实施细则》</w:t>
            </w:r>
          </w:p>
        </w:tc>
        <w:tc>
          <w:tcPr>
            <w:tcW w:w="1827" w:type="dxa"/>
            <w:vAlign w:val="center"/>
          </w:tcPr>
          <w:p w14:paraId="194ECB41">
            <w:pPr>
              <w:pStyle w:val="55"/>
              <w:bidi w:val="0"/>
              <w:ind w:firstLine="0" w:firstLineChars="0"/>
              <w:rPr>
                <w:vertAlign w:val="baseline"/>
                <w:lang w:val="en-US" w:eastAsia="en-US"/>
              </w:rPr>
            </w:pPr>
            <w:r>
              <w:rPr>
                <w:rFonts w:hint="eastAsia"/>
                <w:lang w:val="en-US" w:eastAsia="zh-CN"/>
              </w:rPr>
              <w:t>500米范围内无其它产权单位电力设施。</w:t>
            </w:r>
          </w:p>
        </w:tc>
        <w:tc>
          <w:tcPr>
            <w:tcW w:w="710" w:type="dxa"/>
            <w:vAlign w:val="center"/>
          </w:tcPr>
          <w:p w14:paraId="3A796093">
            <w:pPr>
              <w:pStyle w:val="55"/>
              <w:bidi w:val="0"/>
              <w:ind w:firstLine="0" w:firstLineChars="0"/>
              <w:rPr>
                <w:vertAlign w:val="baseline"/>
                <w:lang w:val="en-US" w:eastAsia="en-US"/>
              </w:rPr>
            </w:pPr>
            <w:r>
              <w:rPr>
                <w:rFonts w:hint="eastAsia"/>
                <w:lang w:val="en-US" w:eastAsia="zh-CN"/>
              </w:rPr>
              <w:t>符合</w:t>
            </w:r>
          </w:p>
        </w:tc>
      </w:tr>
      <w:tr w14:paraId="6DD3CE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51" w:hRule="atLeast"/>
        </w:trPr>
        <w:tc>
          <w:tcPr>
            <w:tcW w:w="647" w:type="dxa"/>
            <w:vAlign w:val="center"/>
          </w:tcPr>
          <w:p w14:paraId="2C671353">
            <w:pPr>
              <w:pStyle w:val="55"/>
              <w:bidi w:val="0"/>
              <w:ind w:firstLine="0" w:firstLineChars="0"/>
              <w:jc w:val="center"/>
              <w:rPr>
                <w:vertAlign w:val="baseline"/>
                <w:lang w:val="en-US" w:eastAsia="en-US"/>
              </w:rPr>
            </w:pPr>
            <w:r>
              <w:rPr>
                <w:rFonts w:hint="eastAsia"/>
                <w:lang w:val="en-US" w:eastAsia="zh-CN"/>
              </w:rPr>
              <w:t>16</w:t>
            </w:r>
          </w:p>
        </w:tc>
        <w:tc>
          <w:tcPr>
            <w:tcW w:w="4350" w:type="dxa"/>
            <w:vAlign w:val="center"/>
          </w:tcPr>
          <w:p w14:paraId="02DF0B68">
            <w:pPr>
              <w:pStyle w:val="55"/>
              <w:bidi w:val="0"/>
              <w:rPr>
                <w:rFonts w:hint="eastAsia"/>
                <w:lang w:eastAsia="zh-CN"/>
              </w:rPr>
            </w:pPr>
            <w:r>
              <w:rPr>
                <w:rFonts w:hint="eastAsia"/>
              </w:rPr>
              <w:t>禁止在下列范围内从事采矿、采石、取土、爆破作业等危及公路、公路桥梁、公路隧道、公路渡口安全的活动</w:t>
            </w:r>
            <w:r>
              <w:rPr>
                <w:rFonts w:hint="eastAsia"/>
                <w:lang w:eastAsia="zh-CN"/>
              </w:rPr>
              <w:t>：</w:t>
            </w:r>
          </w:p>
          <w:p w14:paraId="10B6CF30">
            <w:pPr>
              <w:pStyle w:val="55"/>
              <w:bidi w:val="0"/>
              <w:rPr>
                <w:rFonts w:hint="eastAsia"/>
                <w:lang w:eastAsia="zh-CN"/>
              </w:rPr>
            </w:pPr>
            <w:r>
              <w:rPr>
                <w:rFonts w:hint="eastAsia"/>
              </w:rPr>
              <w:t>1、国道、省道、县道的公路用地外缘起向外100米，乡道的公路用地外缘起向外50米；</w:t>
            </w:r>
          </w:p>
          <w:p w14:paraId="7D04D799">
            <w:pPr>
              <w:pStyle w:val="55"/>
              <w:bidi w:val="0"/>
              <w:rPr>
                <w:rFonts w:hint="eastAsia"/>
                <w:lang w:eastAsia="zh-CN"/>
              </w:rPr>
            </w:pPr>
            <w:r>
              <w:rPr>
                <w:rFonts w:hint="eastAsia"/>
              </w:rPr>
              <w:t>2、公路渡口和中型以上公路桥梁周围200米；</w:t>
            </w:r>
          </w:p>
          <w:p w14:paraId="60B5B6EE">
            <w:pPr>
              <w:pStyle w:val="55"/>
              <w:bidi w:val="0"/>
              <w:ind w:firstLine="0" w:firstLineChars="0"/>
              <w:rPr>
                <w:vertAlign w:val="baseline"/>
                <w:lang w:val="en-US" w:eastAsia="en-US"/>
              </w:rPr>
            </w:pPr>
            <w:r>
              <w:rPr>
                <w:rFonts w:hint="eastAsia"/>
              </w:rPr>
              <w:t>3、公路隧道上方和洞口外100米。</w:t>
            </w:r>
          </w:p>
        </w:tc>
        <w:tc>
          <w:tcPr>
            <w:tcW w:w="2141" w:type="dxa"/>
            <w:vAlign w:val="center"/>
          </w:tcPr>
          <w:p w14:paraId="67013ED1">
            <w:pPr>
              <w:pStyle w:val="55"/>
              <w:bidi w:val="0"/>
              <w:ind w:firstLine="0" w:firstLineChars="0"/>
              <w:rPr>
                <w:vertAlign w:val="baseline"/>
                <w:lang w:val="en-US" w:eastAsia="en-US"/>
              </w:rPr>
            </w:pPr>
            <w:r>
              <w:rPr>
                <w:rFonts w:hint="eastAsia"/>
              </w:rPr>
              <w:t>《公路安全保护条例》</w:t>
            </w:r>
          </w:p>
        </w:tc>
        <w:tc>
          <w:tcPr>
            <w:tcW w:w="1827" w:type="dxa"/>
            <w:vAlign w:val="center"/>
          </w:tcPr>
          <w:p w14:paraId="789C7FC2">
            <w:pPr>
              <w:pStyle w:val="55"/>
              <w:bidi w:val="0"/>
              <w:ind w:firstLine="0" w:firstLineChars="0"/>
              <w:rPr>
                <w:vertAlign w:val="baseline"/>
                <w:lang w:val="en-US" w:eastAsia="en-US"/>
              </w:rPr>
            </w:pPr>
            <w:r>
              <w:rPr>
                <w:rStyle w:val="85"/>
                <w:rFonts w:hint="default"/>
                <w:lang w:eastAsia="zh-CN"/>
              </w:rPr>
              <w:t>矿区西南边有</w:t>
            </w:r>
            <w:r>
              <w:rPr>
                <w:rStyle w:val="85"/>
                <w:rFonts w:hint="default"/>
                <w:lang w:val="en-US" w:eastAsia="zh-CN"/>
              </w:rPr>
              <w:t>G246（遂麻线）国道穿过，距离矿界最近点2</w:t>
            </w:r>
            <w:r>
              <w:rPr>
                <w:rStyle w:val="85"/>
                <w:rFonts w:hint="eastAsia"/>
                <w:lang w:val="en-US" w:eastAsia="zh-CN"/>
              </w:rPr>
              <w:t>30</w:t>
            </w:r>
            <w:r>
              <w:rPr>
                <w:rStyle w:val="85"/>
                <w:rFonts w:hint="default"/>
                <w:lang w:val="en-US" w:eastAsia="zh-CN"/>
              </w:rPr>
              <w:t>m，矿区西面及西南面</w:t>
            </w:r>
            <w:r>
              <w:rPr>
                <w:rStyle w:val="85"/>
                <w:rFonts w:hint="eastAsia"/>
                <w:lang w:val="en-US" w:eastAsia="zh-CN"/>
              </w:rPr>
              <w:t>矿区道路</w:t>
            </w:r>
            <w:r>
              <w:rPr>
                <w:rStyle w:val="85"/>
                <w:rFonts w:hint="default"/>
                <w:lang w:val="en-US" w:eastAsia="zh-CN"/>
              </w:rPr>
              <w:t>，距离矿界最近点30m</w:t>
            </w:r>
            <w:r>
              <w:rPr>
                <w:rFonts w:hint="eastAsia"/>
                <w:lang w:val="en-US" w:eastAsia="zh-CN"/>
              </w:rPr>
              <w:t>。</w:t>
            </w:r>
          </w:p>
        </w:tc>
        <w:tc>
          <w:tcPr>
            <w:tcW w:w="710" w:type="dxa"/>
            <w:vAlign w:val="center"/>
          </w:tcPr>
          <w:p w14:paraId="1C6E4E7D">
            <w:pPr>
              <w:pStyle w:val="55"/>
              <w:bidi w:val="0"/>
              <w:ind w:firstLine="0" w:firstLineChars="0"/>
              <w:rPr>
                <w:vertAlign w:val="baseline"/>
                <w:lang w:val="en-US" w:eastAsia="en-US"/>
              </w:rPr>
            </w:pPr>
            <w:r>
              <w:rPr>
                <w:rFonts w:hint="eastAsia"/>
                <w:lang w:val="en-US" w:eastAsia="zh-CN"/>
              </w:rPr>
              <w:t>不符合</w:t>
            </w:r>
          </w:p>
        </w:tc>
      </w:tr>
      <w:tr w14:paraId="7017A9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47" w:type="dxa"/>
            <w:vAlign w:val="center"/>
          </w:tcPr>
          <w:p w14:paraId="61D0BED3">
            <w:pPr>
              <w:widowControl/>
              <w:kinsoku w:val="0"/>
              <w:autoSpaceDE w:val="0"/>
              <w:autoSpaceDN w:val="0"/>
              <w:spacing w:before="20" w:line="221" w:lineRule="auto"/>
              <w:ind w:left="0" w:leftChars="0" w:firstLine="0" w:firstLineChars="0"/>
              <w:jc w:val="center"/>
              <w:textAlignment w:val="baseline"/>
              <w:rPr>
                <w:vertAlign w:val="baseline"/>
                <w:lang w:val="en-US" w:eastAsia="en-US"/>
              </w:rPr>
            </w:pPr>
            <w:r>
              <w:rPr>
                <w:rFonts w:hint="eastAsia" w:ascii="宋体" w:hAnsi="宋体" w:cs="宋体"/>
                <w:snapToGrid w:val="0"/>
                <w:color w:val="000000"/>
                <w:spacing w:val="-1"/>
                <w:kern w:val="0"/>
                <w:sz w:val="21"/>
                <w:szCs w:val="21"/>
                <w:lang w:val="en-US" w:eastAsia="zh-CN"/>
              </w:rPr>
              <w:t>17</w:t>
            </w:r>
          </w:p>
        </w:tc>
        <w:tc>
          <w:tcPr>
            <w:tcW w:w="4350" w:type="dxa"/>
            <w:vAlign w:val="top"/>
          </w:tcPr>
          <w:p w14:paraId="7C58778D">
            <w:pPr>
              <w:widowControl/>
              <w:kinsoku w:val="0"/>
              <w:autoSpaceDE w:val="0"/>
              <w:autoSpaceDN w:val="0"/>
              <w:spacing w:before="267" w:line="239" w:lineRule="auto"/>
              <w:ind w:left="0" w:leftChars="0" w:right="271" w:firstLine="0" w:firstLineChars="0"/>
              <w:jc w:val="left"/>
              <w:textAlignment w:val="baseline"/>
              <w:rPr>
                <w:rFonts w:ascii="宋体" w:hAnsi="宋体" w:eastAsia="宋体" w:cs="宋体"/>
                <w:snapToGrid w:val="0"/>
                <w:color w:val="000000"/>
                <w:spacing w:val="0"/>
                <w:kern w:val="0"/>
                <w:sz w:val="21"/>
                <w:szCs w:val="21"/>
                <w:lang w:eastAsia="en-US"/>
              </w:rPr>
            </w:pPr>
            <w:r>
              <w:rPr>
                <w:rFonts w:ascii="宋体" w:hAnsi="宋体" w:eastAsia="宋体" w:cs="宋体"/>
                <w:snapToGrid w:val="0"/>
                <w:color w:val="000000"/>
                <w:spacing w:val="-1"/>
                <w:kern w:val="0"/>
                <w:sz w:val="21"/>
                <w:szCs w:val="21"/>
                <w:lang w:eastAsia="en-US"/>
              </w:rPr>
              <w:t>检查内容：场地排</w:t>
            </w:r>
            <w:r>
              <w:rPr>
                <w:rFonts w:ascii="宋体" w:hAnsi="宋体" w:eastAsia="宋体" w:cs="宋体"/>
                <w:snapToGrid w:val="0"/>
                <w:color w:val="000000"/>
                <w:spacing w:val="-2"/>
                <w:kern w:val="0"/>
                <w:sz w:val="21"/>
                <w:szCs w:val="21"/>
                <w:lang w:eastAsia="en-US"/>
              </w:rPr>
              <w:t>水沟是否与批复的</w:t>
            </w:r>
            <w:r>
              <w:rPr>
                <w:rFonts w:ascii="宋体" w:hAnsi="宋体" w:eastAsia="宋体" w:cs="宋体"/>
                <w:snapToGrid w:val="0"/>
                <w:color w:val="000000"/>
                <w:spacing w:val="0"/>
                <w:kern w:val="0"/>
                <w:sz w:val="21"/>
                <w:szCs w:val="21"/>
                <w:lang w:eastAsia="en-US"/>
              </w:rPr>
              <w:t>安全设施设计一</w:t>
            </w:r>
            <w:r>
              <w:rPr>
                <w:rFonts w:ascii="宋体" w:hAnsi="宋体" w:eastAsia="宋体" w:cs="宋体"/>
                <w:snapToGrid w:val="0"/>
                <w:color w:val="000000"/>
                <w:spacing w:val="-10"/>
                <w:kern w:val="0"/>
                <w:sz w:val="21"/>
                <w:szCs w:val="21"/>
                <w:lang w:eastAsia="en-US"/>
              </w:rPr>
              <w:t>致。</w:t>
            </w:r>
          </w:p>
          <w:p w14:paraId="49F11D2D">
            <w:pPr>
              <w:widowControl/>
              <w:kinsoku w:val="0"/>
              <w:autoSpaceDE w:val="0"/>
              <w:autoSpaceDN w:val="0"/>
              <w:spacing w:before="21" w:line="244" w:lineRule="auto"/>
              <w:ind w:left="114" w:leftChars="0" w:right="271" w:rightChars="0" w:hanging="2" w:firstLineChars="0"/>
              <w:jc w:val="left"/>
              <w:textAlignment w:val="baseline"/>
              <w:rPr>
                <w:vertAlign w:val="baseline"/>
                <w:lang w:val="en-US" w:eastAsia="en-US"/>
              </w:rPr>
            </w:pPr>
            <w:r>
              <w:rPr>
                <w:rFonts w:ascii="宋体" w:hAnsi="宋体" w:eastAsia="宋体" w:cs="宋体"/>
                <w:snapToGrid w:val="0"/>
                <w:color w:val="000000"/>
                <w:spacing w:val="-1"/>
                <w:kern w:val="0"/>
                <w:sz w:val="21"/>
                <w:szCs w:val="21"/>
                <w:lang w:eastAsia="en-US"/>
              </w:rPr>
              <w:t>检查方法：现场检</w:t>
            </w:r>
            <w:r>
              <w:rPr>
                <w:rFonts w:ascii="宋体" w:hAnsi="宋体" w:eastAsia="宋体" w:cs="宋体"/>
                <w:snapToGrid w:val="0"/>
                <w:color w:val="000000"/>
                <w:spacing w:val="-5"/>
                <w:kern w:val="0"/>
                <w:sz w:val="21"/>
                <w:szCs w:val="21"/>
                <w:lang w:eastAsia="en-US"/>
              </w:rPr>
              <w:t>查。</w:t>
            </w:r>
          </w:p>
        </w:tc>
        <w:tc>
          <w:tcPr>
            <w:tcW w:w="2141" w:type="dxa"/>
            <w:vAlign w:val="center"/>
          </w:tcPr>
          <w:p w14:paraId="5F74AD1E">
            <w:pPr>
              <w:pStyle w:val="55"/>
              <w:bidi w:val="0"/>
              <w:ind w:firstLine="0" w:firstLineChars="0"/>
              <w:rPr>
                <w:vertAlign w:val="baseline"/>
                <w:lang w:val="en-US" w:eastAsia="en-US"/>
              </w:rPr>
            </w:pPr>
            <w:r>
              <w:rPr>
                <w:rFonts w:ascii="Times New Roman" w:hAnsi="Times New Roman"/>
                <w:bCs/>
                <w:color w:val="000000" w:themeColor="text1"/>
                <w:sz w:val="21"/>
                <w:szCs w:val="21"/>
                <w14:textFill>
                  <w14:solidFill>
                    <w14:schemeClr w14:val="tx1"/>
                  </w14:solidFill>
                </w14:textFill>
              </w:rPr>
              <w:t>《安全设施设计》</w:t>
            </w:r>
          </w:p>
        </w:tc>
        <w:tc>
          <w:tcPr>
            <w:tcW w:w="1827" w:type="dxa"/>
            <w:vAlign w:val="center"/>
          </w:tcPr>
          <w:p w14:paraId="38D53E3D">
            <w:pPr>
              <w:pStyle w:val="55"/>
              <w:bidi w:val="0"/>
              <w:ind w:firstLine="0" w:firstLineChars="0"/>
              <w:rPr>
                <w:vertAlign w:val="baseline"/>
                <w:lang w:val="en-US" w:eastAsia="en-US"/>
              </w:rPr>
            </w:pPr>
            <w:r>
              <w:rPr>
                <w:rFonts w:hint="eastAsia"/>
                <w:color w:val="auto"/>
                <w:lang w:val="en-US" w:eastAsia="zh-CN"/>
              </w:rPr>
              <w:t>利旧。</w:t>
            </w:r>
          </w:p>
        </w:tc>
        <w:tc>
          <w:tcPr>
            <w:tcW w:w="710" w:type="dxa"/>
            <w:vAlign w:val="top"/>
          </w:tcPr>
          <w:p w14:paraId="319E6862">
            <w:pPr>
              <w:pStyle w:val="50"/>
              <w:bidi w:val="0"/>
              <w:ind w:firstLine="0" w:firstLineChars="0"/>
              <w:rPr>
                <w:vertAlign w:val="baseline"/>
                <w:lang w:val="en-US" w:eastAsia="en-US"/>
              </w:rPr>
            </w:pPr>
            <w:r>
              <w:rPr>
                <w:lang w:eastAsia="en-US"/>
              </w:rPr>
              <w:t>符合</w:t>
            </w:r>
          </w:p>
        </w:tc>
      </w:tr>
    </w:tbl>
    <w:p w14:paraId="53D268AD">
      <w:pPr>
        <w:bidi w:val="0"/>
        <w:rPr>
          <w:lang w:eastAsia="en-US"/>
        </w:rPr>
      </w:pPr>
      <w:r>
        <w:rPr>
          <w:rFonts w:ascii="Times New Roman" w:hAnsi="Times New Roman"/>
          <w:b/>
          <w:color w:val="000000" w:themeColor="text1"/>
          <w14:textFill>
            <w14:solidFill>
              <w14:schemeClr w14:val="tx1"/>
            </w14:solidFill>
          </w14:textFill>
        </w:rPr>
        <w:t>评价分析</w:t>
      </w:r>
      <w:r>
        <w:rPr>
          <w:rFonts w:hint="eastAsia" w:cs="Times New Roman"/>
          <w:lang w:eastAsia="zh-CN"/>
        </w:rPr>
        <w:t>：</w:t>
      </w:r>
      <w:r>
        <w:t>针对露天采场工业场地</w:t>
      </w:r>
      <w:r>
        <w:rPr>
          <w:rFonts w:hint="eastAsia"/>
          <w:lang w:val="en-US" w:eastAsia="zh-CN"/>
        </w:rPr>
        <w:t>布置安全检查17</w:t>
      </w:r>
      <w:r>
        <w:t>项内容，</w:t>
      </w:r>
      <w:r>
        <w:rPr>
          <w:rFonts w:hint="eastAsia"/>
          <w:lang w:val="en-US" w:eastAsia="zh-CN"/>
        </w:rPr>
        <w:t>16</w:t>
      </w:r>
      <w:r>
        <w:t>项</w:t>
      </w:r>
      <w:r>
        <w:rPr>
          <w:rFonts w:hint="eastAsia"/>
          <w:lang w:val="en-US" w:eastAsia="zh-CN"/>
        </w:rPr>
        <w:t>符</w:t>
      </w:r>
      <w:r>
        <w:t>合</w:t>
      </w:r>
      <w:r>
        <w:rPr>
          <w:rFonts w:hint="eastAsia"/>
          <w:lang w:eastAsia="zh-CN"/>
        </w:rPr>
        <w:t>，</w:t>
      </w:r>
      <w:r>
        <w:rPr>
          <w:rFonts w:hint="eastAsia"/>
          <w:lang w:val="en-US" w:eastAsia="zh-CN"/>
        </w:rPr>
        <w:t>1项不符合</w:t>
      </w:r>
      <w:r>
        <w:t>。</w:t>
      </w:r>
    </w:p>
    <w:bookmarkEnd w:id="360"/>
    <w:bookmarkEnd w:id="361"/>
    <w:p w14:paraId="78715F76">
      <w:pPr>
        <w:pStyle w:val="4"/>
        <w:bidi w:val="0"/>
        <w:rPr>
          <w:rFonts w:hint="default"/>
          <w:lang w:val="en-US" w:eastAsia="zh-CN"/>
        </w:rPr>
      </w:pPr>
      <w:bookmarkStart w:id="362" w:name="_Toc27699"/>
      <w:bookmarkStart w:id="363" w:name="_Toc18636"/>
      <w:r>
        <w:rPr>
          <w:lang w:val="en-US" w:eastAsia="zh-CN"/>
        </w:rPr>
        <w:t>3.6.</w:t>
      </w:r>
      <w:bookmarkStart w:id="364" w:name="_Toc214284047"/>
      <w:r>
        <w:rPr>
          <w:rFonts w:hint="eastAsia"/>
          <w:lang w:val="en-US" w:eastAsia="zh-CN"/>
        </w:rPr>
        <w:t>2</w:t>
      </w:r>
      <w:bookmarkEnd w:id="362"/>
      <w:bookmarkEnd w:id="364"/>
      <w:bookmarkStart w:id="365" w:name="OLE_LINK29"/>
      <w:bookmarkStart w:id="366" w:name="_Toc13716"/>
      <w:r>
        <w:t>建（构）筑物防火</w:t>
      </w:r>
      <w:r>
        <w:rPr>
          <w:rFonts w:hint="eastAsia"/>
          <w:lang w:val="en-US" w:eastAsia="zh-CN"/>
        </w:rPr>
        <w:t>和防</w:t>
      </w:r>
      <w:r>
        <w:rPr>
          <w:lang w:val="en-US" w:eastAsia="en-US"/>
        </w:rPr>
        <w:t>洪水、泥石流</w:t>
      </w:r>
      <w:bookmarkEnd w:id="363"/>
    </w:p>
    <w:p w14:paraId="7683D868">
      <w:pPr>
        <w:bidi w:val="0"/>
        <w:rPr>
          <w:rFonts w:hint="default"/>
          <w:lang w:val="en-US" w:eastAsia="zh-CN"/>
        </w:rPr>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对照《安全设施设计》报告，对建（构）筑物防火符合性进行安全检查表检查。</w:t>
      </w:r>
    </w:p>
    <w:bookmarkEnd w:id="365"/>
    <w:p w14:paraId="22D8CF2C">
      <w:pPr>
        <w:pStyle w:val="86"/>
        <w:bidi w:val="0"/>
      </w:pPr>
      <w:bookmarkStart w:id="367" w:name="_Toc4501"/>
      <w:r>
        <w:t>表</w:t>
      </w:r>
      <w:r>
        <w:rPr>
          <w:rFonts w:hint="eastAsia"/>
          <w:lang w:val="en-US" w:eastAsia="zh-CN"/>
        </w:rPr>
        <w:t>3.6-2</w:t>
      </w:r>
      <w:r>
        <w:t>建（构）筑物防火符合性安全检查表</w:t>
      </w:r>
    </w:p>
    <w:tbl>
      <w:tblPr>
        <w:tblStyle w:val="35"/>
        <w:tblW w:w="478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67"/>
        <w:gridCol w:w="4184"/>
        <w:gridCol w:w="2204"/>
        <w:gridCol w:w="1601"/>
        <w:gridCol w:w="700"/>
      </w:tblGrid>
      <w:tr w14:paraId="5A32DF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 w:hRule="atLeast"/>
          <w:tblHeader/>
          <w:jc w:val="center"/>
        </w:trPr>
        <w:tc>
          <w:tcPr>
            <w:tcW w:w="254" w:type="pct"/>
            <w:vAlign w:val="center"/>
          </w:tcPr>
          <w:p w14:paraId="72908C78">
            <w:pPr>
              <w:pStyle w:val="56"/>
              <w:bidi w:val="0"/>
            </w:pPr>
            <w:r>
              <w:t>序号</w:t>
            </w:r>
          </w:p>
        </w:tc>
        <w:tc>
          <w:tcPr>
            <w:tcW w:w="2284" w:type="pct"/>
            <w:vAlign w:val="center"/>
          </w:tcPr>
          <w:p w14:paraId="2E69CE5B">
            <w:pPr>
              <w:pStyle w:val="56"/>
              <w:bidi w:val="0"/>
            </w:pPr>
            <w:r>
              <w:t>检查内容</w:t>
            </w:r>
          </w:p>
        </w:tc>
        <w:tc>
          <w:tcPr>
            <w:tcW w:w="1203" w:type="pct"/>
            <w:vAlign w:val="center"/>
          </w:tcPr>
          <w:p w14:paraId="2C1E4F27">
            <w:pPr>
              <w:pStyle w:val="56"/>
              <w:bidi w:val="0"/>
            </w:pPr>
            <w:r>
              <w:t>检查依据</w:t>
            </w:r>
          </w:p>
        </w:tc>
        <w:tc>
          <w:tcPr>
            <w:tcW w:w="874" w:type="pct"/>
            <w:vAlign w:val="center"/>
          </w:tcPr>
          <w:p w14:paraId="21CF59B2">
            <w:pPr>
              <w:pStyle w:val="56"/>
              <w:bidi w:val="0"/>
            </w:pPr>
            <w:r>
              <w:t>实施落实情况</w:t>
            </w:r>
          </w:p>
        </w:tc>
        <w:tc>
          <w:tcPr>
            <w:tcW w:w="382" w:type="pct"/>
            <w:vAlign w:val="center"/>
          </w:tcPr>
          <w:p w14:paraId="2AB0C2EE">
            <w:pPr>
              <w:pStyle w:val="56"/>
              <w:bidi w:val="0"/>
            </w:pPr>
            <w:r>
              <w:t>检查结果</w:t>
            </w:r>
          </w:p>
        </w:tc>
      </w:tr>
      <w:tr w14:paraId="3FD0C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2" w:hRule="atLeast"/>
          <w:jc w:val="center"/>
        </w:trPr>
        <w:tc>
          <w:tcPr>
            <w:tcW w:w="254" w:type="pct"/>
            <w:vAlign w:val="center"/>
          </w:tcPr>
          <w:p w14:paraId="5340B309">
            <w:pPr>
              <w:pStyle w:val="59"/>
              <w:bidi w:val="0"/>
              <w:ind w:firstLine="0" w:firstLineChars="0"/>
              <w:jc w:val="center"/>
              <w:rPr>
                <w:rFonts w:ascii="Times New Roman" w:hAnsi="Times New Roman"/>
                <w:bCs/>
                <w:color w:val="000000" w:themeColor="text1"/>
                <w:sz w:val="21"/>
                <w:szCs w:val="21"/>
                <w14:textFill>
                  <w14:solidFill>
                    <w14:schemeClr w14:val="tx1"/>
                  </w14:solidFill>
                </w14:textFill>
              </w:rPr>
            </w:pPr>
            <w:r>
              <w:rPr>
                <w:rFonts w:hint="eastAsia"/>
                <w:lang w:val="en-US" w:eastAsia="zh-CN"/>
              </w:rPr>
              <w:t>1</w:t>
            </w:r>
          </w:p>
        </w:tc>
        <w:tc>
          <w:tcPr>
            <w:tcW w:w="2284" w:type="pct"/>
            <w:vAlign w:val="center"/>
          </w:tcPr>
          <w:p w14:paraId="06431099">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民用建筑的平面布置应结合建筑的耐火等级、火灾危险性、使用功能和安全疏散等因素合理布置。</w:t>
            </w:r>
          </w:p>
        </w:tc>
        <w:tc>
          <w:tcPr>
            <w:tcW w:w="1203" w:type="pct"/>
            <w:vAlign w:val="center"/>
          </w:tcPr>
          <w:p w14:paraId="29DCE4B6">
            <w:pPr>
              <w:widowControl w:val="0"/>
              <w:bidi w:val="0"/>
              <w:adjustRightInd w:val="0"/>
              <w:snapToGrid w:val="0"/>
              <w:spacing w:line="240" w:lineRule="auto"/>
              <w:ind w:firstLine="0" w:firstLineChars="0"/>
              <w:jc w:val="left"/>
              <w:rPr>
                <w:rFonts w:hint="eastAsia" w:ascii="Calibri" w:hAnsi="Calibri" w:eastAsia="宋体" w:cs="Times New Roman"/>
                <w:spacing w:val="-2"/>
                <w:sz w:val="21"/>
                <w:lang w:val="en-US" w:eastAsia="zh-CN" w:bidi="ar-SA"/>
              </w:rPr>
            </w:pPr>
            <w:r>
              <w:rPr>
                <w:rFonts w:ascii="Calibri" w:hAnsi="Calibri" w:eastAsia="宋体" w:cs="Times New Roman"/>
                <w:spacing w:val="-2"/>
                <w:sz w:val="21"/>
                <w:lang w:val="en-US" w:eastAsia="en-US" w:bidi="ar-SA"/>
              </w:rPr>
              <w:t>《建筑设计防火规范》（GB50016</w:t>
            </w:r>
            <w:r>
              <w:rPr>
                <w:rFonts w:hint="eastAsia" w:ascii="Calibri" w:hAnsi="Calibri" w:eastAsia="宋体" w:cs="Times New Roman"/>
                <w:spacing w:val="-2"/>
                <w:sz w:val="21"/>
                <w:lang w:val="en-US" w:eastAsia="zh-CN" w:bidi="ar-SA"/>
              </w:rPr>
              <w:t xml:space="preserve"> </w:t>
            </w:r>
            <w:r>
              <w:rPr>
                <w:rFonts w:ascii="Calibri" w:hAnsi="Calibri" w:eastAsia="宋体" w:cs="Times New Roman"/>
                <w:spacing w:val="-2"/>
                <w:sz w:val="21"/>
                <w:lang w:val="en-US" w:eastAsia="en-US" w:bidi="ar-SA"/>
              </w:rPr>
              <w:t>-2014</w:t>
            </w:r>
            <w:r>
              <w:rPr>
                <w:rFonts w:hint="eastAsia" w:ascii="Calibri" w:hAnsi="Calibri" w:eastAsia="宋体" w:cs="Times New Roman"/>
                <w:spacing w:val="-2"/>
                <w:sz w:val="21"/>
                <w:lang w:val="en-US" w:eastAsia="zh-CN" w:bidi="ar-SA"/>
              </w:rPr>
              <w:t>）</w:t>
            </w:r>
          </w:p>
          <w:p w14:paraId="4EAB4E9F">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hint="eastAsia" w:eastAsia="宋体" w:cs="Times New Roman"/>
                <w:spacing w:val="-2"/>
                <w:sz w:val="21"/>
                <w:lang w:val="en-US" w:eastAsia="zh-CN" w:bidi="ar-SA"/>
              </w:rPr>
              <w:t>第5.4.1条</w:t>
            </w:r>
          </w:p>
        </w:tc>
        <w:tc>
          <w:tcPr>
            <w:tcW w:w="874" w:type="pct"/>
            <w:vAlign w:val="center"/>
          </w:tcPr>
          <w:p w14:paraId="6C5B7D51">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建筑物布局合理。</w:t>
            </w:r>
          </w:p>
        </w:tc>
        <w:tc>
          <w:tcPr>
            <w:tcW w:w="382" w:type="pct"/>
            <w:vAlign w:val="center"/>
          </w:tcPr>
          <w:p w14:paraId="75E14E17">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符合</w:t>
            </w:r>
          </w:p>
        </w:tc>
      </w:tr>
      <w:tr w14:paraId="18B7A6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4" w:hRule="atLeast"/>
          <w:jc w:val="center"/>
        </w:trPr>
        <w:tc>
          <w:tcPr>
            <w:tcW w:w="254" w:type="pct"/>
            <w:vAlign w:val="center"/>
          </w:tcPr>
          <w:p w14:paraId="1FDCA7D5">
            <w:pPr>
              <w:pStyle w:val="59"/>
              <w:bidi w:val="0"/>
              <w:ind w:firstLine="0" w:firstLineChars="0"/>
              <w:jc w:val="center"/>
              <w:rPr>
                <w:rFonts w:ascii="Times New Roman" w:hAnsi="Times New Roman"/>
                <w:bCs/>
                <w:color w:val="000000" w:themeColor="text1"/>
                <w:sz w:val="21"/>
                <w:szCs w:val="21"/>
                <w14:textFill>
                  <w14:solidFill>
                    <w14:schemeClr w14:val="tx1"/>
                  </w14:solidFill>
                </w14:textFill>
              </w:rPr>
            </w:pPr>
            <w:r>
              <w:rPr>
                <w:rFonts w:hint="eastAsia"/>
                <w:lang w:val="en-US" w:eastAsia="zh-CN"/>
              </w:rPr>
              <w:t>2</w:t>
            </w:r>
          </w:p>
        </w:tc>
        <w:tc>
          <w:tcPr>
            <w:tcW w:w="2284" w:type="pct"/>
            <w:vAlign w:val="center"/>
          </w:tcPr>
          <w:p w14:paraId="7AF0DEFF">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矿山企业的办公区、生活区、工业场地、地面建筑等，不应设在危崖、塌陷区、崩落区，不应设在受尘毒、污风影响区域内，不应受洪水、泥石流、爆破威胁。</w:t>
            </w:r>
          </w:p>
        </w:tc>
        <w:tc>
          <w:tcPr>
            <w:tcW w:w="1203" w:type="pct"/>
            <w:vAlign w:val="center"/>
          </w:tcPr>
          <w:p w14:paraId="0EF70B4C">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《金属非金属矿山安全规程》（GB1624</w:t>
            </w:r>
            <w:r>
              <w:rPr>
                <w:rFonts w:hint="eastAsia" w:cs="Times New Roman"/>
                <w:spacing w:val="-2"/>
                <w:sz w:val="21"/>
                <w:lang w:val="en-US" w:eastAsia="zh-CN" w:bidi="ar-SA"/>
              </w:rPr>
              <w:t xml:space="preserve"> </w:t>
            </w:r>
            <w:r>
              <w:rPr>
                <w:rFonts w:ascii="Calibri" w:hAnsi="Calibri" w:eastAsia="宋体" w:cs="Times New Roman"/>
                <w:spacing w:val="-2"/>
                <w:sz w:val="21"/>
                <w:lang w:val="en-US" w:eastAsia="en-US" w:bidi="ar-SA"/>
              </w:rPr>
              <w:t>-2020）第4.6.1条</w:t>
            </w:r>
          </w:p>
        </w:tc>
        <w:tc>
          <w:tcPr>
            <w:tcW w:w="874" w:type="pct"/>
            <w:vAlign w:val="center"/>
          </w:tcPr>
          <w:p w14:paraId="3789A419">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hint="eastAsia" w:ascii="Calibri" w:hAnsi="Calibri" w:eastAsia="宋体" w:cs="Times New Roman"/>
                <w:spacing w:val="-2"/>
                <w:sz w:val="21"/>
                <w:lang w:val="en-US" w:eastAsia="zh-CN" w:bidi="ar-SA"/>
              </w:rPr>
              <w:t>矿区不在</w:t>
            </w:r>
            <w:r>
              <w:rPr>
                <w:rFonts w:ascii="Calibri" w:hAnsi="Calibri" w:eastAsia="宋体" w:cs="Times New Roman"/>
                <w:spacing w:val="-2"/>
                <w:sz w:val="21"/>
                <w:lang w:val="en-US" w:eastAsia="en-US" w:bidi="ar-SA"/>
              </w:rPr>
              <w:t>危崖、塌陷区、崩落区</w:t>
            </w:r>
            <w:r>
              <w:rPr>
                <w:rFonts w:hint="eastAsia" w:ascii="Calibri" w:hAnsi="Calibri" w:eastAsia="宋体" w:cs="Times New Roman"/>
                <w:spacing w:val="-2"/>
                <w:sz w:val="21"/>
                <w:lang w:val="en-US" w:eastAsia="zh-CN" w:bidi="ar-SA"/>
              </w:rPr>
              <w:t>。</w:t>
            </w:r>
          </w:p>
        </w:tc>
        <w:tc>
          <w:tcPr>
            <w:tcW w:w="382" w:type="pct"/>
            <w:vAlign w:val="center"/>
          </w:tcPr>
          <w:p w14:paraId="0FA553A2">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符合</w:t>
            </w:r>
          </w:p>
        </w:tc>
      </w:tr>
      <w:tr w14:paraId="75BCF6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2" w:hRule="atLeast"/>
          <w:jc w:val="center"/>
        </w:trPr>
        <w:tc>
          <w:tcPr>
            <w:tcW w:w="254" w:type="pct"/>
            <w:vAlign w:val="center"/>
          </w:tcPr>
          <w:p w14:paraId="69B87832">
            <w:pPr>
              <w:widowControl/>
              <w:kinsoku w:val="0"/>
              <w:autoSpaceDE w:val="0"/>
              <w:autoSpaceDN w:val="0"/>
              <w:spacing w:before="68" w:line="240" w:lineRule="auto"/>
              <w:ind w:left="0" w:leftChars="0" w:right="208" w:rightChars="0" w:firstLine="0" w:firstLineChars="0"/>
              <w:jc w:val="center"/>
              <w:textAlignment w:val="baseline"/>
              <w:rPr>
                <w:rFonts w:ascii="Times New Roman" w:hAnsi="Times New Roman"/>
                <w:bCs/>
                <w:color w:val="000000" w:themeColor="text1"/>
                <w:sz w:val="21"/>
                <w:szCs w:val="21"/>
                <w14:textFill>
                  <w14:solidFill>
                    <w14:schemeClr w14:val="tx1"/>
                  </w14:solidFill>
                </w14:textFill>
              </w:rPr>
            </w:pPr>
            <w:r>
              <w:rPr>
                <w:rFonts w:hint="eastAsia" w:ascii="Times New Roman" w:hAnsi="Times New Roman"/>
                <w:bCs/>
                <w:color w:val="000000" w:themeColor="text1"/>
                <w:sz w:val="21"/>
                <w:szCs w:val="21"/>
                <w:lang w:val="en-US" w:eastAsia="zh-CN"/>
                <w14:textFill>
                  <w14:solidFill>
                    <w14:schemeClr w14:val="tx1"/>
                  </w14:solidFill>
                </w14:textFill>
              </w:rPr>
              <w:t>3</w:t>
            </w:r>
          </w:p>
        </w:tc>
        <w:tc>
          <w:tcPr>
            <w:tcW w:w="2284" w:type="pct"/>
            <w:vAlign w:val="center"/>
          </w:tcPr>
          <w:p w14:paraId="08CF76CC">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矿山建构筑物应建立消防设施，设置消防器材。</w:t>
            </w:r>
          </w:p>
        </w:tc>
        <w:tc>
          <w:tcPr>
            <w:tcW w:w="1203" w:type="pct"/>
            <w:vAlign w:val="center"/>
          </w:tcPr>
          <w:p w14:paraId="50358D20">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《金属非金属矿山安全规程》（GB1624</w:t>
            </w:r>
            <w:r>
              <w:rPr>
                <w:rFonts w:hint="eastAsia" w:cs="Times New Roman"/>
                <w:spacing w:val="-2"/>
                <w:sz w:val="21"/>
                <w:lang w:val="en-US" w:eastAsia="zh-CN" w:bidi="ar-SA"/>
              </w:rPr>
              <w:t xml:space="preserve"> </w:t>
            </w:r>
            <w:r>
              <w:rPr>
                <w:rFonts w:ascii="Calibri" w:hAnsi="Calibri" w:eastAsia="宋体" w:cs="Times New Roman"/>
                <w:spacing w:val="-2"/>
                <w:sz w:val="21"/>
                <w:lang w:val="en-US" w:eastAsia="en-US" w:bidi="ar-SA"/>
              </w:rPr>
              <w:t>-2020）第5.7.2.1条</w:t>
            </w:r>
          </w:p>
        </w:tc>
        <w:tc>
          <w:tcPr>
            <w:tcW w:w="874" w:type="pct"/>
            <w:vAlign w:val="center"/>
          </w:tcPr>
          <w:p w14:paraId="1767A682">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矿山</w:t>
            </w:r>
            <w:r>
              <w:rPr>
                <w:rFonts w:hint="eastAsia" w:ascii="Calibri" w:hAnsi="Calibri" w:eastAsia="宋体" w:cs="Times New Roman"/>
                <w:spacing w:val="-2"/>
                <w:sz w:val="21"/>
                <w:lang w:val="en-US" w:eastAsia="zh-CN" w:bidi="ar-SA"/>
              </w:rPr>
              <w:t>值班室、休息室、配电房</w:t>
            </w:r>
            <w:r>
              <w:rPr>
                <w:rFonts w:ascii="Calibri" w:hAnsi="Calibri" w:eastAsia="宋体" w:cs="Times New Roman"/>
                <w:spacing w:val="-2"/>
                <w:sz w:val="21"/>
                <w:lang w:val="en-US" w:eastAsia="en-US" w:bidi="ar-SA"/>
              </w:rPr>
              <w:t>等建筑物配备有灭火器。</w:t>
            </w:r>
          </w:p>
        </w:tc>
        <w:tc>
          <w:tcPr>
            <w:tcW w:w="382" w:type="pct"/>
            <w:vAlign w:val="center"/>
          </w:tcPr>
          <w:p w14:paraId="10495718">
            <w:pPr>
              <w:widowControl w:val="0"/>
              <w:bidi w:val="0"/>
              <w:adjustRightInd w:val="0"/>
              <w:snapToGrid w:val="0"/>
              <w:spacing w:line="240" w:lineRule="auto"/>
              <w:ind w:firstLine="0" w:firstLineChars="0"/>
              <w:jc w:val="left"/>
              <w:rPr>
                <w:rFonts w:ascii="Times New Roman" w:hAnsi="Times New Roman"/>
                <w:bCs/>
                <w:color w:val="000000" w:themeColor="text1"/>
                <w:sz w:val="21"/>
                <w:szCs w:val="21"/>
                <w14:textFill>
                  <w14:solidFill>
                    <w14:schemeClr w14:val="tx1"/>
                  </w14:solidFill>
                </w14:textFill>
              </w:rPr>
            </w:pPr>
            <w:r>
              <w:rPr>
                <w:rFonts w:ascii="Calibri" w:hAnsi="Calibri" w:eastAsia="宋体" w:cs="Times New Roman"/>
                <w:spacing w:val="-2"/>
                <w:sz w:val="21"/>
                <w:lang w:val="en-US" w:eastAsia="en-US" w:bidi="ar-SA"/>
              </w:rPr>
              <w:t>符合</w:t>
            </w:r>
          </w:p>
        </w:tc>
      </w:tr>
      <w:tr w14:paraId="2B9F2F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96" w:hRule="atLeast"/>
          <w:jc w:val="center"/>
        </w:trPr>
        <w:tc>
          <w:tcPr>
            <w:tcW w:w="254" w:type="pct"/>
            <w:vAlign w:val="center"/>
          </w:tcPr>
          <w:p w14:paraId="6CC67605">
            <w:pPr>
              <w:pStyle w:val="52"/>
              <w:spacing w:line="240" w:lineRule="auto"/>
              <w:ind w:firstLine="0" w:firstLineChars="0"/>
              <w:jc w:val="center"/>
              <w:rPr>
                <w:rFonts w:hint="eastAsia" w:ascii="Times New Roman" w:hAnsi="Times New Roman" w:eastAsia="宋体"/>
                <w:bCs/>
                <w:color w:val="000000" w:themeColor="text1"/>
                <w:sz w:val="21"/>
                <w:szCs w:val="21"/>
                <w:lang w:eastAsia="zh-CN"/>
                <w14:textFill>
                  <w14:solidFill>
                    <w14:schemeClr w14:val="tx1"/>
                  </w14:solidFill>
                </w14:textFill>
              </w:rPr>
            </w:pPr>
            <w:r>
              <w:rPr>
                <w:rFonts w:hint="eastAsia" w:ascii="Times New Roman" w:hAnsi="Times New Roman"/>
                <w:bCs/>
                <w:color w:val="000000" w:themeColor="text1"/>
                <w:sz w:val="21"/>
                <w:szCs w:val="21"/>
                <w:lang w:val="en-US" w:eastAsia="zh-CN"/>
                <w14:textFill>
                  <w14:solidFill>
                    <w14:schemeClr w14:val="tx1"/>
                  </w14:solidFill>
                </w14:textFill>
              </w:rPr>
              <w:t>4</w:t>
            </w:r>
          </w:p>
        </w:tc>
        <w:tc>
          <w:tcPr>
            <w:tcW w:w="2284" w:type="pct"/>
            <w:vAlign w:val="center"/>
          </w:tcPr>
          <w:p w14:paraId="14AA8A9E">
            <w:pPr>
              <w:pStyle w:val="55"/>
              <w:bidi w:val="0"/>
            </w:pPr>
            <w:r>
              <w:rPr>
                <w:rFonts w:hint="eastAsia"/>
              </w:rPr>
              <w:t>按照规范</w:t>
            </w:r>
            <w:r>
              <w:t>要求在</w:t>
            </w:r>
            <w:r>
              <w:rPr>
                <w:rFonts w:hint="eastAsia"/>
              </w:rPr>
              <w:t>变压器</w:t>
            </w:r>
            <w:r>
              <w:t>、</w:t>
            </w:r>
            <w:r>
              <w:rPr>
                <w:rFonts w:hint="eastAsia"/>
              </w:rPr>
              <w:t>办公室</w:t>
            </w:r>
            <w:r>
              <w:t>等处各配置不少于2具灭火器（5kg），同时保证办公室的安全出口必须保持通畅</w:t>
            </w:r>
            <w:r>
              <w:rPr>
                <w:rFonts w:hint="eastAsia"/>
              </w:rPr>
              <w:t>，在柴油储油点设置，设置</w:t>
            </w:r>
            <w:r>
              <w:t>消防器材箱、密闭卸油口和消防沙池。</w:t>
            </w:r>
          </w:p>
        </w:tc>
        <w:tc>
          <w:tcPr>
            <w:tcW w:w="1203" w:type="pct"/>
            <w:vAlign w:val="center"/>
          </w:tcPr>
          <w:p w14:paraId="6D9478FB">
            <w:pPr>
              <w:pStyle w:val="52"/>
              <w:spacing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《安全设施设计》</w:t>
            </w:r>
          </w:p>
        </w:tc>
        <w:tc>
          <w:tcPr>
            <w:tcW w:w="874" w:type="pct"/>
            <w:vAlign w:val="center"/>
          </w:tcPr>
          <w:p w14:paraId="73F22E1D">
            <w:pPr>
              <w:pStyle w:val="52"/>
              <w:spacing w:line="240" w:lineRule="auto"/>
              <w:ind w:firstLine="0" w:firstLineChars="0"/>
              <w:jc w:val="both"/>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现场检查，矿山已在配电室配备了灭火器材。</w:t>
            </w:r>
          </w:p>
        </w:tc>
        <w:tc>
          <w:tcPr>
            <w:tcW w:w="382" w:type="pct"/>
            <w:vAlign w:val="center"/>
          </w:tcPr>
          <w:p w14:paraId="2CE01555">
            <w:pPr>
              <w:pStyle w:val="52"/>
              <w:spacing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符合</w:t>
            </w:r>
          </w:p>
        </w:tc>
      </w:tr>
      <w:tr w14:paraId="18D5E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254" w:type="pct"/>
            <w:vAlign w:val="center"/>
          </w:tcPr>
          <w:p w14:paraId="14DBEE85">
            <w:pPr>
              <w:pStyle w:val="52"/>
              <w:spacing w:line="240" w:lineRule="auto"/>
              <w:ind w:firstLine="0" w:firstLineChars="0"/>
              <w:jc w:val="center"/>
              <w:rPr>
                <w:rFonts w:hint="eastAsia" w:ascii="Times New Roman" w:hAnsi="Times New Roman" w:eastAsia="宋体"/>
                <w:bCs/>
                <w:color w:val="000000" w:themeColor="text1"/>
                <w:sz w:val="21"/>
                <w:szCs w:val="21"/>
                <w:lang w:eastAsia="zh-CN"/>
                <w14:textFill>
                  <w14:solidFill>
                    <w14:schemeClr w14:val="tx1"/>
                  </w14:solidFill>
                </w14:textFill>
              </w:rPr>
            </w:pPr>
            <w:r>
              <w:rPr>
                <w:rFonts w:hint="eastAsia" w:ascii="Times New Roman" w:hAnsi="Times New Roman"/>
                <w:bCs/>
                <w:color w:val="000000" w:themeColor="text1"/>
                <w:sz w:val="21"/>
                <w:szCs w:val="21"/>
                <w:lang w:val="en-US" w:eastAsia="zh-CN"/>
                <w14:textFill>
                  <w14:solidFill>
                    <w14:schemeClr w14:val="tx1"/>
                  </w14:solidFill>
                </w14:textFill>
              </w:rPr>
              <w:t>5</w:t>
            </w:r>
          </w:p>
        </w:tc>
        <w:tc>
          <w:tcPr>
            <w:tcW w:w="2284" w:type="pct"/>
            <w:vAlign w:val="center"/>
          </w:tcPr>
          <w:p w14:paraId="545A2906">
            <w:pPr>
              <w:pStyle w:val="55"/>
              <w:bidi w:val="0"/>
            </w:pPr>
            <w:r>
              <w:t>为</w:t>
            </w:r>
            <w:r>
              <w:rPr>
                <w:rFonts w:hint="eastAsia"/>
              </w:rPr>
              <w:t>防患于未然</w:t>
            </w:r>
            <w:r>
              <w:t>，仍应加强消防管理，除配备足够的</w:t>
            </w:r>
            <w:r>
              <w:rPr>
                <w:rFonts w:hint="eastAsia"/>
              </w:rPr>
              <w:t>消防</w:t>
            </w:r>
            <w:r>
              <w:rPr>
                <w:rFonts w:hint="eastAsia"/>
                <w:lang w:eastAsia="zh-CN"/>
              </w:rPr>
              <w:t>器</w:t>
            </w:r>
            <w:r>
              <w:t>等消防器材外。矿山高位水箱同时可作为坑内和地表设施的消防水池，一旦发生火灾时，可作为消防用水灭火。</w:t>
            </w:r>
          </w:p>
        </w:tc>
        <w:tc>
          <w:tcPr>
            <w:tcW w:w="1203" w:type="pct"/>
            <w:vAlign w:val="center"/>
          </w:tcPr>
          <w:p w14:paraId="21E4BAAD">
            <w:pPr>
              <w:pStyle w:val="52"/>
              <w:spacing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《安全设施设计》</w:t>
            </w:r>
          </w:p>
        </w:tc>
        <w:tc>
          <w:tcPr>
            <w:tcW w:w="874" w:type="pct"/>
            <w:vAlign w:val="center"/>
          </w:tcPr>
          <w:p w14:paraId="5EDA3D1D">
            <w:pPr>
              <w:pStyle w:val="52"/>
              <w:spacing w:line="240" w:lineRule="auto"/>
              <w:ind w:firstLine="0" w:firstLineChars="0"/>
              <w:jc w:val="both"/>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设置了消防</w:t>
            </w:r>
            <w:r>
              <w:rPr>
                <w:rFonts w:hint="eastAsia" w:ascii="Times New Roman" w:hAnsi="Times New Roman"/>
                <w:bCs/>
                <w:color w:val="000000" w:themeColor="text1"/>
                <w:sz w:val="21"/>
                <w:szCs w:val="21"/>
                <w:lang w:val="en-US" w:eastAsia="zh-CN"/>
                <w14:textFill>
                  <w14:solidFill>
                    <w14:schemeClr w14:val="tx1"/>
                  </w14:solidFill>
                </w14:textFill>
              </w:rPr>
              <w:t>水箱</w:t>
            </w:r>
            <w:r>
              <w:rPr>
                <w:rFonts w:ascii="Times New Roman" w:hAnsi="Times New Roman"/>
                <w:bCs/>
                <w:color w:val="000000" w:themeColor="text1"/>
                <w:sz w:val="21"/>
                <w:szCs w:val="21"/>
                <w14:textFill>
                  <w14:solidFill>
                    <w14:schemeClr w14:val="tx1"/>
                  </w14:solidFill>
                </w14:textFill>
              </w:rPr>
              <w:t>。</w:t>
            </w:r>
          </w:p>
        </w:tc>
        <w:tc>
          <w:tcPr>
            <w:tcW w:w="382" w:type="pct"/>
            <w:vAlign w:val="center"/>
          </w:tcPr>
          <w:p w14:paraId="75675933">
            <w:pPr>
              <w:pStyle w:val="52"/>
              <w:spacing w:line="240" w:lineRule="auto"/>
              <w:ind w:firstLine="0" w:firstLineChars="0"/>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符合</w:t>
            </w:r>
          </w:p>
        </w:tc>
      </w:tr>
    </w:tbl>
    <w:p w14:paraId="4FC6A603">
      <w:pPr>
        <w:adjustRightInd w:val="0"/>
        <w:snapToGrid w:val="0"/>
        <w:spacing w:before="156" w:beforeLines="50"/>
        <w:ind w:firstLine="562"/>
        <w:rPr>
          <w:rFonts w:ascii="Times New Roman" w:hAnsi="Times New Roman"/>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针对露天采场建（构）筑物防火安全检查表内的</w:t>
      </w:r>
      <w:r>
        <w:rPr>
          <w:rFonts w:hint="eastAsia" w:ascii="Times New Roman" w:hAnsi="Times New Roman"/>
          <w:color w:val="000000" w:themeColor="text1"/>
          <w:lang w:val="en-US" w:eastAsia="zh-CN"/>
          <w14:textFill>
            <w14:solidFill>
              <w14:schemeClr w14:val="tx1"/>
            </w14:solidFill>
          </w14:textFill>
        </w:rPr>
        <w:t>5</w:t>
      </w:r>
      <w:r>
        <w:rPr>
          <w:rFonts w:ascii="Times New Roman" w:hAnsi="Times New Roman"/>
          <w:color w:val="000000" w:themeColor="text1"/>
          <w14:textFill>
            <w14:solidFill>
              <w14:schemeClr w14:val="tx1"/>
            </w14:solidFill>
          </w14:textFill>
        </w:rPr>
        <w:t>项内容，</w:t>
      </w:r>
      <w:r>
        <w:rPr>
          <w:rFonts w:hint="eastAsia" w:ascii="Times New Roman" w:hAnsi="Times New Roman"/>
          <w:color w:val="000000" w:themeColor="text1"/>
          <w:lang w:val="en-US" w:eastAsia="zh-CN"/>
          <w14:textFill>
            <w14:solidFill>
              <w14:schemeClr w14:val="tx1"/>
            </w14:solidFill>
          </w14:textFill>
        </w:rPr>
        <w:t>5</w:t>
      </w:r>
      <w:r>
        <w:rPr>
          <w:rFonts w:ascii="Times New Roman" w:hAnsi="Times New Roman"/>
          <w:color w:val="000000" w:themeColor="text1"/>
          <w14:textFill>
            <w14:solidFill>
              <w14:schemeClr w14:val="tx1"/>
            </w14:solidFill>
          </w14:textFill>
        </w:rPr>
        <w:t>项全部符合。</w:t>
      </w:r>
    </w:p>
    <w:p w14:paraId="12DB9AC8">
      <w:pPr>
        <w:pStyle w:val="4"/>
        <w:bidi w:val="0"/>
      </w:pPr>
      <w:bookmarkStart w:id="368" w:name="_Toc20711"/>
      <w:r>
        <w:t>3.6.</w:t>
      </w:r>
      <w:r>
        <w:rPr>
          <w:rFonts w:hint="eastAsia"/>
          <w:lang w:val="en-US" w:eastAsia="zh-CN"/>
        </w:rPr>
        <w:t>3</w:t>
      </w:r>
      <w:r>
        <w:t>单元小结</w:t>
      </w:r>
      <w:bookmarkEnd w:id="366"/>
      <w:bookmarkEnd w:id="367"/>
      <w:bookmarkEnd w:id="368"/>
    </w:p>
    <w:p w14:paraId="1836080F">
      <w:pPr>
        <w:bidi w:val="0"/>
        <w:rPr>
          <w:rFonts w:hint="eastAsia"/>
        </w:rPr>
      </w:pPr>
      <w:r>
        <w:rPr>
          <w:rFonts w:hint="eastAsia"/>
          <w:lang w:val="en-US" w:eastAsia="zh-CN"/>
        </w:rPr>
        <w:t>总平面布置单元共设检查项22项，22项符合。</w:t>
      </w:r>
      <w:r>
        <w:t>通过对矿山的建（构）筑物防火情况进行检查，</w:t>
      </w: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经过对工业场地、</w:t>
      </w:r>
      <w:r>
        <w:t>建（构）筑物防火</w:t>
      </w:r>
      <w:r>
        <w:rPr>
          <w:rFonts w:hint="eastAsia"/>
          <w:lang w:val="en-US" w:eastAsia="zh-CN"/>
        </w:rPr>
        <w:t>安全检查表分析，符合</w:t>
      </w:r>
      <w:r>
        <w:rPr>
          <w:rFonts w:hint="eastAsia"/>
        </w:rPr>
        <w:t>《工业企业总平面设计规范》</w:t>
      </w:r>
      <w:r>
        <w:rPr>
          <w:rFonts w:hint="eastAsia"/>
          <w:lang w:eastAsia="zh-CN"/>
        </w:rPr>
        <w:t>、</w:t>
      </w:r>
      <w:r>
        <w:rPr>
          <w:rFonts w:hint="eastAsia"/>
        </w:rPr>
        <w:t>《金属非金属矿山安全规程》</w:t>
      </w:r>
      <w:r>
        <w:rPr>
          <w:rFonts w:hint="eastAsia"/>
          <w:lang w:eastAsia="zh-CN"/>
        </w:rPr>
        <w:t>、《电力设施保护条例实施细则》、</w:t>
      </w:r>
      <w:r>
        <w:rPr>
          <w:rFonts w:hint="eastAsia"/>
        </w:rPr>
        <w:t>《公路安全保护条例》</w:t>
      </w:r>
      <w:r>
        <w:rPr>
          <w:rFonts w:hint="eastAsia"/>
          <w:lang w:eastAsia="zh-CN"/>
        </w:rPr>
        <w:t>、</w:t>
      </w:r>
      <w:r>
        <w:rPr>
          <w:lang w:val="en-US" w:eastAsia="en-US"/>
        </w:rPr>
        <w:t>《建筑设计防火规范》</w:t>
      </w:r>
      <w:r>
        <w:rPr>
          <w:rFonts w:hint="eastAsia"/>
          <w:lang w:val="en-US" w:eastAsia="zh-CN"/>
        </w:rPr>
        <w:t>等</w:t>
      </w:r>
      <w:r>
        <w:rPr>
          <w:rFonts w:hint="eastAsia"/>
        </w:rPr>
        <w:t>的要求。</w:t>
      </w:r>
      <w:r>
        <w:rPr>
          <w:rFonts w:hint="eastAsia"/>
          <w:lang w:val="en-US" w:eastAsia="zh-CN"/>
        </w:rPr>
        <w:t>总平面布置单元</w:t>
      </w:r>
      <w:r>
        <w:t>基本合理、可行，符合相关法律、法规、标准和规范的要求，经评价认为</w:t>
      </w:r>
      <w:r>
        <w:rPr>
          <w:rFonts w:hint="eastAsia"/>
          <w:lang w:eastAsia="zh-CN"/>
        </w:rPr>
        <w:t>总平面</w:t>
      </w:r>
      <w:r>
        <w:t>单元满足安全生产要求。</w:t>
      </w:r>
    </w:p>
    <w:p w14:paraId="4368A587">
      <w:pPr>
        <w:pStyle w:val="3"/>
      </w:pPr>
      <w:bookmarkStart w:id="369" w:name="_Toc214284049"/>
      <w:bookmarkStart w:id="370" w:name="_Toc2292"/>
      <w:bookmarkStart w:id="371" w:name="_Toc12702"/>
      <w:r>
        <w:t>3.7通信系统</w:t>
      </w:r>
      <w:bookmarkEnd w:id="369"/>
      <w:bookmarkEnd w:id="370"/>
      <w:bookmarkEnd w:id="371"/>
    </w:p>
    <w:p w14:paraId="20A3092E">
      <w:pPr>
        <w:pStyle w:val="4"/>
      </w:pPr>
      <w:bookmarkStart w:id="372" w:name="_Toc24546"/>
      <w:bookmarkStart w:id="373" w:name="_Toc214284050"/>
      <w:bookmarkStart w:id="374" w:name="_Toc25504"/>
      <w:r>
        <w:t>3.7.1通信系统符合性安全检查表</w:t>
      </w:r>
      <w:bookmarkEnd w:id="372"/>
      <w:bookmarkEnd w:id="373"/>
      <w:bookmarkEnd w:id="374"/>
    </w:p>
    <w:p w14:paraId="29A3FB16">
      <w:pPr>
        <w:adjustRightInd w:val="0"/>
        <w:snapToGrid w:val="0"/>
        <w:ind w:firstLine="560"/>
        <w:rPr>
          <w:rFonts w:ascii="Times New Roman" w:hAnsi="Times New Roman"/>
          <w:color w:val="000000" w:themeColor="text1"/>
          <w14:textFill>
            <w14:solidFill>
              <w14:schemeClr w14:val="tx1"/>
            </w14:solidFill>
          </w14:textFill>
        </w:rPr>
      </w:pPr>
      <w:bookmarkStart w:id="375" w:name="OLE_LINK8"/>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w:t>
      </w:r>
      <w:r>
        <w:rPr>
          <w:rFonts w:hint="eastAsia"/>
          <w:lang w:eastAsia="zh-CN"/>
        </w:rPr>
        <w:t>有关内容</w:t>
      </w:r>
      <w:r>
        <w:rPr>
          <w:rFonts w:ascii="Times New Roman" w:hAnsi="Times New Roman"/>
          <w:color w:val="000000" w:themeColor="text1"/>
          <w:szCs w:val="28"/>
          <w14:textFill>
            <w14:solidFill>
              <w14:schemeClr w14:val="tx1"/>
            </w14:solidFill>
          </w14:textFill>
        </w:rPr>
        <w:t>对通信系统进行符合性检查。</w:t>
      </w:r>
      <w:bookmarkEnd w:id="375"/>
    </w:p>
    <w:p w14:paraId="12E43883">
      <w:pPr>
        <w:pStyle w:val="73"/>
        <w:bidi w:val="0"/>
      </w:pPr>
      <w:r>
        <w:t>表3</w:t>
      </w:r>
      <w:r>
        <w:rPr>
          <w:rFonts w:hint="eastAsia"/>
          <w:lang w:val="en-US" w:eastAsia="zh-CN"/>
        </w:rPr>
        <w:t>.7-1</w:t>
      </w:r>
      <w:r>
        <w:t>通信系统符合性检查表</w:t>
      </w:r>
    </w:p>
    <w:tbl>
      <w:tblPr>
        <w:tblStyle w:val="3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30"/>
        <w:gridCol w:w="718"/>
        <w:gridCol w:w="778"/>
        <w:gridCol w:w="668"/>
        <w:gridCol w:w="2713"/>
        <w:gridCol w:w="3249"/>
        <w:gridCol w:w="682"/>
      </w:tblGrid>
      <w:tr w14:paraId="39554C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22" w:hRule="atLeast"/>
          <w:tblHeader/>
        </w:trPr>
        <w:tc>
          <w:tcPr>
            <w:tcW w:w="530" w:type="dxa"/>
            <w:vAlign w:val="center"/>
          </w:tcPr>
          <w:p w14:paraId="5858B1EF">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序号</w:t>
            </w:r>
          </w:p>
        </w:tc>
        <w:tc>
          <w:tcPr>
            <w:tcW w:w="718" w:type="dxa"/>
            <w:vAlign w:val="center"/>
          </w:tcPr>
          <w:p w14:paraId="5DAF0E71">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检查项目</w:t>
            </w:r>
          </w:p>
        </w:tc>
        <w:tc>
          <w:tcPr>
            <w:tcW w:w="778" w:type="dxa"/>
            <w:vAlign w:val="center"/>
          </w:tcPr>
          <w:p w14:paraId="1FC9DF1E">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安全设施类别</w:t>
            </w:r>
          </w:p>
        </w:tc>
        <w:tc>
          <w:tcPr>
            <w:tcW w:w="668" w:type="dxa"/>
            <w:vAlign w:val="center"/>
          </w:tcPr>
          <w:p w14:paraId="1E81421D">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检查类别</w:t>
            </w:r>
          </w:p>
        </w:tc>
        <w:tc>
          <w:tcPr>
            <w:tcW w:w="2713" w:type="dxa"/>
            <w:vAlign w:val="center"/>
          </w:tcPr>
          <w:p w14:paraId="5FD21F8F">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检查内容、检查方法</w:t>
            </w:r>
          </w:p>
        </w:tc>
        <w:tc>
          <w:tcPr>
            <w:tcW w:w="3249" w:type="dxa"/>
            <w:vAlign w:val="center"/>
          </w:tcPr>
          <w:p w14:paraId="0F3388F3">
            <w:pPr>
              <w:spacing w:line="240" w:lineRule="auto"/>
              <w:ind w:firstLine="0" w:firstLineChars="0"/>
              <w:jc w:val="center"/>
              <w:rPr>
                <w:rFonts w:hint="default" w:ascii="Times New Roman" w:hAnsi="Times New Roman" w:eastAsia="宋体"/>
                <w:b/>
                <w:color w:val="000000" w:themeColor="text1"/>
                <w:sz w:val="21"/>
                <w:szCs w:val="21"/>
                <w:lang w:val="en-US" w:eastAsia="zh-CN"/>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检查情况</w:t>
            </w:r>
          </w:p>
        </w:tc>
        <w:tc>
          <w:tcPr>
            <w:tcW w:w="682" w:type="dxa"/>
            <w:vAlign w:val="center"/>
          </w:tcPr>
          <w:p w14:paraId="471986CD">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检查结果</w:t>
            </w:r>
          </w:p>
        </w:tc>
      </w:tr>
      <w:tr w14:paraId="7B52C7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vAlign w:val="center"/>
          </w:tcPr>
          <w:p w14:paraId="1876D8E2">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718" w:type="dxa"/>
            <w:vAlign w:val="center"/>
          </w:tcPr>
          <w:p w14:paraId="226B0336">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通信联络系统</w:t>
            </w:r>
          </w:p>
        </w:tc>
        <w:tc>
          <w:tcPr>
            <w:tcW w:w="778" w:type="dxa"/>
            <w:vAlign w:val="center"/>
          </w:tcPr>
          <w:p w14:paraId="7E66EF6D">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专用</w:t>
            </w:r>
          </w:p>
        </w:tc>
        <w:tc>
          <w:tcPr>
            <w:tcW w:w="668" w:type="dxa"/>
            <w:vAlign w:val="center"/>
          </w:tcPr>
          <w:p w14:paraId="4DFC2D5F">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Cambria Math" w:hAnsi="Cambria Math" w:cs="Cambria Math"/>
                <w:color w:val="000000" w:themeColor="text1"/>
                <w:sz w:val="21"/>
                <w:szCs w:val="21"/>
                <w14:textFill>
                  <w14:solidFill>
                    <w14:schemeClr w14:val="tx1"/>
                  </w14:solidFill>
                </w14:textFill>
              </w:rPr>
              <w:t>△</w:t>
            </w:r>
          </w:p>
        </w:tc>
        <w:tc>
          <w:tcPr>
            <w:tcW w:w="2713" w:type="dxa"/>
            <w:vAlign w:val="center"/>
          </w:tcPr>
          <w:p w14:paraId="5E656A41">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检查内容：通信联络系统的种类、数量、安装位置、电缆敷设是否与批复的安全设施设计一致。</w:t>
            </w:r>
          </w:p>
          <w:p w14:paraId="73AA2A29">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检查方法：现场抽查。</w:t>
            </w:r>
          </w:p>
        </w:tc>
        <w:tc>
          <w:tcPr>
            <w:tcW w:w="3249" w:type="dxa"/>
            <w:vAlign w:val="center"/>
          </w:tcPr>
          <w:p w14:paraId="6CC43078">
            <w:pPr>
              <w:pStyle w:val="59"/>
              <w:bidi w:val="0"/>
              <w:rPr>
                <w:rFonts w:hint="eastAsia"/>
                <w:lang w:val="en-US" w:eastAsia="zh-CN"/>
              </w:rPr>
            </w:pPr>
            <w:r>
              <w:rPr>
                <w:rFonts w:hint="eastAsia"/>
                <w:lang w:val="en-US" w:eastAsia="zh-CN"/>
              </w:rPr>
              <w:t>1、设计情况：（1）内部通信系统：设计采用5台对讲机作为内部无线通信设备，为各班组长及关键岗位员工配备。（2）外部通信系统：矿山目前已接通网络，设计在办公室安设一台固定电话作为对外紧急通信设备，常规通信设备利用个人手机。（3）信号系统：设计在破碎站卸料口设置卸料指示系统、报警信号以及视频监控系统。</w:t>
            </w:r>
          </w:p>
          <w:p w14:paraId="35DF63B4">
            <w:pPr>
              <w:pStyle w:val="59"/>
              <w:bidi w:val="0"/>
              <w:rPr>
                <w:rFonts w:ascii="Times New Roman" w:hAnsi="Times New Roman"/>
                <w:color w:val="000000" w:themeColor="text1"/>
                <w:szCs w:val="21"/>
                <w14:textFill>
                  <w14:solidFill>
                    <w14:schemeClr w14:val="tx1"/>
                  </w14:solidFill>
                </w14:textFill>
              </w:rPr>
            </w:pPr>
            <w:r>
              <w:rPr>
                <w:rFonts w:hint="eastAsia"/>
                <w:lang w:val="en-US" w:eastAsia="zh-CN"/>
              </w:rPr>
              <w:t>2、建设情况：矿山工人均持有手机，在破碎站卸料口未设置声光报警系统以及视频监控系统。</w:t>
            </w:r>
          </w:p>
        </w:tc>
        <w:tc>
          <w:tcPr>
            <w:tcW w:w="682" w:type="dxa"/>
            <w:vAlign w:val="center"/>
          </w:tcPr>
          <w:p w14:paraId="467B17F4">
            <w:pPr>
              <w:spacing w:line="240" w:lineRule="auto"/>
              <w:ind w:firstLine="0" w:firstLineChars="0"/>
              <w:jc w:val="center"/>
              <w:rPr>
                <w:rFonts w:ascii="Times New Roman" w:hAnsi="Times New Roman"/>
                <w:bCs/>
                <w:color w:val="000000" w:themeColor="text1"/>
                <w:sz w:val="21"/>
                <w:szCs w:val="21"/>
                <w14:textFill>
                  <w14:solidFill>
                    <w14:schemeClr w14:val="tx1"/>
                  </w14:solidFill>
                </w14:textFill>
              </w:rPr>
            </w:pPr>
            <w:r>
              <w:rPr>
                <w:rFonts w:hint="eastAsia" w:ascii="Times New Roman" w:hAnsi="Times New Roman"/>
                <w:bCs/>
                <w:color w:val="000000" w:themeColor="text1"/>
                <w:sz w:val="21"/>
                <w:szCs w:val="21"/>
                <w:lang w:val="en-US" w:eastAsia="zh-CN"/>
                <w14:textFill>
                  <w14:solidFill>
                    <w14:schemeClr w14:val="tx1"/>
                  </w14:solidFill>
                </w14:textFill>
              </w:rPr>
              <w:t>不</w:t>
            </w:r>
            <w:r>
              <w:rPr>
                <w:rFonts w:ascii="Times New Roman" w:hAnsi="Times New Roman"/>
                <w:bCs/>
                <w:color w:val="000000" w:themeColor="text1"/>
                <w:sz w:val="21"/>
                <w:szCs w:val="21"/>
                <w14:textFill>
                  <w14:solidFill>
                    <w14:schemeClr w14:val="tx1"/>
                  </w14:solidFill>
                </w14:textFill>
              </w:rPr>
              <w:t>符合</w:t>
            </w:r>
          </w:p>
        </w:tc>
      </w:tr>
      <w:tr w14:paraId="2B6993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vAlign w:val="center"/>
          </w:tcPr>
          <w:p w14:paraId="31BF4DBC">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w:t>
            </w:r>
          </w:p>
        </w:tc>
        <w:tc>
          <w:tcPr>
            <w:tcW w:w="718" w:type="dxa"/>
            <w:vAlign w:val="center"/>
          </w:tcPr>
          <w:p w14:paraId="1315FE8A">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信号系统</w:t>
            </w:r>
          </w:p>
        </w:tc>
        <w:tc>
          <w:tcPr>
            <w:tcW w:w="778" w:type="dxa"/>
            <w:vAlign w:val="center"/>
          </w:tcPr>
          <w:p w14:paraId="4DD2B46C">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专用</w:t>
            </w:r>
          </w:p>
        </w:tc>
        <w:tc>
          <w:tcPr>
            <w:tcW w:w="668" w:type="dxa"/>
            <w:vAlign w:val="center"/>
          </w:tcPr>
          <w:p w14:paraId="2760673B">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Cambria Math" w:hAnsi="Cambria Math" w:cs="Cambria Math"/>
                <w:color w:val="000000" w:themeColor="text1"/>
                <w:sz w:val="21"/>
                <w:szCs w:val="21"/>
                <w14:textFill>
                  <w14:solidFill>
                    <w14:schemeClr w14:val="tx1"/>
                  </w14:solidFill>
                </w14:textFill>
              </w:rPr>
              <w:t>△</w:t>
            </w:r>
          </w:p>
        </w:tc>
        <w:tc>
          <w:tcPr>
            <w:tcW w:w="2713" w:type="dxa"/>
            <w:vAlign w:val="center"/>
          </w:tcPr>
          <w:p w14:paraId="38650DAA">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检查内容：运输道路信号系统的设备种类、数量、安装位置、电缆敷设是否与批复的安全设施设计一致。</w:t>
            </w:r>
          </w:p>
          <w:p w14:paraId="17C9F453">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检查方法：查阅安全设施验收评价报告、现场抽查。</w:t>
            </w:r>
          </w:p>
        </w:tc>
        <w:tc>
          <w:tcPr>
            <w:tcW w:w="3249" w:type="dxa"/>
            <w:vAlign w:val="center"/>
          </w:tcPr>
          <w:p w14:paraId="4B94E81C">
            <w:pPr>
              <w:keepNext w:val="0"/>
              <w:keepLines w:val="0"/>
              <w:pageBreakBefore w:val="0"/>
              <w:widowControl/>
              <w:numPr>
                <w:ilvl w:val="0"/>
                <w:numId w:val="0"/>
              </w:numPr>
              <w:kinsoku/>
              <w:wordWrap/>
              <w:overflowPunct/>
              <w:topLinePunct w:val="0"/>
              <w:autoSpaceDE/>
              <w:autoSpaceDN/>
              <w:bidi w:val="0"/>
              <w:adjustRightInd/>
              <w:snapToGrid w:val="0"/>
              <w:spacing w:line="240" w:lineRule="auto"/>
              <w:jc w:val="left"/>
              <w:textAlignment w:val="auto"/>
              <w:rPr>
                <w:rFonts w:ascii="Times New Roman" w:hAnsi="Times New Roman"/>
                <w:color w:val="000000" w:themeColor="text1"/>
                <w:sz w:val="21"/>
                <w:szCs w:val="21"/>
                <w14:textFill>
                  <w14:solidFill>
                    <w14:schemeClr w14:val="tx1"/>
                  </w14:solidFill>
                </w14:textFill>
              </w:rPr>
            </w:pPr>
            <w:r>
              <w:rPr>
                <w:rFonts w:hint="eastAsia" w:ascii="宋体" w:hAnsi="宋体" w:eastAsia="宋体" w:cs="宋体"/>
                <w:color w:val="auto"/>
                <w:kern w:val="0"/>
                <w:sz w:val="21"/>
                <w:szCs w:val="21"/>
                <w:highlight w:val="none"/>
                <w:lang w:val="en-US" w:eastAsia="zh-CN"/>
              </w:rPr>
              <w:t>矿山采用露天开采，视野开阔，夜间不作业，无</w:t>
            </w:r>
            <w:r>
              <w:rPr>
                <w:rFonts w:hint="eastAsia" w:ascii="宋体" w:hAnsi="宋体" w:eastAsia="宋体" w:cs="宋体"/>
                <w:color w:val="auto"/>
                <w:sz w:val="21"/>
                <w:szCs w:val="21"/>
                <w:highlight w:val="none"/>
                <w:lang w:eastAsia="zh-CN"/>
              </w:rPr>
              <w:t>运输</w:t>
            </w:r>
            <w:r>
              <w:rPr>
                <w:rFonts w:hint="eastAsia" w:ascii="宋体" w:hAnsi="宋体" w:eastAsia="宋体" w:cs="宋体"/>
                <w:color w:val="auto"/>
                <w:kern w:val="0"/>
                <w:sz w:val="21"/>
                <w:szCs w:val="21"/>
                <w:highlight w:val="none"/>
                <w:lang w:val="en-US" w:eastAsia="zh-CN"/>
              </w:rPr>
              <w:t>道路信号系统。</w:t>
            </w:r>
          </w:p>
        </w:tc>
        <w:tc>
          <w:tcPr>
            <w:tcW w:w="682" w:type="dxa"/>
            <w:vAlign w:val="center"/>
          </w:tcPr>
          <w:p w14:paraId="087C80E5">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ascii="Times New Roman" w:hAnsi="Times New Roman"/>
                <w:bCs/>
                <w:color w:val="000000" w:themeColor="text1"/>
                <w:sz w:val="21"/>
                <w:szCs w:val="21"/>
                <w14:textFill>
                  <w14:solidFill>
                    <w14:schemeClr w14:val="tx1"/>
                  </w14:solidFill>
                </w14:textFill>
              </w:rPr>
            </w:pPr>
            <w:r>
              <w:rPr>
                <w:rFonts w:hint="eastAsia" w:ascii="宋体" w:hAnsi="宋体" w:cs="宋体"/>
                <w:color w:val="auto"/>
                <w:sz w:val="21"/>
                <w:szCs w:val="21"/>
                <w:highlight w:val="none"/>
                <w:lang w:val="en-US" w:eastAsia="zh-CN"/>
              </w:rPr>
              <w:t>符合</w:t>
            </w:r>
          </w:p>
        </w:tc>
      </w:tr>
      <w:tr w14:paraId="3FA48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30" w:type="dxa"/>
            <w:vAlign w:val="center"/>
          </w:tcPr>
          <w:p w14:paraId="0C3B5878">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p>
        </w:tc>
        <w:tc>
          <w:tcPr>
            <w:tcW w:w="718" w:type="dxa"/>
            <w:vAlign w:val="center"/>
          </w:tcPr>
          <w:p w14:paraId="5BBD9D4A">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监测监控系统</w:t>
            </w:r>
          </w:p>
        </w:tc>
        <w:tc>
          <w:tcPr>
            <w:tcW w:w="778" w:type="dxa"/>
            <w:vAlign w:val="center"/>
          </w:tcPr>
          <w:p w14:paraId="14481017">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专用</w:t>
            </w:r>
          </w:p>
        </w:tc>
        <w:tc>
          <w:tcPr>
            <w:tcW w:w="668" w:type="dxa"/>
            <w:vAlign w:val="center"/>
          </w:tcPr>
          <w:p w14:paraId="2B9E093D">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Cambria Math" w:hAnsi="Cambria Math" w:cs="Cambria Math"/>
                <w:color w:val="000000" w:themeColor="text1"/>
                <w:sz w:val="21"/>
                <w:szCs w:val="21"/>
                <w14:textFill>
                  <w14:solidFill>
                    <w14:schemeClr w14:val="tx1"/>
                  </w14:solidFill>
                </w14:textFill>
              </w:rPr>
              <w:t>△</w:t>
            </w:r>
          </w:p>
        </w:tc>
        <w:tc>
          <w:tcPr>
            <w:tcW w:w="2713" w:type="dxa"/>
            <w:vAlign w:val="center"/>
          </w:tcPr>
          <w:p w14:paraId="68D53C8E">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检查内容：监视监控系统的设备种类、数量、安装位置是否与批复的安全设施设计一致。</w:t>
            </w:r>
          </w:p>
          <w:p w14:paraId="5780F3CB">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检查方法：现场抽查。</w:t>
            </w:r>
          </w:p>
        </w:tc>
        <w:tc>
          <w:tcPr>
            <w:tcW w:w="3249" w:type="dxa"/>
            <w:vAlign w:val="center"/>
          </w:tcPr>
          <w:p w14:paraId="4364CBC1">
            <w:pPr>
              <w:keepNext w:val="0"/>
              <w:keepLines w:val="0"/>
              <w:pageBreakBefore w:val="0"/>
              <w:widowControl w:val="0"/>
              <w:numPr>
                <w:ilvl w:val="0"/>
                <w:numId w:val="10"/>
              </w:numPr>
              <w:kinsoku/>
              <w:wordWrap/>
              <w:overflowPunct/>
              <w:topLinePunct w:val="0"/>
              <w:autoSpaceDE/>
              <w:autoSpaceDN/>
              <w:bidi w:val="0"/>
              <w:adjustRightInd/>
              <w:snapToGrid w:val="0"/>
              <w:spacing w:line="240" w:lineRule="auto"/>
              <w:ind w:left="0" w:leftChars="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设计情况：利旧。</w:t>
            </w:r>
          </w:p>
          <w:p w14:paraId="1C0C992A">
            <w:pPr>
              <w:keepNext w:val="0"/>
              <w:keepLines w:val="0"/>
              <w:pageBreakBefore w:val="0"/>
              <w:widowControl w:val="0"/>
              <w:numPr>
                <w:ilvl w:val="0"/>
                <w:numId w:val="10"/>
              </w:numPr>
              <w:kinsoku/>
              <w:wordWrap/>
              <w:overflowPunct/>
              <w:topLinePunct w:val="0"/>
              <w:autoSpaceDE/>
              <w:autoSpaceDN/>
              <w:bidi w:val="0"/>
              <w:adjustRightInd/>
              <w:snapToGrid w:val="0"/>
              <w:spacing w:line="240" w:lineRule="auto"/>
              <w:ind w:left="0" w:leftChars="0" w:firstLine="0" w:firstLineChars="0"/>
              <w:textAlignment w:val="auto"/>
              <w:rPr>
                <w:rFonts w:ascii="Times New Roman" w:hAnsi="Times New Roman"/>
                <w:color w:val="000000" w:themeColor="text1"/>
                <w:sz w:val="21"/>
                <w:szCs w:val="21"/>
                <w14:textFill>
                  <w14:solidFill>
                    <w14:schemeClr w14:val="tx1"/>
                  </w14:solidFill>
                </w14:textFill>
              </w:rPr>
            </w:pPr>
            <w:r>
              <w:rPr>
                <w:rFonts w:hint="eastAsia" w:ascii="宋体" w:hAnsi="宋体" w:eastAsia="宋体" w:cs="宋体"/>
                <w:color w:val="auto"/>
                <w:sz w:val="21"/>
                <w:szCs w:val="21"/>
                <w:highlight w:val="none"/>
                <w:lang w:val="en-US" w:eastAsia="zh-CN"/>
              </w:rPr>
              <w:t>检查情况：按设计安设了视频监控系统，能正常使用。</w:t>
            </w:r>
          </w:p>
        </w:tc>
        <w:tc>
          <w:tcPr>
            <w:tcW w:w="682" w:type="dxa"/>
            <w:vAlign w:val="center"/>
          </w:tcPr>
          <w:p w14:paraId="2A5CA7F7">
            <w:pPr>
              <w:keepNext w:val="0"/>
              <w:keepLines w:val="0"/>
              <w:pageBreakBefore w:val="0"/>
              <w:widowControl w:val="0"/>
              <w:kinsoku/>
              <w:wordWrap/>
              <w:overflowPunct/>
              <w:topLinePunct w:val="0"/>
              <w:autoSpaceDE/>
              <w:autoSpaceDN/>
              <w:bidi w:val="0"/>
              <w:adjustRightInd/>
              <w:snapToGrid w:val="0"/>
              <w:spacing w:line="240" w:lineRule="auto"/>
              <w:ind w:firstLine="0" w:firstLineChars="0"/>
              <w:textAlignment w:val="auto"/>
              <w:rPr>
                <w:rFonts w:ascii="Times New Roman" w:hAnsi="Times New Roman"/>
                <w:bCs/>
                <w:color w:val="000000" w:themeColor="text1"/>
                <w:sz w:val="21"/>
                <w:szCs w:val="21"/>
                <w14:textFill>
                  <w14:solidFill>
                    <w14:schemeClr w14:val="tx1"/>
                  </w14:solidFill>
                </w14:textFill>
              </w:rPr>
            </w:pPr>
            <w:r>
              <w:rPr>
                <w:rFonts w:hint="eastAsia" w:ascii="宋体" w:hAnsi="宋体" w:eastAsia="宋体" w:cs="宋体"/>
                <w:color w:val="auto"/>
                <w:sz w:val="21"/>
                <w:szCs w:val="21"/>
                <w:highlight w:val="none"/>
                <w:lang w:val="en-US" w:eastAsia="zh-CN"/>
              </w:rPr>
              <w:t>符合</w:t>
            </w:r>
          </w:p>
        </w:tc>
      </w:tr>
    </w:tbl>
    <w:p w14:paraId="251E05F7">
      <w:pPr>
        <w:snapToGrid w:val="0"/>
        <w:ind w:firstLine="480"/>
        <w:rPr>
          <w:rFonts w:ascii="Times New Roman" w:hAnsi="Times New Roman"/>
          <w:color w:val="000000" w:themeColor="text1"/>
          <w14:textFill>
            <w14:solidFill>
              <w14:schemeClr w14:val="tx1"/>
            </w14:solidFill>
          </w14:textFill>
        </w:rPr>
      </w:pPr>
      <w:r>
        <w:rPr>
          <w:rFonts w:ascii="Times New Roman" w:hAnsi="Times New Roman"/>
          <w:snapToGrid w:val="0"/>
          <w:color w:val="000000" w:themeColor="text1"/>
          <w:kern w:val="0"/>
          <w:sz w:val="24"/>
          <w:szCs w:val="24"/>
          <w14:textFill>
            <w14:solidFill>
              <w14:schemeClr w14:val="tx1"/>
            </w14:solidFill>
          </w14:textFill>
        </w:rPr>
        <w:t>检查类别中，“■”表示该项为否决项，“</w:t>
      </w:r>
      <w:r>
        <w:rPr>
          <w:rFonts w:ascii="Cambria Math" w:hAnsi="Cambria Math" w:cs="Cambria Math"/>
          <w:snapToGrid w:val="0"/>
          <w:color w:val="000000" w:themeColor="text1"/>
          <w:kern w:val="0"/>
          <w:sz w:val="24"/>
          <w:szCs w:val="24"/>
          <w14:textFill>
            <w14:solidFill>
              <w14:schemeClr w14:val="tx1"/>
            </w14:solidFill>
          </w14:textFill>
        </w:rPr>
        <w:t>△</w:t>
      </w:r>
      <w:r>
        <w:rPr>
          <w:rFonts w:ascii="Times New Roman" w:hAnsi="Times New Roman"/>
          <w:snapToGrid w:val="0"/>
          <w:color w:val="000000" w:themeColor="text1"/>
          <w:kern w:val="0"/>
          <w:sz w:val="24"/>
          <w:szCs w:val="24"/>
          <w14:textFill>
            <w14:solidFill>
              <w14:schemeClr w14:val="tx1"/>
            </w14:solidFill>
          </w14:textFill>
        </w:rPr>
        <w:t>”表示为一般项</w:t>
      </w:r>
      <w:r>
        <w:rPr>
          <w:rFonts w:ascii="Times New Roman" w:hAnsi="Times New Roman"/>
          <w:color w:val="000000" w:themeColor="text1"/>
          <w14:textFill>
            <w14:solidFill>
              <w14:schemeClr w14:val="tx1"/>
            </w14:solidFill>
          </w14:textFill>
        </w:rPr>
        <w:t>。</w:t>
      </w:r>
    </w:p>
    <w:p w14:paraId="0BD79506">
      <w:pPr>
        <w:bidi w:val="0"/>
      </w:pPr>
      <w:r>
        <w:t>评价分析：检查3项内容，</w:t>
      </w:r>
      <w:r>
        <w:rPr>
          <w:rFonts w:hint="eastAsia"/>
          <w:lang w:val="en-US" w:eastAsia="zh-CN"/>
        </w:rPr>
        <w:t>2</w:t>
      </w:r>
      <w:r>
        <w:t>项符合</w:t>
      </w:r>
      <w:r>
        <w:rPr>
          <w:rFonts w:hint="eastAsia"/>
          <w:lang w:eastAsia="zh-CN"/>
        </w:rPr>
        <w:t>，</w:t>
      </w:r>
      <w:r>
        <w:rPr>
          <w:rFonts w:hint="eastAsia"/>
          <w:lang w:val="en-US" w:eastAsia="zh-CN"/>
        </w:rPr>
        <w:t>1</w:t>
      </w:r>
      <w:r>
        <w:t>项</w:t>
      </w:r>
      <w:r>
        <w:rPr>
          <w:rFonts w:hint="eastAsia"/>
          <w:lang w:val="en-US" w:eastAsia="zh-CN"/>
        </w:rPr>
        <w:t>不</w:t>
      </w:r>
      <w:r>
        <w:t>符合。</w:t>
      </w:r>
    </w:p>
    <w:p w14:paraId="687CB4CF">
      <w:pPr>
        <w:pStyle w:val="4"/>
      </w:pPr>
      <w:bookmarkStart w:id="376" w:name="_Toc19785"/>
      <w:bookmarkStart w:id="377" w:name="_Toc214284051"/>
      <w:bookmarkStart w:id="378" w:name="_Toc3891"/>
      <w:r>
        <w:t>3.7.2单元小结</w:t>
      </w:r>
      <w:bookmarkEnd w:id="376"/>
      <w:bookmarkEnd w:id="377"/>
      <w:bookmarkEnd w:id="378"/>
    </w:p>
    <w:p w14:paraId="13315ACB">
      <w:pPr>
        <w:snapToGrid w:val="0"/>
        <w:ind w:firstLine="56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矿区有手机信号网络覆盖，信号良好，从业人员均自备有移动电话，通信系统能满足矿山安全生产要求。</w:t>
      </w:r>
    </w:p>
    <w:p w14:paraId="5D165B51">
      <w:pPr>
        <w:pStyle w:val="3"/>
        <w:bidi w:val="0"/>
        <w:rPr>
          <w:rFonts w:hint="eastAsia"/>
          <w:lang w:val="en-US" w:eastAsia="zh-CN"/>
        </w:rPr>
      </w:pPr>
      <w:bookmarkStart w:id="379" w:name="_Toc8240"/>
      <w:r>
        <w:rPr>
          <w:rFonts w:hint="eastAsia"/>
          <w:lang w:val="en-US" w:eastAsia="zh-CN"/>
        </w:rPr>
        <w:t>3.8排土场</w:t>
      </w:r>
      <w:bookmarkEnd w:id="379"/>
    </w:p>
    <w:p w14:paraId="58667BE0">
      <w:pPr>
        <w:adjustRightInd w:val="0"/>
        <w:snapToGrid w:val="0"/>
        <w:ind w:firstLine="560"/>
        <w:rPr>
          <w:rFonts w:ascii="Times New Roman" w:hAnsi="Times New Roman"/>
          <w:color w:val="000000" w:themeColor="text1"/>
          <w14:textFill>
            <w14:solidFill>
              <w14:schemeClr w14:val="tx1"/>
            </w14:solidFill>
          </w14:textFill>
        </w:rPr>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w:t>
      </w:r>
      <w:r>
        <w:rPr>
          <w:rFonts w:hint="eastAsia"/>
          <w:lang w:eastAsia="zh-CN"/>
        </w:rPr>
        <w:t>有关内容</w:t>
      </w:r>
      <w:r>
        <w:rPr>
          <w:rFonts w:hint="eastAsia" w:ascii="Times New Roman" w:hAnsi="Times New Roman"/>
          <w:color w:val="000000" w:themeColor="text1"/>
          <w:szCs w:val="28"/>
          <w:lang w:val="en-US" w:eastAsia="zh-CN"/>
          <w14:textFill>
            <w14:solidFill>
              <w14:schemeClr w14:val="tx1"/>
            </w14:solidFill>
          </w14:textFill>
        </w:rPr>
        <w:t>排土场检查内容，根据2026年2月4日设计单位做的变更说明，</w:t>
      </w:r>
      <w:r>
        <w:t>验收表</w:t>
      </w:r>
      <w:r>
        <w:rPr>
          <w:rFonts w:hint="eastAsia" w:ascii="Times New Roman" w:hAnsi="Times New Roman"/>
          <w:color w:val="000000" w:themeColor="text1"/>
          <w:szCs w:val="28"/>
          <w:lang w:val="en-US" w:eastAsia="zh-CN"/>
          <w14:textFill>
            <w14:solidFill>
              <w14:schemeClr w14:val="tx1"/>
            </w14:solidFill>
          </w14:textFill>
        </w:rPr>
        <w:t>排土场检查的12项内容本项目无所不涉及</w:t>
      </w:r>
      <w:r>
        <w:rPr>
          <w:rFonts w:ascii="Times New Roman" w:hAnsi="Times New Roman"/>
          <w:color w:val="000000" w:themeColor="text1"/>
          <w:szCs w:val="28"/>
          <w14:textFill>
            <w14:solidFill>
              <w14:schemeClr w14:val="tx1"/>
            </w14:solidFill>
          </w14:textFill>
        </w:rPr>
        <w:t>。</w:t>
      </w:r>
    </w:p>
    <w:p w14:paraId="51546C56">
      <w:pPr>
        <w:pStyle w:val="3"/>
        <w:bidi w:val="0"/>
        <w:rPr>
          <w:lang w:val="en-US" w:eastAsia="en-US"/>
        </w:rPr>
      </w:pPr>
      <w:bookmarkStart w:id="380" w:name="_Toc8163"/>
      <w:bookmarkStart w:id="381" w:name="_Toc16659"/>
      <w:bookmarkStart w:id="382" w:name="_Toc214284052"/>
      <w:r>
        <w:rPr>
          <w:lang w:val="en-US" w:eastAsia="en-US"/>
        </w:rPr>
        <w:t>3.</w:t>
      </w:r>
      <w:r>
        <w:rPr>
          <w:rFonts w:hint="eastAsia"/>
          <w:lang w:val="en-US" w:eastAsia="zh-CN"/>
        </w:rPr>
        <w:t>9</w:t>
      </w:r>
      <w:r>
        <w:rPr>
          <w:lang w:val="en-US" w:eastAsia="en-US"/>
        </w:rPr>
        <w:t>破碎系统</w:t>
      </w:r>
      <w:bookmarkEnd w:id="380"/>
      <w:bookmarkEnd w:id="381"/>
    </w:p>
    <w:p w14:paraId="77F569CA">
      <w:pPr>
        <w:pStyle w:val="4"/>
        <w:bidi w:val="0"/>
        <w:rPr>
          <w:lang w:val="en-US" w:eastAsia="en-US"/>
        </w:rPr>
      </w:pPr>
      <w:bookmarkStart w:id="383" w:name="bookmark101"/>
      <w:bookmarkEnd w:id="383"/>
      <w:bookmarkStart w:id="384" w:name="_Toc27404"/>
      <w:bookmarkStart w:id="385" w:name="_Toc4312"/>
      <w:r>
        <w:rPr>
          <w:lang w:val="en-US" w:eastAsia="en-US"/>
        </w:rPr>
        <w:t>3.</w:t>
      </w:r>
      <w:r>
        <w:rPr>
          <w:rFonts w:hint="eastAsia"/>
          <w:lang w:val="en-US" w:eastAsia="zh-CN"/>
        </w:rPr>
        <w:t>9</w:t>
      </w:r>
      <w:r>
        <w:rPr>
          <w:lang w:val="en-US" w:eastAsia="en-US"/>
        </w:rPr>
        <w:t>.1破碎系统符合性安全检查表</w:t>
      </w:r>
      <w:bookmarkEnd w:id="384"/>
      <w:bookmarkEnd w:id="385"/>
    </w:p>
    <w:p w14:paraId="6F9CD797">
      <w:pPr>
        <w:bidi w:val="0"/>
        <w:rPr>
          <w:rFonts w:ascii="宋体" w:hAnsi="宋体" w:eastAsia="宋体" w:cs="宋体"/>
          <w:snapToGrid w:val="0"/>
          <w:color w:val="000000"/>
          <w:kern w:val="0"/>
          <w:sz w:val="28"/>
          <w:szCs w:val="28"/>
          <w:lang w:val="en-US" w:eastAsia="en-US" w:bidi="ar-SA"/>
        </w:rPr>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对照《安全设施设计》报告，</w:t>
      </w:r>
      <w:r>
        <w:rPr>
          <w:rFonts w:ascii="宋体" w:hAnsi="宋体" w:eastAsia="宋体" w:cs="宋体"/>
          <w:snapToGrid w:val="0"/>
          <w:color w:val="000000"/>
          <w:spacing w:val="-6"/>
          <w:kern w:val="0"/>
          <w:sz w:val="28"/>
          <w:szCs w:val="28"/>
          <w:lang w:val="en-US" w:eastAsia="en-US" w:bidi="ar-SA"/>
        </w:rPr>
        <w:t>采用安全检查表对矿山破碎系统进行符合性评价。</w:t>
      </w:r>
    </w:p>
    <w:p w14:paraId="13AB9DBA">
      <w:pPr>
        <w:pStyle w:val="73"/>
        <w:bidi w:val="0"/>
        <w:rPr>
          <w:lang w:val="en-US" w:eastAsia="en-US"/>
        </w:rPr>
      </w:pPr>
      <w:r>
        <w:rPr>
          <w:lang w:val="en-US" w:eastAsia="en-US"/>
        </w:rPr>
        <w:t>表3</w:t>
      </w:r>
      <w:r>
        <w:rPr>
          <w:rFonts w:hint="eastAsia"/>
          <w:lang w:val="en-US" w:eastAsia="zh-CN"/>
        </w:rPr>
        <w:t>.9-1</w:t>
      </w:r>
      <w:r>
        <w:rPr>
          <w:lang w:val="en-US" w:eastAsia="en-US"/>
        </w:rPr>
        <w:t>破碎系统符合性检查</w:t>
      </w:r>
    </w:p>
    <w:p w14:paraId="125D5C3C">
      <w:pPr>
        <w:widowControl/>
        <w:kinsoku w:val="0"/>
        <w:autoSpaceDE w:val="0"/>
        <w:autoSpaceDN w:val="0"/>
        <w:spacing w:line="140" w:lineRule="exact"/>
        <w:ind w:firstLine="0" w:firstLineChars="0"/>
        <w:jc w:val="left"/>
        <w:textAlignment w:val="baseline"/>
        <w:rPr>
          <w:rFonts w:ascii="Arial" w:hAnsi="Arial" w:eastAsia="Arial" w:cs="Arial"/>
          <w:snapToGrid w:val="0"/>
          <w:color w:val="000000"/>
          <w:spacing w:val="0"/>
          <w:kern w:val="0"/>
          <w:sz w:val="21"/>
          <w:szCs w:val="21"/>
          <w:lang w:eastAsia="en-US"/>
        </w:rPr>
      </w:pPr>
    </w:p>
    <w:tbl>
      <w:tblPr>
        <w:tblStyle w:val="78"/>
        <w:tblW w:w="9367" w:type="dxa"/>
        <w:tblInd w:w="2"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475"/>
        <w:gridCol w:w="1206"/>
        <w:gridCol w:w="4491"/>
        <w:gridCol w:w="2460"/>
        <w:gridCol w:w="735"/>
      </w:tblGrid>
      <w:tr w14:paraId="1E1A82E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612" w:hRule="atLeast"/>
        </w:trPr>
        <w:tc>
          <w:tcPr>
            <w:tcW w:w="475" w:type="dxa"/>
            <w:noWrap w:val="0"/>
            <w:vAlign w:val="center"/>
          </w:tcPr>
          <w:p w14:paraId="4524E3DB">
            <w:pPr>
              <w:pStyle w:val="47"/>
              <w:bidi w:val="0"/>
              <w:rPr>
                <w:lang w:eastAsia="en-US"/>
              </w:rPr>
            </w:pPr>
            <w:r>
              <w:rPr>
                <w:lang w:eastAsia="en-US"/>
              </w:rPr>
              <w:t>序号</w:t>
            </w:r>
          </w:p>
        </w:tc>
        <w:tc>
          <w:tcPr>
            <w:tcW w:w="1206" w:type="dxa"/>
            <w:noWrap w:val="0"/>
            <w:vAlign w:val="center"/>
          </w:tcPr>
          <w:p w14:paraId="07B5DD94">
            <w:pPr>
              <w:pStyle w:val="47"/>
              <w:bidi w:val="0"/>
              <w:rPr>
                <w:lang w:eastAsia="en-US"/>
              </w:rPr>
            </w:pPr>
            <w:r>
              <w:rPr>
                <w:lang w:eastAsia="en-US"/>
              </w:rPr>
              <w:t>检查</w:t>
            </w:r>
          </w:p>
          <w:p w14:paraId="7E8A0EE4">
            <w:pPr>
              <w:pStyle w:val="47"/>
              <w:bidi w:val="0"/>
              <w:rPr>
                <w:lang w:eastAsia="en-US"/>
              </w:rPr>
            </w:pPr>
            <w:r>
              <w:rPr>
                <w:lang w:eastAsia="en-US"/>
              </w:rPr>
              <w:t>项目</w:t>
            </w:r>
          </w:p>
        </w:tc>
        <w:tc>
          <w:tcPr>
            <w:tcW w:w="4491" w:type="dxa"/>
            <w:noWrap w:val="0"/>
            <w:vAlign w:val="center"/>
          </w:tcPr>
          <w:p w14:paraId="0AEC45BD">
            <w:pPr>
              <w:pStyle w:val="47"/>
              <w:bidi w:val="0"/>
              <w:rPr>
                <w:lang w:eastAsia="en-US"/>
              </w:rPr>
            </w:pPr>
            <w:r>
              <w:rPr>
                <w:lang w:eastAsia="en-US"/>
              </w:rPr>
              <w:t>检查内容、检查方法</w:t>
            </w:r>
          </w:p>
        </w:tc>
        <w:tc>
          <w:tcPr>
            <w:tcW w:w="2460" w:type="dxa"/>
            <w:noWrap w:val="0"/>
            <w:vAlign w:val="center"/>
          </w:tcPr>
          <w:p w14:paraId="6799BA50">
            <w:pPr>
              <w:pStyle w:val="47"/>
              <w:bidi w:val="0"/>
              <w:rPr>
                <w:lang w:eastAsia="en-US"/>
              </w:rPr>
            </w:pPr>
            <w:r>
              <w:rPr>
                <w:lang w:eastAsia="en-US"/>
              </w:rPr>
              <w:t>检查情况</w:t>
            </w:r>
          </w:p>
        </w:tc>
        <w:tc>
          <w:tcPr>
            <w:tcW w:w="735" w:type="dxa"/>
            <w:noWrap w:val="0"/>
            <w:vAlign w:val="center"/>
          </w:tcPr>
          <w:p w14:paraId="689C0848">
            <w:pPr>
              <w:pStyle w:val="47"/>
              <w:bidi w:val="0"/>
              <w:rPr>
                <w:lang w:eastAsia="en-US"/>
              </w:rPr>
            </w:pPr>
            <w:r>
              <w:rPr>
                <w:lang w:eastAsia="en-US"/>
              </w:rPr>
              <w:t>检查</w:t>
            </w:r>
          </w:p>
          <w:p w14:paraId="261CA359">
            <w:pPr>
              <w:pStyle w:val="47"/>
              <w:bidi w:val="0"/>
              <w:rPr>
                <w:lang w:eastAsia="en-US"/>
              </w:rPr>
            </w:pPr>
            <w:r>
              <w:rPr>
                <w:lang w:eastAsia="en-US"/>
              </w:rPr>
              <w:t>结果</w:t>
            </w:r>
          </w:p>
        </w:tc>
      </w:tr>
      <w:tr w14:paraId="51D30A8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8" w:hRule="atLeast"/>
        </w:trPr>
        <w:tc>
          <w:tcPr>
            <w:tcW w:w="475" w:type="dxa"/>
            <w:noWrap w:val="0"/>
            <w:vAlign w:val="center"/>
          </w:tcPr>
          <w:p w14:paraId="4D531676">
            <w:pPr>
              <w:pStyle w:val="59"/>
              <w:bidi w:val="0"/>
              <w:jc w:val="center"/>
              <w:rPr>
                <w:rFonts w:hint="eastAsia" w:eastAsia="宋体"/>
                <w:lang w:val="en-US" w:eastAsia="zh-CN"/>
              </w:rPr>
            </w:pPr>
            <w:r>
              <w:rPr>
                <w:rFonts w:hint="eastAsia"/>
                <w:lang w:val="en-US" w:eastAsia="zh-CN"/>
              </w:rPr>
              <w:t>1</w:t>
            </w:r>
          </w:p>
        </w:tc>
        <w:tc>
          <w:tcPr>
            <w:tcW w:w="1206" w:type="dxa"/>
            <w:noWrap w:val="0"/>
            <w:vAlign w:val="top"/>
          </w:tcPr>
          <w:p w14:paraId="3C1C6711">
            <w:pPr>
              <w:pStyle w:val="59"/>
              <w:bidi w:val="0"/>
              <w:rPr>
                <w:lang w:eastAsia="en-US"/>
              </w:rPr>
            </w:pPr>
            <w:r>
              <w:rPr>
                <w:lang w:eastAsia="en-US"/>
              </w:rPr>
              <w:t>卸矿安全挡车设施</w:t>
            </w:r>
          </w:p>
        </w:tc>
        <w:tc>
          <w:tcPr>
            <w:tcW w:w="4491" w:type="dxa"/>
            <w:noWrap w:val="0"/>
            <w:vAlign w:val="top"/>
          </w:tcPr>
          <w:p w14:paraId="6F59DFDC">
            <w:pPr>
              <w:pStyle w:val="59"/>
              <w:bidi w:val="0"/>
              <w:rPr>
                <w:lang w:eastAsia="en-US"/>
              </w:rPr>
            </w:pPr>
            <w:r>
              <w:rPr>
                <w:lang w:eastAsia="en-US"/>
              </w:rPr>
              <w:t>检查内容：卸矿安全挡车设施是否与批复的安全设施变更设计一致。</w:t>
            </w:r>
          </w:p>
          <w:p w14:paraId="19A56B33">
            <w:pPr>
              <w:pStyle w:val="59"/>
              <w:bidi w:val="0"/>
              <w:rPr>
                <w:lang w:eastAsia="en-US"/>
              </w:rPr>
            </w:pPr>
            <w:r>
              <w:rPr>
                <w:lang w:eastAsia="en-US"/>
              </w:rPr>
              <w:t>检查方法：现场检查。</w:t>
            </w:r>
          </w:p>
        </w:tc>
        <w:tc>
          <w:tcPr>
            <w:tcW w:w="2460" w:type="dxa"/>
            <w:noWrap w:val="0"/>
            <w:vAlign w:val="top"/>
          </w:tcPr>
          <w:p w14:paraId="6C14C8C5">
            <w:pPr>
              <w:pStyle w:val="59"/>
              <w:bidi w:val="0"/>
              <w:rPr>
                <w:rFonts w:hint="eastAsia" w:eastAsia="宋体"/>
                <w:lang w:eastAsia="zh-CN"/>
              </w:rPr>
            </w:pPr>
            <w:r>
              <w:rPr>
                <w:lang w:eastAsia="en-US"/>
              </w:rPr>
              <w:t>在破碎站卸矿点设置了安全警示标</w:t>
            </w:r>
            <w:r>
              <w:rPr>
                <w:rFonts w:hint="eastAsia"/>
                <w:lang w:eastAsia="zh-CN"/>
              </w:rPr>
              <w:t>志</w:t>
            </w:r>
          </w:p>
        </w:tc>
        <w:tc>
          <w:tcPr>
            <w:tcW w:w="735" w:type="dxa"/>
            <w:noWrap w:val="0"/>
            <w:vAlign w:val="center"/>
          </w:tcPr>
          <w:p w14:paraId="0E8ABEC7">
            <w:pPr>
              <w:pStyle w:val="59"/>
              <w:bidi w:val="0"/>
              <w:rPr>
                <w:lang w:eastAsia="en-US"/>
              </w:rPr>
            </w:pPr>
            <w:r>
              <w:rPr>
                <w:lang w:eastAsia="en-US"/>
              </w:rPr>
              <w:t>符合</w:t>
            </w:r>
          </w:p>
        </w:tc>
      </w:tr>
      <w:tr w14:paraId="06DFB4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030" w:hRule="atLeast"/>
        </w:trPr>
        <w:tc>
          <w:tcPr>
            <w:tcW w:w="475" w:type="dxa"/>
            <w:noWrap w:val="0"/>
            <w:vAlign w:val="center"/>
          </w:tcPr>
          <w:p w14:paraId="50E9D6ED">
            <w:pPr>
              <w:pStyle w:val="59"/>
              <w:bidi w:val="0"/>
              <w:jc w:val="center"/>
              <w:rPr>
                <w:rFonts w:hint="eastAsia" w:eastAsia="宋体"/>
                <w:lang w:val="en-US" w:eastAsia="zh-CN"/>
              </w:rPr>
            </w:pPr>
            <w:r>
              <w:rPr>
                <w:rFonts w:hint="eastAsia"/>
                <w:lang w:val="en-US" w:eastAsia="zh-CN"/>
              </w:rPr>
              <w:t>2</w:t>
            </w:r>
          </w:p>
        </w:tc>
        <w:tc>
          <w:tcPr>
            <w:tcW w:w="1206" w:type="dxa"/>
            <w:noWrap w:val="0"/>
            <w:vAlign w:val="top"/>
          </w:tcPr>
          <w:p w14:paraId="1A44B27D">
            <w:pPr>
              <w:pStyle w:val="59"/>
              <w:bidi w:val="0"/>
              <w:rPr>
                <w:lang w:eastAsia="en-US"/>
              </w:rPr>
            </w:pPr>
            <w:r>
              <w:rPr>
                <w:lang w:eastAsia="en-US"/>
              </w:rPr>
              <w:t>设备运动部分的护罩、安全护栏</w:t>
            </w:r>
          </w:p>
        </w:tc>
        <w:tc>
          <w:tcPr>
            <w:tcW w:w="4491" w:type="dxa"/>
            <w:noWrap w:val="0"/>
            <w:vAlign w:val="top"/>
          </w:tcPr>
          <w:p w14:paraId="0455DA4D">
            <w:pPr>
              <w:pStyle w:val="59"/>
              <w:bidi w:val="0"/>
              <w:rPr>
                <w:lang w:eastAsia="en-US"/>
              </w:rPr>
            </w:pPr>
            <w:r>
              <w:rPr>
                <w:lang w:eastAsia="en-US"/>
              </w:rPr>
              <w:t>检查内容：设备运动部分的护罩、安全护栏是否与批复的安全设施变更设计一致。检查方法：现场检查。</w:t>
            </w:r>
          </w:p>
        </w:tc>
        <w:tc>
          <w:tcPr>
            <w:tcW w:w="2460" w:type="dxa"/>
            <w:noWrap w:val="0"/>
            <w:vAlign w:val="top"/>
          </w:tcPr>
          <w:p w14:paraId="3EDAF424">
            <w:pPr>
              <w:pStyle w:val="59"/>
              <w:bidi w:val="0"/>
              <w:rPr>
                <w:lang w:eastAsia="en-US"/>
              </w:rPr>
            </w:pPr>
            <w:r>
              <w:rPr>
                <w:lang w:eastAsia="en-US"/>
              </w:rPr>
              <w:t>设备运动部分设置了护罩、安全护栏。</w:t>
            </w:r>
          </w:p>
        </w:tc>
        <w:tc>
          <w:tcPr>
            <w:tcW w:w="735" w:type="dxa"/>
            <w:noWrap w:val="0"/>
            <w:vAlign w:val="center"/>
          </w:tcPr>
          <w:p w14:paraId="36F0EF89">
            <w:pPr>
              <w:pStyle w:val="59"/>
              <w:bidi w:val="0"/>
              <w:rPr>
                <w:lang w:eastAsia="en-US"/>
              </w:rPr>
            </w:pPr>
            <w:r>
              <w:rPr>
                <w:lang w:eastAsia="en-US"/>
              </w:rPr>
              <w:t>符合</w:t>
            </w:r>
          </w:p>
        </w:tc>
      </w:tr>
      <w:tr w14:paraId="2BBC0FA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89" w:hRule="atLeast"/>
        </w:trPr>
        <w:tc>
          <w:tcPr>
            <w:tcW w:w="475" w:type="dxa"/>
            <w:noWrap w:val="0"/>
            <w:vAlign w:val="center"/>
          </w:tcPr>
          <w:p w14:paraId="7CE368D0">
            <w:pPr>
              <w:pStyle w:val="59"/>
              <w:bidi w:val="0"/>
              <w:jc w:val="center"/>
              <w:rPr>
                <w:rFonts w:hint="eastAsia" w:eastAsia="宋体"/>
                <w:lang w:val="en-US" w:eastAsia="zh-CN"/>
              </w:rPr>
            </w:pPr>
            <w:r>
              <w:rPr>
                <w:rFonts w:hint="eastAsia"/>
                <w:lang w:val="en-US" w:eastAsia="zh-CN"/>
              </w:rPr>
              <w:t>3</w:t>
            </w:r>
          </w:p>
        </w:tc>
        <w:tc>
          <w:tcPr>
            <w:tcW w:w="1206" w:type="dxa"/>
            <w:noWrap w:val="0"/>
            <w:vAlign w:val="top"/>
          </w:tcPr>
          <w:p w14:paraId="0A8C3893">
            <w:pPr>
              <w:pStyle w:val="59"/>
              <w:bidi w:val="0"/>
              <w:rPr>
                <w:lang w:eastAsia="en-US"/>
              </w:rPr>
            </w:pPr>
            <w:r>
              <w:rPr>
                <w:lang w:eastAsia="en-US"/>
              </w:rPr>
              <w:t>安全护栏、盖板、扶手、防滑钢板</w:t>
            </w:r>
          </w:p>
        </w:tc>
        <w:tc>
          <w:tcPr>
            <w:tcW w:w="4491" w:type="dxa"/>
            <w:noWrap w:val="0"/>
            <w:vAlign w:val="top"/>
          </w:tcPr>
          <w:p w14:paraId="4D1D59D7">
            <w:pPr>
              <w:pStyle w:val="59"/>
              <w:bidi w:val="0"/>
              <w:rPr>
                <w:lang w:eastAsia="en-US"/>
              </w:rPr>
            </w:pPr>
            <w:r>
              <w:rPr>
                <w:lang w:eastAsia="en-US"/>
              </w:rPr>
              <w:t>检查内容：安全护栏、盖板、扶手、防滑钢板是否与批复的安全设施变更设计一致。</w:t>
            </w:r>
          </w:p>
          <w:p w14:paraId="7374689C">
            <w:pPr>
              <w:pStyle w:val="59"/>
              <w:bidi w:val="0"/>
              <w:rPr>
                <w:lang w:eastAsia="en-US"/>
              </w:rPr>
            </w:pPr>
            <w:r>
              <w:rPr>
                <w:lang w:eastAsia="en-US"/>
              </w:rPr>
              <w:t>检查方法：现场检查。</w:t>
            </w:r>
          </w:p>
        </w:tc>
        <w:tc>
          <w:tcPr>
            <w:tcW w:w="2460" w:type="dxa"/>
            <w:noWrap w:val="0"/>
            <w:vAlign w:val="top"/>
          </w:tcPr>
          <w:p w14:paraId="76F538CB">
            <w:pPr>
              <w:pStyle w:val="59"/>
              <w:bidi w:val="0"/>
              <w:rPr>
                <w:lang w:eastAsia="en-US"/>
              </w:rPr>
            </w:pPr>
            <w:r>
              <w:rPr>
                <w:lang w:eastAsia="en-US"/>
              </w:rPr>
              <w:t>破碎站通道、斜梯设置了安全防护栏、扶手。</w:t>
            </w:r>
          </w:p>
        </w:tc>
        <w:tc>
          <w:tcPr>
            <w:tcW w:w="735" w:type="dxa"/>
            <w:noWrap w:val="0"/>
            <w:vAlign w:val="center"/>
          </w:tcPr>
          <w:p w14:paraId="60E86535">
            <w:pPr>
              <w:pStyle w:val="59"/>
              <w:bidi w:val="0"/>
              <w:rPr>
                <w:lang w:eastAsia="en-US"/>
              </w:rPr>
            </w:pPr>
            <w:r>
              <w:rPr>
                <w:lang w:eastAsia="en-US"/>
              </w:rPr>
              <w:t>符合</w:t>
            </w:r>
          </w:p>
        </w:tc>
      </w:tr>
      <w:tr w14:paraId="70A017C5">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891" w:hRule="atLeast"/>
        </w:trPr>
        <w:tc>
          <w:tcPr>
            <w:tcW w:w="475" w:type="dxa"/>
            <w:noWrap w:val="0"/>
            <w:vAlign w:val="center"/>
          </w:tcPr>
          <w:p w14:paraId="46F5982C">
            <w:pPr>
              <w:pStyle w:val="59"/>
              <w:bidi w:val="0"/>
              <w:jc w:val="center"/>
              <w:rPr>
                <w:rFonts w:hint="eastAsia" w:eastAsia="宋体"/>
                <w:lang w:val="en-US" w:eastAsia="zh-CN"/>
              </w:rPr>
            </w:pPr>
            <w:r>
              <w:rPr>
                <w:rFonts w:hint="eastAsia"/>
                <w:lang w:val="en-US" w:eastAsia="zh-CN"/>
              </w:rPr>
              <w:t>4</w:t>
            </w:r>
          </w:p>
        </w:tc>
        <w:tc>
          <w:tcPr>
            <w:tcW w:w="1206" w:type="dxa"/>
            <w:noWrap w:val="0"/>
            <w:vAlign w:val="top"/>
          </w:tcPr>
          <w:p w14:paraId="5192C057">
            <w:pPr>
              <w:pStyle w:val="59"/>
              <w:bidi w:val="0"/>
              <w:rPr>
                <w:lang w:eastAsia="en-US"/>
              </w:rPr>
            </w:pPr>
            <w:r>
              <w:rPr>
                <w:lang w:eastAsia="en-US"/>
              </w:rPr>
              <w:t>安全警示标志</w:t>
            </w:r>
          </w:p>
        </w:tc>
        <w:tc>
          <w:tcPr>
            <w:tcW w:w="4491" w:type="dxa"/>
            <w:noWrap w:val="0"/>
            <w:vAlign w:val="top"/>
          </w:tcPr>
          <w:p w14:paraId="411A5D71">
            <w:pPr>
              <w:pStyle w:val="59"/>
              <w:bidi w:val="0"/>
              <w:rPr>
                <w:lang w:eastAsia="en-US"/>
              </w:rPr>
            </w:pPr>
            <w:r>
              <w:rPr>
                <w:lang w:eastAsia="en-US"/>
              </w:rPr>
              <w:t>检查内容：安全警示标志是否与批复的安全设施变更设计一致。</w:t>
            </w:r>
          </w:p>
          <w:p w14:paraId="18921630">
            <w:pPr>
              <w:pStyle w:val="59"/>
              <w:bidi w:val="0"/>
              <w:rPr>
                <w:lang w:eastAsia="en-US"/>
              </w:rPr>
            </w:pPr>
            <w:r>
              <w:rPr>
                <w:lang w:eastAsia="en-US"/>
              </w:rPr>
              <w:t>检查方法：现场检查。</w:t>
            </w:r>
          </w:p>
        </w:tc>
        <w:tc>
          <w:tcPr>
            <w:tcW w:w="2460" w:type="dxa"/>
            <w:noWrap w:val="0"/>
            <w:vAlign w:val="top"/>
          </w:tcPr>
          <w:p w14:paraId="6B0C0E5A">
            <w:pPr>
              <w:pStyle w:val="59"/>
              <w:bidi w:val="0"/>
              <w:rPr>
                <w:lang w:eastAsia="en-US"/>
              </w:rPr>
            </w:pPr>
            <w:r>
              <w:rPr>
                <w:lang w:eastAsia="en-US"/>
              </w:rPr>
              <w:t>破碎站危险区域设置有相应的安全警示标志。</w:t>
            </w:r>
          </w:p>
        </w:tc>
        <w:tc>
          <w:tcPr>
            <w:tcW w:w="735" w:type="dxa"/>
            <w:noWrap w:val="0"/>
            <w:vAlign w:val="center"/>
          </w:tcPr>
          <w:p w14:paraId="469B357B">
            <w:pPr>
              <w:pStyle w:val="59"/>
              <w:bidi w:val="0"/>
              <w:rPr>
                <w:lang w:eastAsia="en-US"/>
              </w:rPr>
            </w:pPr>
            <w:r>
              <w:rPr>
                <w:lang w:eastAsia="en-US"/>
              </w:rPr>
              <w:t>符合</w:t>
            </w:r>
          </w:p>
        </w:tc>
      </w:tr>
    </w:tbl>
    <w:p w14:paraId="31BBE6BB">
      <w:pPr>
        <w:bidi w:val="0"/>
        <w:rPr>
          <w:lang w:val="en-US" w:eastAsia="en-US"/>
        </w:rPr>
      </w:pPr>
      <w:r>
        <w:rPr>
          <w:lang w:val="en-US" w:eastAsia="en-US"/>
        </w:rPr>
        <w:t>评价分析：检查4项内容，其中符合</w:t>
      </w:r>
      <w:r>
        <w:rPr>
          <w:rFonts w:hint="eastAsia"/>
          <w:lang w:val="en-US" w:eastAsia="zh-CN"/>
        </w:rPr>
        <w:t>4</w:t>
      </w:r>
      <w:r>
        <w:rPr>
          <w:lang w:val="en-US" w:eastAsia="en-US"/>
        </w:rPr>
        <w:t>项，不符合</w:t>
      </w:r>
      <w:r>
        <w:rPr>
          <w:rFonts w:hint="eastAsia"/>
          <w:lang w:val="en-US" w:eastAsia="zh-CN"/>
        </w:rPr>
        <w:t>0</w:t>
      </w:r>
      <w:r>
        <w:rPr>
          <w:lang w:val="en-US" w:eastAsia="en-US"/>
        </w:rPr>
        <w:t>项。</w:t>
      </w:r>
    </w:p>
    <w:p w14:paraId="7B55D8D2">
      <w:pPr>
        <w:pStyle w:val="4"/>
        <w:bidi w:val="0"/>
        <w:rPr>
          <w:lang w:val="en-US" w:eastAsia="en-US"/>
        </w:rPr>
      </w:pPr>
      <w:bookmarkStart w:id="386" w:name="bookmark73"/>
      <w:bookmarkEnd w:id="386"/>
      <w:bookmarkStart w:id="387" w:name="_Toc19629"/>
      <w:bookmarkStart w:id="388" w:name="_Toc11155"/>
      <w:r>
        <w:rPr>
          <w:lang w:val="en-US" w:eastAsia="en-US"/>
        </w:rPr>
        <w:t>3.</w:t>
      </w:r>
      <w:r>
        <w:rPr>
          <w:rFonts w:hint="eastAsia"/>
          <w:lang w:val="en-US" w:eastAsia="zh-CN"/>
        </w:rPr>
        <w:t>9</w:t>
      </w:r>
      <w:r>
        <w:rPr>
          <w:lang w:val="en-US" w:eastAsia="en-US"/>
        </w:rPr>
        <w:t>.2单元小结</w:t>
      </w:r>
      <w:bookmarkEnd w:id="387"/>
      <w:bookmarkEnd w:id="388"/>
    </w:p>
    <w:p w14:paraId="72B25284">
      <w:pPr>
        <w:kinsoku w:val="0"/>
        <w:autoSpaceDE w:val="0"/>
        <w:autoSpaceDN w:val="0"/>
        <w:adjustRightInd w:val="0"/>
        <w:snapToGrid w:val="0"/>
        <w:spacing w:before="209" w:line="360" w:lineRule="auto"/>
        <w:ind w:left="122" w:right="105" w:firstLine="559"/>
        <w:jc w:val="both"/>
        <w:textAlignment w:val="baseline"/>
        <w:rPr>
          <w:rFonts w:ascii="宋体" w:hAnsi="宋体" w:eastAsia="宋体" w:cs="宋体"/>
          <w:snapToGrid w:val="0"/>
          <w:color w:val="000000"/>
          <w:kern w:val="0"/>
          <w:sz w:val="28"/>
          <w:szCs w:val="28"/>
          <w:lang w:val="en-US" w:eastAsia="en-US" w:bidi="ar-SA"/>
        </w:rPr>
      </w:pPr>
      <w:r>
        <w:rPr>
          <w:rFonts w:ascii="宋体" w:hAnsi="宋体" w:eastAsia="宋体" w:cs="宋体"/>
          <w:snapToGrid w:val="0"/>
          <w:color w:val="000000"/>
          <w:spacing w:val="7"/>
          <w:kern w:val="0"/>
          <w:sz w:val="28"/>
          <w:szCs w:val="28"/>
          <w:lang w:val="en-US" w:eastAsia="en-US" w:bidi="ar-SA"/>
        </w:rPr>
        <w:t>破碎站卸矿点设置了相应的安全车档、警示标志。设备运动部分设置了护罩、安全护栏。破碎站通道、斜梯设置了安全防护栏、扶手，</w:t>
      </w:r>
      <w:r>
        <w:rPr>
          <w:rFonts w:ascii="宋体" w:hAnsi="宋体" w:eastAsia="宋体" w:cs="宋体"/>
          <w:snapToGrid w:val="0"/>
          <w:color w:val="000000"/>
          <w:spacing w:val="6"/>
          <w:kern w:val="0"/>
          <w:sz w:val="28"/>
          <w:szCs w:val="28"/>
          <w:lang w:val="en-US" w:eastAsia="en-US" w:bidi="ar-SA"/>
        </w:rPr>
        <w:t>矿山的</w:t>
      </w:r>
      <w:r>
        <w:rPr>
          <w:rFonts w:ascii="宋体" w:hAnsi="宋体" w:eastAsia="宋体" w:cs="宋体"/>
          <w:snapToGrid w:val="0"/>
          <w:color w:val="000000"/>
          <w:spacing w:val="-1"/>
          <w:kern w:val="0"/>
          <w:sz w:val="28"/>
          <w:szCs w:val="28"/>
          <w:lang w:val="en-US" w:eastAsia="en-US" w:bidi="ar-SA"/>
        </w:rPr>
        <w:t>破碎系统能满足矿山安全生产要求。</w:t>
      </w:r>
    </w:p>
    <w:p w14:paraId="6774DF4E">
      <w:pPr>
        <w:pStyle w:val="3"/>
        <w:rPr>
          <w:rFonts w:hint="default" w:eastAsia="宋体"/>
          <w:lang w:val="en-US" w:eastAsia="zh-CN"/>
        </w:rPr>
      </w:pPr>
      <w:bookmarkStart w:id="389" w:name="_Toc30445"/>
      <w:bookmarkStart w:id="390" w:name="_Toc4204"/>
      <w:r>
        <w:t>3.</w:t>
      </w:r>
      <w:r>
        <w:rPr>
          <w:rFonts w:hint="eastAsia"/>
          <w:lang w:val="en-US" w:eastAsia="zh-CN"/>
        </w:rPr>
        <w:t>10</w:t>
      </w:r>
      <w:r>
        <w:t>个人安全防护</w:t>
      </w:r>
      <w:bookmarkEnd w:id="382"/>
      <w:bookmarkEnd w:id="389"/>
      <w:r>
        <w:rPr>
          <w:rFonts w:hint="eastAsia"/>
          <w:lang w:val="en-US" w:eastAsia="zh-CN"/>
        </w:rPr>
        <w:t>与防尘</w:t>
      </w:r>
      <w:bookmarkEnd w:id="390"/>
    </w:p>
    <w:p w14:paraId="09A7B112">
      <w:pPr>
        <w:pStyle w:val="4"/>
      </w:pPr>
      <w:bookmarkStart w:id="391" w:name="_Toc483865748"/>
      <w:bookmarkStart w:id="392" w:name="_Toc214284053"/>
      <w:bookmarkStart w:id="393" w:name="_Toc476244180"/>
      <w:bookmarkStart w:id="394" w:name="_Toc21824"/>
      <w:bookmarkStart w:id="395" w:name="_Toc13674"/>
      <w:r>
        <w:t>3.</w:t>
      </w:r>
      <w:r>
        <w:rPr>
          <w:rFonts w:hint="eastAsia"/>
          <w:lang w:val="en-US" w:eastAsia="zh-CN"/>
        </w:rPr>
        <w:t>10</w:t>
      </w:r>
      <w:r>
        <w:t>.1个人安全防护符合性安全检查表</w:t>
      </w:r>
      <w:bookmarkEnd w:id="391"/>
      <w:bookmarkEnd w:id="392"/>
      <w:bookmarkEnd w:id="393"/>
      <w:bookmarkEnd w:id="394"/>
      <w:bookmarkEnd w:id="395"/>
    </w:p>
    <w:p w14:paraId="0140AB14">
      <w:pPr>
        <w:adjustRightInd w:val="0"/>
        <w:snapToGrid w:val="0"/>
        <w:ind w:firstLine="560"/>
        <w:rPr>
          <w:rFonts w:ascii="Times New Roman" w:hAnsi="Times New Roman"/>
          <w:color w:val="000000" w:themeColor="text1"/>
          <w14:textFill>
            <w14:solidFill>
              <w14:schemeClr w14:val="tx1"/>
            </w14:solidFill>
          </w14:textFill>
        </w:rPr>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w:t>
      </w:r>
      <w:r>
        <w:rPr>
          <w:rFonts w:hint="eastAsia"/>
          <w:lang w:eastAsia="zh-CN"/>
        </w:rPr>
        <w:t>有关内容</w:t>
      </w:r>
      <w:r>
        <w:rPr>
          <w:rFonts w:ascii="Times New Roman" w:hAnsi="Times New Roman"/>
          <w:color w:val="000000" w:themeColor="text1"/>
          <w14:textFill>
            <w14:solidFill>
              <w14:schemeClr w14:val="tx1"/>
            </w14:solidFill>
          </w14:textFill>
        </w:rPr>
        <w:t>对个人安全防护符合性检查。</w:t>
      </w:r>
    </w:p>
    <w:p w14:paraId="28EFBFD6">
      <w:pPr>
        <w:pStyle w:val="73"/>
        <w:bidi w:val="0"/>
      </w:pPr>
      <w:r>
        <w:t>表3</w:t>
      </w:r>
      <w:r>
        <w:rPr>
          <w:rFonts w:hint="eastAsia"/>
          <w:lang w:val="en-US" w:eastAsia="zh-CN"/>
        </w:rPr>
        <w:t>.9-</w:t>
      </w:r>
      <w:r>
        <w:t>1个人防护符合性安全检查表</w:t>
      </w:r>
    </w:p>
    <w:tbl>
      <w:tblPr>
        <w:tblStyle w:val="35"/>
        <w:tblW w:w="484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68"/>
        <w:gridCol w:w="720"/>
        <w:gridCol w:w="1005"/>
        <w:gridCol w:w="699"/>
        <w:gridCol w:w="2467"/>
        <w:gridCol w:w="3081"/>
        <w:gridCol w:w="731"/>
      </w:tblGrid>
      <w:tr w14:paraId="36ADA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1" w:hRule="atLeast"/>
          <w:tblHeader/>
          <w:jc w:val="center"/>
        </w:trPr>
        <w:tc>
          <w:tcPr>
            <w:tcW w:w="306" w:type="pct"/>
            <w:vAlign w:val="center"/>
          </w:tcPr>
          <w:p w14:paraId="109F369C">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序号</w:t>
            </w:r>
          </w:p>
        </w:tc>
        <w:tc>
          <w:tcPr>
            <w:tcW w:w="388" w:type="pct"/>
            <w:vAlign w:val="center"/>
          </w:tcPr>
          <w:p w14:paraId="46FEB0B0">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w:t>
            </w:r>
          </w:p>
          <w:p w14:paraId="33CD2000">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项目</w:t>
            </w:r>
          </w:p>
        </w:tc>
        <w:tc>
          <w:tcPr>
            <w:tcW w:w="542" w:type="pct"/>
            <w:vAlign w:val="center"/>
          </w:tcPr>
          <w:p w14:paraId="5F5169E1">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安全设施类别</w:t>
            </w:r>
          </w:p>
        </w:tc>
        <w:tc>
          <w:tcPr>
            <w:tcW w:w="377" w:type="pct"/>
            <w:vAlign w:val="center"/>
          </w:tcPr>
          <w:p w14:paraId="5157BA53">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w:t>
            </w:r>
          </w:p>
          <w:p w14:paraId="2D93D6F9">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类别</w:t>
            </w:r>
          </w:p>
        </w:tc>
        <w:tc>
          <w:tcPr>
            <w:tcW w:w="1330" w:type="pct"/>
            <w:vAlign w:val="center"/>
          </w:tcPr>
          <w:p w14:paraId="1BAAD99D">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检查内容、检查方法</w:t>
            </w:r>
          </w:p>
        </w:tc>
        <w:tc>
          <w:tcPr>
            <w:tcW w:w="1661" w:type="pct"/>
            <w:vAlign w:val="center"/>
          </w:tcPr>
          <w:p w14:paraId="1B4FF9FA">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检查情况</w:t>
            </w:r>
          </w:p>
        </w:tc>
        <w:tc>
          <w:tcPr>
            <w:tcW w:w="394" w:type="pct"/>
            <w:vAlign w:val="center"/>
          </w:tcPr>
          <w:p w14:paraId="6635BD57">
            <w:pPr>
              <w:spacing w:line="240" w:lineRule="auto"/>
              <w:ind w:firstLine="0" w:firstLineChars="0"/>
              <w:jc w:val="center"/>
              <w:rPr>
                <w:rFonts w:ascii="Times New Roman" w:hAnsi="Times New Roman"/>
                <w:b/>
                <w:color w:val="000000" w:themeColor="text1"/>
                <w:sz w:val="21"/>
                <w:szCs w:val="21"/>
                <w14:textFill>
                  <w14:solidFill>
                    <w14:schemeClr w14:val="tx1"/>
                  </w14:solidFill>
                </w14:textFill>
              </w:rPr>
            </w:pPr>
            <w:r>
              <w:rPr>
                <w:rFonts w:ascii="Times New Roman" w:hAnsi="Times New Roman"/>
                <w:b/>
                <w:color w:val="000000" w:themeColor="text1"/>
                <w:sz w:val="21"/>
                <w:szCs w:val="21"/>
                <w14:textFill>
                  <w14:solidFill>
                    <w14:schemeClr w14:val="tx1"/>
                  </w14:solidFill>
                </w14:textFill>
              </w:rPr>
              <w:t>检查结果</w:t>
            </w:r>
          </w:p>
        </w:tc>
      </w:tr>
      <w:tr w14:paraId="7F6530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66" w:hRule="atLeast"/>
          <w:jc w:val="center"/>
        </w:trPr>
        <w:tc>
          <w:tcPr>
            <w:tcW w:w="306" w:type="pct"/>
            <w:vAlign w:val="center"/>
          </w:tcPr>
          <w:p w14:paraId="3E8999B4">
            <w:pPr>
              <w:spacing w:line="240" w:lineRule="auto"/>
              <w:ind w:firstLine="0" w:firstLineChars="0"/>
              <w:jc w:val="both"/>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w:t>
            </w:r>
          </w:p>
        </w:tc>
        <w:tc>
          <w:tcPr>
            <w:tcW w:w="388" w:type="pct"/>
            <w:vAlign w:val="center"/>
          </w:tcPr>
          <w:p w14:paraId="3FDA5965">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安全帽</w:t>
            </w:r>
          </w:p>
        </w:tc>
        <w:tc>
          <w:tcPr>
            <w:tcW w:w="542" w:type="pct"/>
            <w:vAlign w:val="center"/>
          </w:tcPr>
          <w:p w14:paraId="36A44AB6">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专用</w:t>
            </w:r>
          </w:p>
        </w:tc>
        <w:tc>
          <w:tcPr>
            <w:tcW w:w="377" w:type="pct"/>
            <w:vAlign w:val="center"/>
          </w:tcPr>
          <w:p w14:paraId="57D30BD8">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Cambria Math" w:hAnsi="Cambria Math" w:cs="Cambria Math"/>
                <w:color w:val="000000" w:themeColor="text1"/>
                <w:sz w:val="21"/>
                <w:szCs w:val="21"/>
                <w14:textFill>
                  <w14:solidFill>
                    <w14:schemeClr w14:val="tx1"/>
                  </w14:solidFill>
                </w14:textFill>
              </w:rPr>
              <w:t>△</w:t>
            </w:r>
          </w:p>
        </w:tc>
        <w:tc>
          <w:tcPr>
            <w:tcW w:w="1330" w:type="pct"/>
            <w:vAlign w:val="center"/>
          </w:tcPr>
          <w:p w14:paraId="567A549B">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检查内容：企业是否为从业人员配发安全帽。检查方法：现场抽查及查阅。</w:t>
            </w:r>
          </w:p>
        </w:tc>
        <w:tc>
          <w:tcPr>
            <w:tcW w:w="1661" w:type="pct"/>
            <w:vAlign w:val="center"/>
          </w:tcPr>
          <w:p w14:paraId="331C0827">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矿山为从业人员发放安全帽，并督促员工正确佩戴安全帽。</w:t>
            </w:r>
          </w:p>
        </w:tc>
        <w:tc>
          <w:tcPr>
            <w:tcW w:w="394" w:type="pct"/>
            <w:vAlign w:val="center"/>
          </w:tcPr>
          <w:p w14:paraId="5571876C">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符合</w:t>
            </w:r>
          </w:p>
        </w:tc>
      </w:tr>
      <w:tr w14:paraId="6DECCF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64" w:hRule="atLeast"/>
          <w:jc w:val="center"/>
        </w:trPr>
        <w:tc>
          <w:tcPr>
            <w:tcW w:w="306" w:type="pct"/>
            <w:vAlign w:val="center"/>
          </w:tcPr>
          <w:p w14:paraId="68015D8F">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w:t>
            </w:r>
          </w:p>
        </w:tc>
        <w:tc>
          <w:tcPr>
            <w:tcW w:w="388" w:type="pct"/>
            <w:vAlign w:val="center"/>
          </w:tcPr>
          <w:p w14:paraId="176F1B6E">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劳保手套</w:t>
            </w:r>
          </w:p>
        </w:tc>
        <w:tc>
          <w:tcPr>
            <w:tcW w:w="542" w:type="pct"/>
            <w:vAlign w:val="center"/>
          </w:tcPr>
          <w:p w14:paraId="1C7C14B1">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专用</w:t>
            </w:r>
          </w:p>
        </w:tc>
        <w:tc>
          <w:tcPr>
            <w:tcW w:w="377" w:type="pct"/>
            <w:vAlign w:val="center"/>
          </w:tcPr>
          <w:p w14:paraId="5F3299F3">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Cambria Math" w:hAnsi="Cambria Math" w:cs="Cambria Math"/>
                <w:color w:val="000000" w:themeColor="text1"/>
                <w:sz w:val="21"/>
                <w:szCs w:val="21"/>
                <w14:textFill>
                  <w14:solidFill>
                    <w14:schemeClr w14:val="tx1"/>
                  </w14:solidFill>
                </w14:textFill>
              </w:rPr>
              <w:t>△</w:t>
            </w:r>
          </w:p>
        </w:tc>
        <w:tc>
          <w:tcPr>
            <w:tcW w:w="1330" w:type="pct"/>
            <w:vAlign w:val="center"/>
          </w:tcPr>
          <w:p w14:paraId="3348DC57">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检查内容：企业是否为从业人员配备劳保手套。检查方法：现场检查及查阅。</w:t>
            </w:r>
          </w:p>
        </w:tc>
        <w:tc>
          <w:tcPr>
            <w:tcW w:w="1661" w:type="pct"/>
            <w:vAlign w:val="center"/>
          </w:tcPr>
          <w:p w14:paraId="7B87F4B9">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矿山为从业人员发放劳保手套，并督促员工正确佩戴手套。</w:t>
            </w:r>
          </w:p>
        </w:tc>
        <w:tc>
          <w:tcPr>
            <w:tcW w:w="394" w:type="pct"/>
            <w:vAlign w:val="center"/>
          </w:tcPr>
          <w:p w14:paraId="29C461E8">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符合</w:t>
            </w:r>
          </w:p>
        </w:tc>
      </w:tr>
      <w:tr w14:paraId="523448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2" w:hRule="atLeast"/>
          <w:jc w:val="center"/>
        </w:trPr>
        <w:tc>
          <w:tcPr>
            <w:tcW w:w="306" w:type="pct"/>
            <w:vAlign w:val="center"/>
          </w:tcPr>
          <w:p w14:paraId="30D31AA1">
            <w:pPr>
              <w:tabs>
                <w:tab w:val="left" w:pos="299"/>
              </w:tabs>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p>
        </w:tc>
        <w:tc>
          <w:tcPr>
            <w:tcW w:w="388" w:type="pct"/>
            <w:vAlign w:val="center"/>
          </w:tcPr>
          <w:p w14:paraId="2DB14CDC">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防尘口罩</w:t>
            </w:r>
          </w:p>
        </w:tc>
        <w:tc>
          <w:tcPr>
            <w:tcW w:w="542" w:type="pct"/>
            <w:vAlign w:val="center"/>
          </w:tcPr>
          <w:p w14:paraId="05DE5A82">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专用</w:t>
            </w:r>
          </w:p>
        </w:tc>
        <w:tc>
          <w:tcPr>
            <w:tcW w:w="377" w:type="pct"/>
            <w:vAlign w:val="center"/>
          </w:tcPr>
          <w:p w14:paraId="3E42E4C0">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Cambria Math" w:hAnsi="Cambria Math" w:cs="Cambria Math"/>
                <w:color w:val="000000" w:themeColor="text1"/>
                <w:sz w:val="21"/>
                <w:szCs w:val="21"/>
                <w14:textFill>
                  <w14:solidFill>
                    <w14:schemeClr w14:val="tx1"/>
                  </w14:solidFill>
                </w14:textFill>
              </w:rPr>
              <w:t>△</w:t>
            </w:r>
          </w:p>
        </w:tc>
        <w:tc>
          <w:tcPr>
            <w:tcW w:w="1330" w:type="pct"/>
            <w:vAlign w:val="center"/>
          </w:tcPr>
          <w:p w14:paraId="274E6415">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检查内容：企业是否为从业人员配发安全鞋。检查方法：现场检查及查阅。</w:t>
            </w:r>
          </w:p>
        </w:tc>
        <w:tc>
          <w:tcPr>
            <w:tcW w:w="1661" w:type="pct"/>
            <w:vAlign w:val="center"/>
          </w:tcPr>
          <w:p w14:paraId="237D2A11">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矿山为从业人员发放防尘口罩，并督促员工正确佩戴防尘口罩。</w:t>
            </w:r>
          </w:p>
        </w:tc>
        <w:tc>
          <w:tcPr>
            <w:tcW w:w="394" w:type="pct"/>
            <w:vAlign w:val="center"/>
          </w:tcPr>
          <w:p w14:paraId="13C39B94">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符合</w:t>
            </w:r>
          </w:p>
        </w:tc>
      </w:tr>
      <w:tr w14:paraId="58D5ED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89" w:hRule="atLeast"/>
          <w:jc w:val="center"/>
        </w:trPr>
        <w:tc>
          <w:tcPr>
            <w:tcW w:w="306" w:type="pct"/>
            <w:vAlign w:val="center"/>
          </w:tcPr>
          <w:p w14:paraId="3AD1C22A">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4</w:t>
            </w:r>
          </w:p>
        </w:tc>
        <w:tc>
          <w:tcPr>
            <w:tcW w:w="388" w:type="pct"/>
            <w:vAlign w:val="center"/>
          </w:tcPr>
          <w:p w14:paraId="1C12A206">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工伤保险</w:t>
            </w:r>
          </w:p>
        </w:tc>
        <w:tc>
          <w:tcPr>
            <w:tcW w:w="542" w:type="pct"/>
            <w:vAlign w:val="center"/>
          </w:tcPr>
          <w:p w14:paraId="11DE6EB7">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专用</w:t>
            </w:r>
          </w:p>
        </w:tc>
        <w:tc>
          <w:tcPr>
            <w:tcW w:w="377" w:type="pct"/>
            <w:vAlign w:val="center"/>
          </w:tcPr>
          <w:p w14:paraId="1D4A0E3E">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Cambria Math" w:hAnsi="Cambria Math" w:cs="Cambria Math"/>
                <w:color w:val="000000" w:themeColor="text1"/>
                <w:sz w:val="21"/>
                <w:szCs w:val="21"/>
                <w14:textFill>
                  <w14:solidFill>
                    <w14:schemeClr w14:val="tx1"/>
                  </w14:solidFill>
                </w14:textFill>
              </w:rPr>
              <w:t>△</w:t>
            </w:r>
          </w:p>
        </w:tc>
        <w:tc>
          <w:tcPr>
            <w:tcW w:w="1330" w:type="pct"/>
            <w:vAlign w:val="center"/>
          </w:tcPr>
          <w:p w14:paraId="3D1116FF">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检查内容：生产经营单位是否为从业人员办理工伤保险或安全生产责任保险、雇主责任保险。</w:t>
            </w:r>
          </w:p>
          <w:p w14:paraId="53AC107F">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检查方法：查阅保险缴纳证明。</w:t>
            </w:r>
          </w:p>
        </w:tc>
        <w:tc>
          <w:tcPr>
            <w:tcW w:w="1661" w:type="pct"/>
            <w:vAlign w:val="center"/>
          </w:tcPr>
          <w:p w14:paraId="5F0F27B6">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企业已为员工购买了</w:t>
            </w:r>
            <w:r>
              <w:rPr>
                <w:rFonts w:hint="eastAsia" w:ascii="Times New Roman" w:hAnsi="Times New Roman"/>
                <w:color w:val="000000" w:themeColor="text1"/>
                <w:sz w:val="21"/>
                <w:szCs w:val="21"/>
                <w:lang w:val="en-US" w:eastAsia="zh-CN"/>
                <w14:textFill>
                  <w14:solidFill>
                    <w14:schemeClr w14:val="tx1"/>
                  </w14:solidFill>
                </w14:textFill>
              </w:rPr>
              <w:t>工伤保险、</w:t>
            </w:r>
            <w:r>
              <w:rPr>
                <w:rFonts w:ascii="Times New Roman" w:hAnsi="Times New Roman"/>
                <w:color w:val="000000" w:themeColor="text1"/>
                <w:sz w:val="21"/>
                <w:szCs w:val="21"/>
                <w14:textFill>
                  <w14:solidFill>
                    <w14:schemeClr w14:val="tx1"/>
                  </w14:solidFill>
                </w14:textFill>
              </w:rPr>
              <w:t>安全生产责任。</w:t>
            </w:r>
          </w:p>
        </w:tc>
        <w:tc>
          <w:tcPr>
            <w:tcW w:w="394" w:type="pct"/>
            <w:vAlign w:val="center"/>
          </w:tcPr>
          <w:p w14:paraId="63734975">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符合</w:t>
            </w:r>
          </w:p>
        </w:tc>
      </w:tr>
    </w:tbl>
    <w:p w14:paraId="21FC026D">
      <w:pPr>
        <w:ind w:firstLine="472"/>
        <w:rPr>
          <w:rFonts w:ascii="Times New Roman" w:hAnsi="Times New Roman"/>
          <w:color w:val="000000" w:themeColor="text1"/>
          <w:sz w:val="24"/>
          <w14:textFill>
            <w14:solidFill>
              <w14:schemeClr w14:val="tx1"/>
            </w14:solidFill>
          </w14:textFill>
        </w:rPr>
      </w:pPr>
      <w:r>
        <w:rPr>
          <w:rFonts w:ascii="Times New Roman" w:hAnsi="Times New Roman"/>
          <w:snapToGrid w:val="0"/>
          <w:color w:val="000000" w:themeColor="text1"/>
          <w:sz w:val="24"/>
          <w14:textFill>
            <w14:solidFill>
              <w14:schemeClr w14:val="tx1"/>
            </w14:solidFill>
          </w14:textFill>
        </w:rPr>
        <w:t>检查类别中，“■”表示该项为否决项，“</w:t>
      </w:r>
      <w:r>
        <w:rPr>
          <w:rFonts w:ascii="Cambria Math" w:hAnsi="Cambria Math" w:cs="Cambria Math"/>
          <w:snapToGrid w:val="0"/>
          <w:color w:val="000000" w:themeColor="text1"/>
          <w:sz w:val="24"/>
          <w14:textFill>
            <w14:solidFill>
              <w14:schemeClr w14:val="tx1"/>
            </w14:solidFill>
          </w14:textFill>
        </w:rPr>
        <w:t>△</w:t>
      </w:r>
      <w:r>
        <w:rPr>
          <w:rFonts w:ascii="Times New Roman" w:hAnsi="Times New Roman"/>
          <w:snapToGrid w:val="0"/>
          <w:color w:val="000000" w:themeColor="text1"/>
          <w:sz w:val="24"/>
          <w14:textFill>
            <w14:solidFill>
              <w14:schemeClr w14:val="tx1"/>
            </w14:solidFill>
          </w14:textFill>
        </w:rPr>
        <w:t>”表示为一般项。</w:t>
      </w:r>
    </w:p>
    <w:p w14:paraId="5BF5D654">
      <w:pPr>
        <w:snapToGrid w:val="0"/>
        <w:ind w:firstLine="562"/>
        <w:rPr>
          <w:rFonts w:ascii="Times New Roman" w:hAnsi="Times New Roman"/>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检查4项内容，4项全部合格。</w:t>
      </w:r>
    </w:p>
    <w:p w14:paraId="70647214">
      <w:pPr>
        <w:pStyle w:val="4"/>
      </w:pPr>
      <w:bookmarkStart w:id="396" w:name="_Toc13296"/>
      <w:bookmarkStart w:id="397" w:name="_Toc918"/>
      <w:r>
        <w:t>3.</w:t>
      </w:r>
      <w:r>
        <w:rPr>
          <w:rFonts w:hint="eastAsia"/>
          <w:lang w:val="en-US" w:eastAsia="zh-CN"/>
        </w:rPr>
        <w:t>9</w:t>
      </w:r>
      <w:r>
        <w:t>.</w:t>
      </w:r>
      <w:r>
        <w:rPr>
          <w:rFonts w:hint="eastAsia"/>
          <w:lang w:val="en-US" w:eastAsia="zh-CN"/>
        </w:rPr>
        <w:t>2防尘</w:t>
      </w:r>
      <w:r>
        <w:t>符合性安全检查表</w:t>
      </w:r>
      <w:bookmarkEnd w:id="396"/>
      <w:bookmarkEnd w:id="397"/>
    </w:p>
    <w:p w14:paraId="6A40A58E">
      <w:pPr>
        <w:snapToGrid w:val="0"/>
        <w:ind w:firstLine="562"/>
        <w:rPr>
          <w:rFonts w:ascii="Times New Roman" w:hAnsi="Times New Roman"/>
          <w:color w:val="000000" w:themeColor="text1"/>
          <w14:textFill>
            <w14:solidFill>
              <w14:schemeClr w14:val="tx1"/>
            </w14:solidFill>
          </w14:textFill>
        </w:rPr>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），对照法规规范，</w:t>
      </w:r>
      <w:r>
        <w:rPr>
          <w:spacing w:val="-6"/>
        </w:rPr>
        <w:t>采用安全检查表</w:t>
      </w:r>
      <w:r>
        <w:rPr>
          <w:rFonts w:ascii="Times New Roman" w:hAnsi="Times New Roman"/>
          <w:color w:val="000000" w:themeColor="text1"/>
          <w14:textFill>
            <w14:solidFill>
              <w14:schemeClr w14:val="tx1"/>
            </w14:solidFill>
          </w14:textFill>
        </w:rPr>
        <w:t>对</w:t>
      </w:r>
      <w:r>
        <w:rPr>
          <w:rFonts w:hint="eastAsia" w:ascii="Times New Roman" w:hAnsi="Times New Roman"/>
          <w:color w:val="000000" w:themeColor="text1"/>
          <w:lang w:val="en-US" w:eastAsia="zh-CN"/>
          <w14:textFill>
            <w14:solidFill>
              <w14:schemeClr w14:val="tx1"/>
            </w14:solidFill>
          </w14:textFill>
        </w:rPr>
        <w:t>防尘</w:t>
      </w:r>
      <w:r>
        <w:rPr>
          <w:rFonts w:ascii="Times New Roman" w:hAnsi="Times New Roman"/>
          <w:color w:val="000000" w:themeColor="text1"/>
          <w14:textFill>
            <w14:solidFill>
              <w14:schemeClr w14:val="tx1"/>
            </w14:solidFill>
          </w14:textFill>
        </w:rPr>
        <w:t>符合性检查。</w:t>
      </w:r>
    </w:p>
    <w:p w14:paraId="1ABC8EEA">
      <w:pPr>
        <w:pStyle w:val="73"/>
        <w:bidi w:val="0"/>
        <w:rPr>
          <w:rFonts w:hint="eastAsia" w:ascii="Times New Roman" w:hAnsi="Times New Roman" w:eastAsia="宋体"/>
          <w:spacing w:val="0"/>
        </w:rPr>
      </w:pPr>
      <w:r>
        <w:rPr>
          <w:rFonts w:hint="eastAsia"/>
        </w:rPr>
        <w:t>表</w:t>
      </w:r>
      <w:r>
        <w:rPr>
          <w:rFonts w:hint="eastAsia"/>
          <w:lang w:val="en-US" w:eastAsia="zh-CN"/>
        </w:rPr>
        <w:t>3.9-2防尘安全</w:t>
      </w:r>
      <w:r>
        <w:rPr>
          <w:rFonts w:hint="eastAsia"/>
        </w:rPr>
        <w:t>检查表</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6"/>
        <w:gridCol w:w="3690"/>
        <w:gridCol w:w="2274"/>
        <w:gridCol w:w="1961"/>
        <w:gridCol w:w="704"/>
      </w:tblGrid>
      <w:tr w14:paraId="0F5770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blHeader/>
        </w:trPr>
        <w:tc>
          <w:tcPr>
            <w:tcW w:w="516" w:type="dxa"/>
            <w:noWrap w:val="0"/>
            <w:vAlign w:val="center"/>
          </w:tcPr>
          <w:p w14:paraId="4AE9A94D">
            <w:pPr>
              <w:widowControl w:val="0"/>
              <w:bidi w:val="0"/>
              <w:spacing w:line="240" w:lineRule="auto"/>
              <w:ind w:firstLine="0" w:firstLineChars="0"/>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kern w:val="2"/>
                <w:sz w:val="21"/>
                <w:szCs w:val="21"/>
                <w:lang w:val="en-US" w:eastAsia="zh-CN" w:bidi="ar-SA"/>
              </w:rPr>
              <w:t>序号</w:t>
            </w:r>
          </w:p>
        </w:tc>
        <w:tc>
          <w:tcPr>
            <w:tcW w:w="3690" w:type="dxa"/>
            <w:noWrap w:val="0"/>
            <w:vAlign w:val="center"/>
          </w:tcPr>
          <w:p w14:paraId="3CBA5F35">
            <w:pPr>
              <w:widowControl w:val="0"/>
              <w:bidi w:val="0"/>
              <w:spacing w:line="240" w:lineRule="auto"/>
              <w:ind w:firstLine="0" w:firstLineChars="0"/>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kern w:val="2"/>
                <w:sz w:val="21"/>
                <w:szCs w:val="21"/>
                <w:lang w:val="en-US" w:eastAsia="zh-CN" w:bidi="ar-SA"/>
              </w:rPr>
              <w:t>检查内容</w:t>
            </w:r>
          </w:p>
        </w:tc>
        <w:tc>
          <w:tcPr>
            <w:tcW w:w="2274" w:type="dxa"/>
            <w:noWrap w:val="0"/>
            <w:vAlign w:val="center"/>
          </w:tcPr>
          <w:p w14:paraId="7A79F61C">
            <w:pPr>
              <w:widowControl w:val="0"/>
              <w:bidi w:val="0"/>
              <w:spacing w:line="240" w:lineRule="auto"/>
              <w:ind w:firstLine="0" w:firstLineChars="0"/>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kern w:val="2"/>
                <w:sz w:val="21"/>
                <w:szCs w:val="21"/>
                <w:lang w:val="en-US" w:eastAsia="zh-CN" w:bidi="ar-SA"/>
              </w:rPr>
              <w:t>标准依据</w:t>
            </w:r>
          </w:p>
        </w:tc>
        <w:tc>
          <w:tcPr>
            <w:tcW w:w="1961" w:type="dxa"/>
            <w:noWrap w:val="0"/>
            <w:vAlign w:val="center"/>
          </w:tcPr>
          <w:p w14:paraId="4B31A799">
            <w:pPr>
              <w:widowControl w:val="0"/>
              <w:bidi w:val="0"/>
              <w:spacing w:line="240" w:lineRule="auto"/>
              <w:ind w:firstLine="0" w:firstLineChars="0"/>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cs="Times New Roman"/>
                <w:b/>
                <w:kern w:val="2"/>
                <w:sz w:val="21"/>
                <w:szCs w:val="21"/>
                <w:lang w:val="en-US" w:eastAsia="zh-CN" w:bidi="ar-SA"/>
              </w:rPr>
              <w:t>检查</w:t>
            </w:r>
            <w:r>
              <w:rPr>
                <w:rFonts w:hint="eastAsia" w:ascii="Times New Roman" w:hAnsi="Times New Roman" w:eastAsia="宋体" w:cs="Times New Roman"/>
                <w:b/>
                <w:kern w:val="2"/>
                <w:sz w:val="21"/>
                <w:szCs w:val="21"/>
                <w:lang w:val="en-US" w:eastAsia="zh-CN" w:bidi="ar-SA"/>
              </w:rPr>
              <w:t>情况</w:t>
            </w:r>
          </w:p>
        </w:tc>
        <w:tc>
          <w:tcPr>
            <w:tcW w:w="704" w:type="dxa"/>
            <w:noWrap w:val="0"/>
            <w:vAlign w:val="center"/>
          </w:tcPr>
          <w:p w14:paraId="1DCDD2B1">
            <w:pPr>
              <w:widowControl w:val="0"/>
              <w:bidi w:val="0"/>
              <w:spacing w:line="240" w:lineRule="auto"/>
              <w:ind w:firstLine="0" w:firstLineChars="0"/>
              <w:jc w:val="center"/>
              <w:rPr>
                <w:rFonts w:hint="eastAsia" w:ascii="Times New Roman" w:hAnsi="Times New Roman" w:eastAsia="宋体" w:cs="Times New Roman"/>
                <w:b/>
                <w:kern w:val="2"/>
                <w:sz w:val="21"/>
                <w:szCs w:val="21"/>
                <w:lang w:val="en-US" w:eastAsia="zh-CN" w:bidi="ar-SA"/>
              </w:rPr>
            </w:pPr>
            <w:r>
              <w:rPr>
                <w:rFonts w:hint="eastAsia" w:ascii="Times New Roman" w:hAnsi="Times New Roman" w:eastAsia="宋体" w:cs="Times New Roman"/>
                <w:b/>
                <w:kern w:val="2"/>
                <w:sz w:val="21"/>
                <w:szCs w:val="21"/>
                <w:lang w:val="en-US" w:eastAsia="zh-CN" w:bidi="ar-SA"/>
              </w:rPr>
              <w:t>检查结果</w:t>
            </w:r>
          </w:p>
        </w:tc>
      </w:tr>
      <w:tr w14:paraId="341217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2" w:hRule="atLeast"/>
        </w:trPr>
        <w:tc>
          <w:tcPr>
            <w:tcW w:w="516" w:type="dxa"/>
            <w:noWrap w:val="0"/>
            <w:vAlign w:val="center"/>
          </w:tcPr>
          <w:p w14:paraId="7BC972CB">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1</w:t>
            </w:r>
          </w:p>
        </w:tc>
        <w:tc>
          <w:tcPr>
            <w:tcW w:w="3690" w:type="dxa"/>
            <w:noWrap w:val="0"/>
            <w:vAlign w:val="center"/>
          </w:tcPr>
          <w:p w14:paraId="72F7B9E8">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采、装、运作业过程的设计应减少粉尘的发生，并应采取抑尘措施。对破碎车间的尘源应采取密闭洒水措施。</w:t>
            </w:r>
          </w:p>
        </w:tc>
        <w:tc>
          <w:tcPr>
            <w:tcW w:w="2274" w:type="dxa"/>
            <w:noWrap w:val="0"/>
            <w:vAlign w:val="center"/>
          </w:tcPr>
          <w:p w14:paraId="5CD34AA5">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《冶金矿山采矿设计规范》GB50830-2013第11.2.3条</w:t>
            </w:r>
          </w:p>
        </w:tc>
        <w:tc>
          <w:tcPr>
            <w:tcW w:w="1961" w:type="dxa"/>
            <w:noWrap w:val="0"/>
            <w:vAlign w:val="center"/>
          </w:tcPr>
          <w:p w14:paraId="6429735E">
            <w:pPr>
              <w:widowControl/>
              <w:bidi w:val="0"/>
              <w:adjustRightInd/>
              <w:snapToGrid/>
              <w:spacing w:line="240" w:lineRule="auto"/>
              <w:ind w:firstLine="0" w:firstLineChars="0"/>
              <w:jc w:val="left"/>
              <w:rPr>
                <w:rFonts w:hint="default"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采、装、运作业过程采用洒水车，破碎车间采取密闭作业。</w:t>
            </w:r>
          </w:p>
        </w:tc>
        <w:tc>
          <w:tcPr>
            <w:tcW w:w="704" w:type="dxa"/>
            <w:noWrap w:val="0"/>
            <w:vAlign w:val="center"/>
          </w:tcPr>
          <w:p w14:paraId="31906F6C">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符合</w:t>
            </w:r>
          </w:p>
        </w:tc>
      </w:tr>
      <w:tr w14:paraId="4D046C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40" w:hRule="atLeast"/>
        </w:trPr>
        <w:tc>
          <w:tcPr>
            <w:tcW w:w="516" w:type="dxa"/>
            <w:noWrap w:val="0"/>
            <w:vAlign w:val="center"/>
          </w:tcPr>
          <w:p w14:paraId="27813C3B">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2</w:t>
            </w:r>
          </w:p>
        </w:tc>
        <w:tc>
          <w:tcPr>
            <w:tcW w:w="3690" w:type="dxa"/>
            <w:noWrap w:val="0"/>
            <w:vAlign w:val="center"/>
          </w:tcPr>
          <w:p w14:paraId="02ECFF05">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不应采用没有捕尘装置的干式穿孔设备。</w:t>
            </w:r>
          </w:p>
        </w:tc>
        <w:tc>
          <w:tcPr>
            <w:tcW w:w="2274" w:type="dxa"/>
            <w:noWrap w:val="0"/>
            <w:vAlign w:val="center"/>
          </w:tcPr>
          <w:p w14:paraId="6D52F53D">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《金属非金属矿山安全规程》GB16423-2020第5.1.11条</w:t>
            </w:r>
          </w:p>
        </w:tc>
        <w:tc>
          <w:tcPr>
            <w:tcW w:w="1961" w:type="dxa"/>
            <w:noWrap w:val="0"/>
            <w:vAlign w:val="center"/>
          </w:tcPr>
          <w:p w14:paraId="6F4594F4">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cs="Times New Roman"/>
                <w:kern w:val="0"/>
                <w:sz w:val="21"/>
                <w:szCs w:val="20"/>
                <w:lang w:val="en-US" w:eastAsia="zh-CN" w:bidi="ar-SA"/>
              </w:rPr>
              <w:t>未</w:t>
            </w:r>
            <w:r>
              <w:rPr>
                <w:rFonts w:hint="eastAsia" w:ascii="Times New Roman" w:hAnsi="Times New Roman" w:eastAsia="宋体" w:cs="Times New Roman"/>
                <w:kern w:val="0"/>
                <w:sz w:val="21"/>
                <w:szCs w:val="20"/>
                <w:lang w:val="en-US" w:eastAsia="zh-CN" w:bidi="ar-SA"/>
              </w:rPr>
              <w:t>采用的潜孔钻自带收尘器。</w:t>
            </w:r>
          </w:p>
        </w:tc>
        <w:tc>
          <w:tcPr>
            <w:tcW w:w="704" w:type="dxa"/>
            <w:noWrap w:val="0"/>
            <w:vAlign w:val="center"/>
          </w:tcPr>
          <w:p w14:paraId="2472DD37">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cs="Times New Roman"/>
                <w:kern w:val="0"/>
                <w:sz w:val="21"/>
                <w:szCs w:val="20"/>
                <w:lang w:val="en-US" w:eastAsia="zh-CN" w:bidi="ar-SA"/>
              </w:rPr>
              <w:t>不</w:t>
            </w:r>
            <w:r>
              <w:rPr>
                <w:rFonts w:hint="eastAsia" w:ascii="Times New Roman" w:hAnsi="Times New Roman" w:eastAsia="宋体" w:cs="Times New Roman"/>
                <w:kern w:val="0"/>
                <w:sz w:val="21"/>
                <w:szCs w:val="20"/>
                <w:lang w:val="en-US" w:eastAsia="zh-CN" w:bidi="ar-SA"/>
              </w:rPr>
              <w:t>符合</w:t>
            </w:r>
          </w:p>
        </w:tc>
      </w:tr>
      <w:tr w14:paraId="652BF7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516" w:type="dxa"/>
            <w:noWrap w:val="0"/>
            <w:vAlign w:val="center"/>
          </w:tcPr>
          <w:p w14:paraId="50306836">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3</w:t>
            </w:r>
          </w:p>
        </w:tc>
        <w:tc>
          <w:tcPr>
            <w:tcW w:w="3690" w:type="dxa"/>
            <w:noWrap w:val="0"/>
            <w:vAlign w:val="center"/>
          </w:tcPr>
          <w:p w14:paraId="2FCE5D06">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用人单位应当依照法律法规要求，严格遵守国家职业卫生标准，落实职业病预防措施，从源头上控制和消除职业病危害。</w:t>
            </w:r>
          </w:p>
        </w:tc>
        <w:tc>
          <w:tcPr>
            <w:tcW w:w="2274" w:type="dxa"/>
            <w:noWrap w:val="0"/>
            <w:vAlign w:val="center"/>
          </w:tcPr>
          <w:p w14:paraId="76219B45">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《中华人民共和国职业病防治法》第十四条</w:t>
            </w:r>
          </w:p>
        </w:tc>
        <w:tc>
          <w:tcPr>
            <w:tcW w:w="1961" w:type="dxa"/>
            <w:noWrap w:val="0"/>
            <w:vAlign w:val="center"/>
          </w:tcPr>
          <w:p w14:paraId="7DA17C4D">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对采场爆堆和运输道路扬尘采用洒水抑尘。</w:t>
            </w:r>
          </w:p>
        </w:tc>
        <w:tc>
          <w:tcPr>
            <w:tcW w:w="704" w:type="dxa"/>
            <w:noWrap w:val="0"/>
            <w:vAlign w:val="center"/>
          </w:tcPr>
          <w:p w14:paraId="732AE37C">
            <w:pPr>
              <w:widowControl/>
              <w:bidi w:val="0"/>
              <w:adjustRightInd/>
              <w:snapToGrid/>
              <w:spacing w:line="240" w:lineRule="auto"/>
              <w:ind w:firstLine="0" w:firstLineChars="0"/>
              <w:jc w:val="left"/>
              <w:rPr>
                <w:rFonts w:hint="eastAsia" w:ascii="Times New Roman" w:hAnsi="Times New Roman" w:eastAsia="宋体" w:cs="Times New Roman"/>
                <w:kern w:val="0"/>
                <w:sz w:val="21"/>
                <w:szCs w:val="20"/>
                <w:vertAlign w:val="baseline"/>
                <w:lang w:val="en-US" w:eastAsia="zh-CN" w:bidi="ar-SA"/>
              </w:rPr>
            </w:pPr>
            <w:r>
              <w:rPr>
                <w:rFonts w:hint="eastAsia" w:ascii="Times New Roman" w:hAnsi="Times New Roman" w:eastAsia="宋体" w:cs="Times New Roman"/>
                <w:kern w:val="0"/>
                <w:sz w:val="21"/>
                <w:szCs w:val="20"/>
                <w:lang w:val="en-US" w:eastAsia="zh-CN" w:bidi="ar-SA"/>
              </w:rPr>
              <w:t>符合</w:t>
            </w:r>
          </w:p>
        </w:tc>
      </w:tr>
    </w:tbl>
    <w:p w14:paraId="389471C0">
      <w:pPr>
        <w:snapToGrid w:val="0"/>
        <w:ind w:firstLine="562"/>
        <w:rPr>
          <w:rFonts w:ascii="Times New Roman" w:hAnsi="Times New Roman"/>
          <w:color w:val="000000" w:themeColor="text1"/>
          <w14:textFill>
            <w14:solidFill>
              <w14:schemeClr w14:val="tx1"/>
            </w14:solidFill>
          </w14:textFill>
        </w:rPr>
      </w:pPr>
      <w:r>
        <w:rPr>
          <w:rFonts w:ascii="Times New Roman" w:hAnsi="Times New Roman"/>
          <w:b/>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针对</w:t>
      </w:r>
      <w:r>
        <w:rPr>
          <w:rFonts w:hint="eastAsia" w:ascii="Times New Roman" w:hAnsi="Times New Roman"/>
          <w:color w:val="000000" w:themeColor="text1"/>
          <w:lang w:val="en-US" w:eastAsia="zh-CN"/>
          <w14:textFill>
            <w14:solidFill>
              <w14:schemeClr w14:val="tx1"/>
            </w14:solidFill>
          </w14:textFill>
        </w:rPr>
        <w:t>防尘</w:t>
      </w:r>
      <w:r>
        <w:rPr>
          <w:rFonts w:ascii="Times New Roman" w:hAnsi="Times New Roman"/>
          <w:color w:val="000000" w:themeColor="text1"/>
          <w14:textFill>
            <w14:solidFill>
              <w14:schemeClr w14:val="tx1"/>
            </w14:solidFill>
          </w14:textFill>
        </w:rPr>
        <w:t>安全检查表内的</w:t>
      </w:r>
      <w:r>
        <w:rPr>
          <w:rFonts w:hint="eastAsia" w:ascii="Times New Roman" w:hAnsi="Times New Roman"/>
          <w:color w:val="000000" w:themeColor="text1"/>
          <w:lang w:val="en-US" w:eastAsia="zh-CN"/>
          <w14:textFill>
            <w14:solidFill>
              <w14:schemeClr w14:val="tx1"/>
            </w14:solidFill>
          </w14:textFill>
        </w:rPr>
        <w:t>3</w:t>
      </w:r>
      <w:r>
        <w:rPr>
          <w:rFonts w:ascii="Times New Roman" w:hAnsi="Times New Roman"/>
          <w:color w:val="000000" w:themeColor="text1"/>
          <w14:textFill>
            <w14:solidFill>
              <w14:schemeClr w14:val="tx1"/>
            </w14:solidFill>
          </w14:textFill>
        </w:rPr>
        <w:t>项内容，</w:t>
      </w: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14:textFill>
            <w14:solidFill>
              <w14:schemeClr w14:val="tx1"/>
            </w14:solidFill>
          </w14:textFill>
        </w:rPr>
        <w:t>项</w:t>
      </w:r>
      <w:r>
        <w:rPr>
          <w:rFonts w:hint="eastAsia" w:ascii="Times New Roman" w:hAnsi="Times New Roman"/>
          <w:color w:val="000000" w:themeColor="text1"/>
          <w:lang w:val="en-US" w:eastAsia="zh-CN"/>
          <w14:textFill>
            <w14:solidFill>
              <w14:schemeClr w14:val="tx1"/>
            </w14:solidFill>
          </w14:textFill>
        </w:rPr>
        <w:t>符</w:t>
      </w:r>
      <w:r>
        <w:rPr>
          <w:rFonts w:ascii="Times New Roman" w:hAnsi="Times New Roman"/>
          <w:color w:val="000000" w:themeColor="text1"/>
          <w14:textFill>
            <w14:solidFill>
              <w14:schemeClr w14:val="tx1"/>
            </w14:solidFill>
          </w14:textFill>
        </w:rPr>
        <w:t>合</w:t>
      </w:r>
      <w:r>
        <w:rPr>
          <w:rFonts w:hint="eastAsia" w:ascii="Times New Roman" w:hAnsi="Times New Roman"/>
          <w:color w:val="000000" w:themeColor="text1"/>
          <w:lang w:eastAsia="zh-CN"/>
          <w14:textFill>
            <w14:solidFill>
              <w14:schemeClr w14:val="tx1"/>
            </w14:solidFill>
          </w14:textFill>
        </w:rPr>
        <w:t>，</w:t>
      </w:r>
      <w:r>
        <w:rPr>
          <w:rFonts w:hint="eastAsia" w:ascii="Times New Roman" w:hAnsi="Times New Roman"/>
          <w:color w:val="000000" w:themeColor="text1"/>
          <w:lang w:val="en-US" w:eastAsia="zh-CN"/>
          <w14:textFill>
            <w14:solidFill>
              <w14:schemeClr w14:val="tx1"/>
            </w14:solidFill>
          </w14:textFill>
        </w:rPr>
        <w:t>1项不符合</w:t>
      </w:r>
      <w:r>
        <w:rPr>
          <w:rFonts w:ascii="Times New Roman" w:hAnsi="Times New Roman"/>
          <w:color w:val="000000" w:themeColor="text1"/>
          <w14:textFill>
            <w14:solidFill>
              <w14:schemeClr w14:val="tx1"/>
            </w14:solidFill>
          </w14:textFill>
        </w:rPr>
        <w:t>。</w:t>
      </w:r>
    </w:p>
    <w:p w14:paraId="012C4057">
      <w:pPr>
        <w:pStyle w:val="4"/>
      </w:pPr>
      <w:bookmarkStart w:id="398" w:name="_Toc15698"/>
      <w:bookmarkStart w:id="399" w:name="_Toc476244181"/>
      <w:bookmarkStart w:id="400" w:name="_Toc214284054"/>
      <w:bookmarkStart w:id="401" w:name="_Toc483865749"/>
      <w:bookmarkStart w:id="402" w:name="_Toc30023"/>
      <w:r>
        <w:t>3.</w:t>
      </w:r>
      <w:r>
        <w:rPr>
          <w:rFonts w:hint="eastAsia"/>
          <w:lang w:val="en-US" w:eastAsia="zh-CN"/>
        </w:rPr>
        <w:t>10.3</w:t>
      </w:r>
      <w:r>
        <w:t>单元小结</w:t>
      </w:r>
      <w:bookmarkEnd w:id="398"/>
      <w:bookmarkEnd w:id="399"/>
      <w:bookmarkEnd w:id="400"/>
      <w:bookmarkEnd w:id="401"/>
      <w:bookmarkEnd w:id="402"/>
    </w:p>
    <w:p w14:paraId="19AD0BB2">
      <w:pPr>
        <w:bidi w:val="0"/>
      </w:pPr>
      <w:r>
        <w:t>矿山按照《个体防护装备配备规范第4部分：非煤矿山》</w:t>
      </w:r>
      <w:r>
        <w:rPr>
          <w:lang w:val="sq-AL"/>
        </w:rPr>
        <w:t>（</w:t>
      </w:r>
      <w:r>
        <w:t>GB39800.4-2020</w:t>
      </w:r>
      <w:r>
        <w:rPr>
          <w:lang w:val="sq-AL"/>
        </w:rPr>
        <w:t>）、</w:t>
      </w:r>
      <w:r>
        <w:t>《劳动防护用品配备标准（试行）》等标准规范为作业人员配备了相应的劳保用品（如：安全帽、安全带、绝缘鞋、工作服</w:t>
      </w:r>
      <w:r>
        <w:rPr>
          <w:rFonts w:hint="eastAsia"/>
          <w:lang w:eastAsia="zh-CN"/>
        </w:rPr>
        <w:t>、</w:t>
      </w:r>
      <w:r>
        <w:rPr>
          <w:rFonts w:hint="eastAsia"/>
          <w:lang w:val="en-US" w:eastAsia="zh-CN"/>
        </w:rPr>
        <w:t>防尘</w:t>
      </w:r>
      <w:r>
        <w:t>口罩）等，并督促员工在上班期间正确佩戴。</w:t>
      </w:r>
      <w:r>
        <w:rPr>
          <w:rFonts w:hint="eastAsia"/>
          <w:lang w:val="en-US" w:eastAsia="zh-CN"/>
        </w:rPr>
        <w:t>对采场爆堆和运输道路扬尘和破碎采用洒水抑尘</w:t>
      </w:r>
      <w:r>
        <w:t>。经评价认为矿山的</w:t>
      </w:r>
      <w:r>
        <w:rPr>
          <w:rFonts w:hint="eastAsia"/>
          <w:lang w:val="en-US" w:eastAsia="zh-CN"/>
        </w:rPr>
        <w:t>防尘和</w:t>
      </w:r>
      <w:r>
        <w:t>个人安全防护单元满足安全生产要求。</w:t>
      </w:r>
    </w:p>
    <w:p w14:paraId="1EA66716">
      <w:pPr>
        <w:pStyle w:val="3"/>
        <w:rPr>
          <w:rFonts w:hint="eastAsia" w:eastAsia="宋体"/>
          <w:lang w:val="en-US" w:eastAsia="zh-CN"/>
        </w:rPr>
      </w:pPr>
      <w:bookmarkStart w:id="403" w:name="_Toc8146"/>
      <w:bookmarkStart w:id="404" w:name="_Toc214284055"/>
      <w:bookmarkStart w:id="405" w:name="_Toc10811"/>
      <w:r>
        <w:t>3.</w:t>
      </w:r>
      <w:r>
        <w:rPr>
          <w:rFonts w:hint="eastAsia"/>
          <w:lang w:val="en-US" w:eastAsia="zh-CN"/>
        </w:rPr>
        <w:t>11</w:t>
      </w:r>
      <w:r>
        <w:t>安全标志</w:t>
      </w:r>
      <w:bookmarkEnd w:id="403"/>
      <w:bookmarkEnd w:id="404"/>
      <w:r>
        <w:rPr>
          <w:rFonts w:hint="eastAsia"/>
          <w:lang w:val="en-US" w:eastAsia="zh-CN"/>
        </w:rPr>
        <w:t>与安全围栏</w:t>
      </w:r>
      <w:bookmarkEnd w:id="405"/>
    </w:p>
    <w:p w14:paraId="70CD778A">
      <w:pPr>
        <w:pStyle w:val="4"/>
      </w:pPr>
      <w:bookmarkStart w:id="406" w:name="_Toc20840"/>
      <w:bookmarkStart w:id="407" w:name="_Toc214284056"/>
      <w:bookmarkStart w:id="408" w:name="_Toc483865751"/>
      <w:bookmarkStart w:id="409" w:name="_Toc28518"/>
      <w:bookmarkStart w:id="410" w:name="_Toc476244183"/>
      <w:r>
        <w:t>3.</w:t>
      </w:r>
      <w:r>
        <w:rPr>
          <w:rFonts w:hint="eastAsia"/>
          <w:lang w:val="en-US" w:eastAsia="zh-CN"/>
        </w:rPr>
        <w:t>11</w:t>
      </w:r>
      <w:r>
        <w:t>.1安全标志</w:t>
      </w:r>
      <w:bookmarkEnd w:id="406"/>
      <w:bookmarkEnd w:id="407"/>
      <w:bookmarkEnd w:id="408"/>
      <w:bookmarkEnd w:id="409"/>
      <w:bookmarkEnd w:id="410"/>
    </w:p>
    <w:p w14:paraId="4C61235E">
      <w:pPr>
        <w:adjustRightInd w:val="0"/>
        <w:snapToGrid w:val="0"/>
        <w:ind w:firstLine="560"/>
        <w:rPr>
          <w:rFonts w:ascii="Times New Roman" w:hAnsi="Times New Roman"/>
          <w:color w:val="000000" w:themeColor="text1"/>
          <w14:textFill>
            <w14:solidFill>
              <w14:schemeClr w14:val="tx1"/>
            </w14:solidFill>
          </w14:textFill>
        </w:rPr>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对照《安全设施设计》报告，</w:t>
      </w:r>
      <w:r>
        <w:rPr>
          <w:spacing w:val="-6"/>
        </w:rPr>
        <w:t>采用安全检查表</w:t>
      </w:r>
      <w:r>
        <w:rPr>
          <w:rFonts w:ascii="Times New Roman" w:hAnsi="Times New Roman"/>
          <w:color w:val="000000" w:themeColor="text1"/>
          <w14:textFill>
            <w14:solidFill>
              <w14:schemeClr w14:val="tx1"/>
            </w14:solidFill>
          </w14:textFill>
        </w:rPr>
        <w:t>对安全标志符合性检查。</w:t>
      </w:r>
    </w:p>
    <w:p w14:paraId="013EEB21">
      <w:pPr>
        <w:pStyle w:val="47"/>
        <w:bidi w:val="0"/>
      </w:pPr>
      <w:r>
        <w:t>表3</w:t>
      </w:r>
      <w:r>
        <w:rPr>
          <w:rFonts w:hint="eastAsia"/>
          <w:lang w:val="en-US" w:eastAsia="zh-CN"/>
        </w:rPr>
        <w:t>.10-1</w:t>
      </w:r>
      <w:r>
        <w:t>安全标志符合性安全检查表</w:t>
      </w:r>
    </w:p>
    <w:tbl>
      <w:tblPr>
        <w:tblStyle w:val="35"/>
        <w:tblW w:w="4909"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53"/>
        <w:gridCol w:w="1948"/>
        <w:gridCol w:w="3177"/>
        <w:gridCol w:w="2781"/>
        <w:gridCol w:w="737"/>
      </w:tblGrid>
      <w:tr w14:paraId="32A071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401" w:type="pct"/>
            <w:vAlign w:val="center"/>
          </w:tcPr>
          <w:p w14:paraId="65CF0B21">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序号</w:t>
            </w:r>
          </w:p>
        </w:tc>
        <w:tc>
          <w:tcPr>
            <w:tcW w:w="1036" w:type="pct"/>
            <w:vAlign w:val="center"/>
          </w:tcPr>
          <w:p w14:paraId="52EAEF65">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w:t>
            </w:r>
          </w:p>
          <w:p w14:paraId="19EEC50B">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项目</w:t>
            </w:r>
          </w:p>
        </w:tc>
        <w:tc>
          <w:tcPr>
            <w:tcW w:w="1690" w:type="pct"/>
            <w:vAlign w:val="center"/>
          </w:tcPr>
          <w:p w14:paraId="0955ACF3">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检查内容、检查方法</w:t>
            </w:r>
          </w:p>
        </w:tc>
        <w:tc>
          <w:tcPr>
            <w:tcW w:w="1479" w:type="pct"/>
            <w:vAlign w:val="center"/>
          </w:tcPr>
          <w:p w14:paraId="2CA3C8E7">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检查情况</w:t>
            </w:r>
          </w:p>
        </w:tc>
        <w:tc>
          <w:tcPr>
            <w:tcW w:w="392" w:type="pct"/>
            <w:vAlign w:val="center"/>
          </w:tcPr>
          <w:p w14:paraId="225F071C">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检查结果</w:t>
            </w:r>
          </w:p>
        </w:tc>
      </w:tr>
      <w:tr w14:paraId="6FA002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48" w:hRule="atLeast"/>
          <w:jc w:val="center"/>
        </w:trPr>
        <w:tc>
          <w:tcPr>
            <w:tcW w:w="401" w:type="pct"/>
            <w:vAlign w:val="center"/>
          </w:tcPr>
          <w:p w14:paraId="5036A02A">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1036" w:type="pct"/>
            <w:vAlign w:val="center"/>
          </w:tcPr>
          <w:p w14:paraId="5AAB57AE">
            <w:pPr>
              <w:spacing w:line="240" w:lineRule="auto"/>
              <w:ind w:firstLine="0" w:firstLineChars="0"/>
              <w:jc w:val="center"/>
              <w:rPr>
                <w:rFonts w:ascii="Times New Roman" w:hAnsi="Times New Roman"/>
                <w:bCs/>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采场安全标志</w:t>
            </w:r>
          </w:p>
        </w:tc>
        <w:tc>
          <w:tcPr>
            <w:tcW w:w="1690" w:type="pct"/>
            <w:vAlign w:val="center"/>
          </w:tcPr>
          <w:p w14:paraId="3B09CF73">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检查内容：是否设置相应安全警示标志。检查方法：现场检查。</w:t>
            </w:r>
          </w:p>
        </w:tc>
        <w:tc>
          <w:tcPr>
            <w:tcW w:w="2781" w:type="dxa"/>
            <w:vAlign w:val="center"/>
          </w:tcPr>
          <w:p w14:paraId="75FE83D6">
            <w:pPr>
              <w:spacing w:line="240" w:lineRule="auto"/>
              <w:ind w:firstLine="0" w:firstLineChars="0"/>
              <w:jc w:val="left"/>
            </w:pPr>
            <w:r>
              <w:rPr>
                <w:rFonts w:ascii="宋体" w:hAnsi="宋体" w:eastAsia="宋体" w:cs="宋体"/>
                <w:spacing w:val="-1"/>
                <w:sz w:val="21"/>
                <w:szCs w:val="21"/>
              </w:rPr>
              <w:t>在矿山入口设置了“进入开采区必须佩戴安全</w:t>
            </w:r>
            <w:r>
              <w:rPr>
                <w:rFonts w:ascii="宋体" w:hAnsi="宋体" w:eastAsia="宋体" w:cs="宋体"/>
                <w:spacing w:val="-13"/>
                <w:sz w:val="21"/>
                <w:szCs w:val="21"/>
              </w:rPr>
              <w:t>帽”、等安全警示标志。</w:t>
            </w:r>
          </w:p>
        </w:tc>
        <w:tc>
          <w:tcPr>
            <w:tcW w:w="392" w:type="pct"/>
            <w:vAlign w:val="center"/>
          </w:tcPr>
          <w:p w14:paraId="40148E33">
            <w:pPr>
              <w:pStyle w:val="59"/>
              <w:bidi w:val="0"/>
            </w:pPr>
            <w:r>
              <w:t>符合</w:t>
            </w:r>
          </w:p>
        </w:tc>
      </w:tr>
      <w:tr w14:paraId="09012F5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60" w:hRule="atLeast"/>
          <w:jc w:val="center"/>
        </w:trPr>
        <w:tc>
          <w:tcPr>
            <w:tcW w:w="401" w:type="pct"/>
            <w:vAlign w:val="center"/>
          </w:tcPr>
          <w:p w14:paraId="68998A15">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w:t>
            </w:r>
          </w:p>
        </w:tc>
        <w:tc>
          <w:tcPr>
            <w:tcW w:w="1036" w:type="pct"/>
            <w:vAlign w:val="center"/>
          </w:tcPr>
          <w:p w14:paraId="65532643">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交通安全标志</w:t>
            </w:r>
          </w:p>
        </w:tc>
        <w:tc>
          <w:tcPr>
            <w:tcW w:w="1690" w:type="pct"/>
            <w:vAlign w:val="center"/>
          </w:tcPr>
          <w:p w14:paraId="4BEEAFEC">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检查内容：是否设置相应安全警示标志。检查方法：现场检查。</w:t>
            </w:r>
          </w:p>
        </w:tc>
        <w:tc>
          <w:tcPr>
            <w:tcW w:w="2781" w:type="dxa"/>
            <w:vAlign w:val="center"/>
          </w:tcPr>
          <w:p w14:paraId="35CE1936">
            <w:pPr>
              <w:spacing w:line="240" w:lineRule="auto"/>
              <w:ind w:firstLine="0" w:firstLineChars="0"/>
              <w:jc w:val="left"/>
              <w:rPr>
                <w:rFonts w:hint="eastAsia" w:eastAsia="宋体"/>
                <w:lang w:val="en-US" w:eastAsia="zh-CN"/>
              </w:rPr>
            </w:pPr>
            <w:r>
              <w:rPr>
                <w:rFonts w:ascii="宋体" w:hAnsi="宋体" w:eastAsia="宋体" w:cs="宋体"/>
                <w:spacing w:val="-1"/>
                <w:sz w:val="21"/>
                <w:szCs w:val="21"/>
              </w:rPr>
              <w:t>在运输道路设置了</w:t>
            </w:r>
            <w:r>
              <w:rPr>
                <w:rFonts w:hint="eastAsia" w:ascii="宋体" w:hAnsi="宋体" w:eastAsia="宋体" w:cs="宋体"/>
                <w:spacing w:val="-1"/>
                <w:sz w:val="21"/>
                <w:szCs w:val="21"/>
                <w:lang w:val="en-US" w:eastAsia="zh-CN"/>
              </w:rPr>
              <w:t>限速等</w:t>
            </w:r>
            <w:r>
              <w:rPr>
                <w:rFonts w:ascii="宋体" w:hAnsi="宋体" w:eastAsia="宋体" w:cs="宋体"/>
                <w:spacing w:val="-5"/>
                <w:sz w:val="21"/>
                <w:szCs w:val="21"/>
              </w:rPr>
              <w:t>安全标志。</w:t>
            </w:r>
          </w:p>
        </w:tc>
        <w:tc>
          <w:tcPr>
            <w:tcW w:w="392" w:type="pct"/>
            <w:vAlign w:val="center"/>
          </w:tcPr>
          <w:p w14:paraId="64AAD6D9">
            <w:pPr>
              <w:pStyle w:val="59"/>
              <w:bidi w:val="0"/>
            </w:pPr>
            <w:r>
              <w:t>符合</w:t>
            </w:r>
          </w:p>
        </w:tc>
      </w:tr>
      <w:tr w14:paraId="25DD570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1" w:hRule="atLeast"/>
          <w:jc w:val="center"/>
        </w:trPr>
        <w:tc>
          <w:tcPr>
            <w:tcW w:w="401" w:type="pct"/>
            <w:vAlign w:val="center"/>
          </w:tcPr>
          <w:p w14:paraId="0D8183F5">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3</w:t>
            </w:r>
          </w:p>
        </w:tc>
        <w:tc>
          <w:tcPr>
            <w:tcW w:w="1036" w:type="pct"/>
            <w:vAlign w:val="center"/>
          </w:tcPr>
          <w:p w14:paraId="3CB00AB2">
            <w:pPr>
              <w:spacing w:line="240" w:lineRule="auto"/>
              <w:ind w:firstLine="0" w:firstLineChars="0"/>
              <w:jc w:val="center"/>
              <w:rPr>
                <w:rFonts w:ascii="Times New Roman" w:hAnsi="Times New Roman"/>
                <w:bCs/>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电气安全标志</w:t>
            </w:r>
          </w:p>
        </w:tc>
        <w:tc>
          <w:tcPr>
            <w:tcW w:w="1690" w:type="pct"/>
            <w:vAlign w:val="center"/>
          </w:tcPr>
          <w:p w14:paraId="18D0E3F2">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检查内容：是否设置相应安全警示标志。检查方法：现场检查。</w:t>
            </w:r>
          </w:p>
        </w:tc>
        <w:tc>
          <w:tcPr>
            <w:tcW w:w="1479" w:type="pct"/>
            <w:vAlign w:val="center"/>
          </w:tcPr>
          <w:p w14:paraId="5697A859">
            <w:pPr>
              <w:pStyle w:val="59"/>
              <w:bidi w:val="0"/>
            </w:pPr>
            <w:r>
              <w:rPr>
                <w:rFonts w:ascii="Times New Roman" w:hAnsi="Times New Roman"/>
                <w:color w:val="000000" w:themeColor="text1"/>
                <w:sz w:val="21"/>
                <w:szCs w:val="21"/>
                <w14:textFill>
                  <w14:solidFill>
                    <w14:schemeClr w14:val="tx1"/>
                  </w14:solidFill>
                </w14:textFill>
              </w:rPr>
              <w:t>配电室设置有</w:t>
            </w:r>
            <w:r>
              <w:rPr>
                <w:rFonts w:ascii="宋体" w:hAnsi="宋体" w:eastAsia="宋体" w:cs="宋体"/>
                <w:spacing w:val="1"/>
                <w:sz w:val="21"/>
                <w:szCs w:val="21"/>
              </w:rPr>
              <w:t>“配电重地、闲人免</w:t>
            </w:r>
            <w:r>
              <w:rPr>
                <w:rFonts w:ascii="宋体" w:hAnsi="宋体" w:eastAsia="宋体" w:cs="宋体"/>
                <w:spacing w:val="-10"/>
                <w:sz w:val="21"/>
                <w:szCs w:val="21"/>
              </w:rPr>
              <w:t>进”、“</w:t>
            </w:r>
            <w:r>
              <w:rPr>
                <w:rFonts w:hint="eastAsia" w:ascii="宋体" w:hAnsi="宋体" w:eastAsia="宋体" w:cs="宋体"/>
                <w:spacing w:val="-10"/>
                <w:sz w:val="21"/>
                <w:szCs w:val="21"/>
                <w:lang w:val="en-US" w:eastAsia="zh-CN"/>
              </w:rPr>
              <w:t>有电危险</w:t>
            </w:r>
            <w:r>
              <w:rPr>
                <w:rFonts w:ascii="宋体" w:hAnsi="宋体" w:eastAsia="宋体" w:cs="宋体"/>
                <w:spacing w:val="-10"/>
                <w:sz w:val="21"/>
                <w:szCs w:val="21"/>
              </w:rPr>
              <w:t>”等</w:t>
            </w:r>
            <w:r>
              <w:rPr>
                <w:rFonts w:ascii="宋体" w:hAnsi="宋体" w:eastAsia="宋体" w:cs="宋体"/>
                <w:spacing w:val="-4"/>
                <w:sz w:val="21"/>
                <w:szCs w:val="21"/>
              </w:rPr>
              <w:t>安全警示标志。</w:t>
            </w:r>
          </w:p>
        </w:tc>
        <w:tc>
          <w:tcPr>
            <w:tcW w:w="392" w:type="pct"/>
            <w:vAlign w:val="center"/>
          </w:tcPr>
          <w:p w14:paraId="06167042">
            <w:pPr>
              <w:pStyle w:val="59"/>
              <w:bidi w:val="0"/>
            </w:pPr>
            <w:r>
              <w:t>符合</w:t>
            </w:r>
          </w:p>
        </w:tc>
      </w:tr>
    </w:tbl>
    <w:p w14:paraId="1B145436">
      <w:pPr>
        <w:bidi w:val="0"/>
      </w:pPr>
      <w:r>
        <w:t>评价分析：检查3项内容，其中</w:t>
      </w:r>
      <w:r>
        <w:rPr>
          <w:rFonts w:hint="eastAsia"/>
          <w:lang w:val="en-US" w:eastAsia="zh-CN"/>
        </w:rPr>
        <w:t>3</w:t>
      </w:r>
      <w:r>
        <w:t>项合格，</w:t>
      </w:r>
      <w:r>
        <w:rPr>
          <w:rFonts w:hint="eastAsia"/>
          <w:lang w:val="en-US" w:eastAsia="zh-CN"/>
        </w:rPr>
        <w:t>0</w:t>
      </w:r>
      <w:r>
        <w:t>项不合格。</w:t>
      </w:r>
    </w:p>
    <w:p w14:paraId="68A090AC">
      <w:pPr>
        <w:pStyle w:val="4"/>
        <w:bidi w:val="0"/>
        <w:rPr>
          <w:rFonts w:hint="eastAsia"/>
          <w:lang w:eastAsia="zh-CN"/>
        </w:rPr>
      </w:pPr>
      <w:bookmarkStart w:id="411" w:name="_Toc14067"/>
      <w:bookmarkStart w:id="412" w:name="_Toc483865752"/>
      <w:bookmarkStart w:id="413" w:name="_Toc26844"/>
      <w:bookmarkStart w:id="414" w:name="_Toc476244184"/>
      <w:bookmarkStart w:id="415" w:name="_Toc214284057"/>
      <w:r>
        <w:t>3.</w:t>
      </w:r>
      <w:r>
        <w:rPr>
          <w:rFonts w:hint="eastAsia"/>
          <w:lang w:val="en-US" w:eastAsia="zh-CN"/>
        </w:rPr>
        <w:t>11</w:t>
      </w:r>
      <w:r>
        <w:t>.2</w:t>
      </w:r>
      <w:r>
        <w:rPr>
          <w:rFonts w:hint="eastAsia"/>
          <w:lang w:eastAsia="zh-CN"/>
        </w:rPr>
        <w:t>安全围栏</w:t>
      </w:r>
      <w:bookmarkEnd w:id="411"/>
    </w:p>
    <w:p w14:paraId="29995CF4">
      <w:pPr>
        <w:adjustRightInd w:val="0"/>
        <w:snapToGrid w:val="0"/>
        <w:ind w:firstLine="560"/>
        <w:rPr>
          <w:rFonts w:ascii="Times New Roman" w:hAnsi="Times New Roman"/>
          <w:color w:val="000000" w:themeColor="text1"/>
          <w14:textFill>
            <w14:solidFill>
              <w14:schemeClr w14:val="tx1"/>
            </w14:solidFill>
          </w14:textFill>
        </w:rPr>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对照《安全设施设计》报告，</w:t>
      </w:r>
      <w:r>
        <w:rPr>
          <w:spacing w:val="-6"/>
        </w:rPr>
        <w:t>采用安全检查表</w:t>
      </w:r>
      <w:r>
        <w:rPr>
          <w:rFonts w:ascii="Times New Roman" w:hAnsi="Times New Roman"/>
          <w:color w:val="000000" w:themeColor="text1"/>
          <w14:textFill>
            <w14:solidFill>
              <w14:schemeClr w14:val="tx1"/>
            </w14:solidFill>
          </w14:textFill>
        </w:rPr>
        <w:t>对安全</w:t>
      </w:r>
      <w:r>
        <w:rPr>
          <w:rFonts w:hint="eastAsia" w:ascii="Times New Roman" w:hAnsi="Times New Roman"/>
          <w:color w:val="000000" w:themeColor="text1"/>
          <w:lang w:eastAsia="zh-CN"/>
          <w14:textFill>
            <w14:solidFill>
              <w14:schemeClr w14:val="tx1"/>
            </w14:solidFill>
          </w14:textFill>
        </w:rPr>
        <w:t>围栏</w:t>
      </w:r>
      <w:r>
        <w:rPr>
          <w:rFonts w:ascii="Times New Roman" w:hAnsi="Times New Roman"/>
          <w:color w:val="000000" w:themeColor="text1"/>
          <w14:textFill>
            <w14:solidFill>
              <w14:schemeClr w14:val="tx1"/>
            </w14:solidFill>
          </w14:textFill>
        </w:rPr>
        <w:t>符合性检查。</w:t>
      </w:r>
    </w:p>
    <w:p w14:paraId="3FDB7718">
      <w:pPr>
        <w:pStyle w:val="47"/>
        <w:bidi w:val="0"/>
      </w:pPr>
      <w:r>
        <w:t>表3</w:t>
      </w:r>
      <w:r>
        <w:rPr>
          <w:rFonts w:hint="eastAsia"/>
          <w:lang w:val="en-US" w:eastAsia="zh-CN"/>
        </w:rPr>
        <w:t>.11-2</w:t>
      </w:r>
      <w:r>
        <w:t>安全</w:t>
      </w:r>
      <w:r>
        <w:rPr>
          <w:rFonts w:hint="eastAsia"/>
          <w:lang w:eastAsia="zh-CN"/>
        </w:rPr>
        <w:t>围栏</w:t>
      </w:r>
      <w:r>
        <w:t>符合性安全检查表</w:t>
      </w:r>
    </w:p>
    <w:tbl>
      <w:tblPr>
        <w:tblStyle w:val="35"/>
        <w:tblW w:w="4793"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34"/>
        <w:gridCol w:w="1902"/>
        <w:gridCol w:w="3103"/>
        <w:gridCol w:w="2715"/>
        <w:gridCol w:w="720"/>
      </w:tblGrid>
      <w:tr w14:paraId="71FFA4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tblHeader/>
          <w:jc w:val="center"/>
        </w:trPr>
        <w:tc>
          <w:tcPr>
            <w:tcW w:w="400" w:type="pct"/>
            <w:vAlign w:val="center"/>
          </w:tcPr>
          <w:p w14:paraId="16342D03">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序号</w:t>
            </w:r>
          </w:p>
        </w:tc>
        <w:tc>
          <w:tcPr>
            <w:tcW w:w="1036" w:type="pct"/>
            <w:vAlign w:val="center"/>
          </w:tcPr>
          <w:p w14:paraId="7CE64F9C">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w:t>
            </w:r>
          </w:p>
          <w:p w14:paraId="64884304">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项目</w:t>
            </w:r>
          </w:p>
        </w:tc>
        <w:tc>
          <w:tcPr>
            <w:tcW w:w="1690" w:type="pct"/>
            <w:vAlign w:val="center"/>
          </w:tcPr>
          <w:p w14:paraId="58F1F3B3">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检查内容、检查方法</w:t>
            </w:r>
          </w:p>
        </w:tc>
        <w:tc>
          <w:tcPr>
            <w:tcW w:w="1479" w:type="pct"/>
            <w:vAlign w:val="center"/>
          </w:tcPr>
          <w:p w14:paraId="1CE6DCE1">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检查情况</w:t>
            </w:r>
          </w:p>
        </w:tc>
        <w:tc>
          <w:tcPr>
            <w:tcW w:w="392" w:type="pct"/>
            <w:vAlign w:val="center"/>
          </w:tcPr>
          <w:p w14:paraId="2BA8B45C">
            <w:pPr>
              <w:widowControl/>
              <w:spacing w:line="240" w:lineRule="auto"/>
              <w:ind w:firstLine="0" w:firstLineChars="0"/>
              <w:jc w:val="center"/>
              <w:rPr>
                <w:rFonts w:ascii="Times New Roman" w:hAnsi="Times New Roman"/>
                <w:b/>
                <w:bCs/>
                <w:color w:val="000000" w:themeColor="text1"/>
                <w:sz w:val="21"/>
                <w:szCs w:val="21"/>
                <w14:textFill>
                  <w14:solidFill>
                    <w14:schemeClr w14:val="tx1"/>
                  </w14:solidFill>
                </w14:textFill>
              </w:rPr>
            </w:pPr>
            <w:r>
              <w:rPr>
                <w:rFonts w:ascii="Times New Roman" w:hAnsi="Times New Roman"/>
                <w:b/>
                <w:bCs/>
                <w:color w:val="000000" w:themeColor="text1"/>
                <w:sz w:val="21"/>
                <w:szCs w:val="21"/>
                <w14:textFill>
                  <w14:solidFill>
                    <w14:schemeClr w14:val="tx1"/>
                  </w14:solidFill>
                </w14:textFill>
              </w:rPr>
              <w:t>检查结果</w:t>
            </w:r>
          </w:p>
        </w:tc>
      </w:tr>
      <w:tr w14:paraId="0B22F5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98" w:hRule="atLeast"/>
          <w:jc w:val="center"/>
        </w:trPr>
        <w:tc>
          <w:tcPr>
            <w:tcW w:w="400" w:type="pct"/>
            <w:vAlign w:val="center"/>
          </w:tcPr>
          <w:p w14:paraId="5D71E23A">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1</w:t>
            </w:r>
          </w:p>
        </w:tc>
        <w:tc>
          <w:tcPr>
            <w:tcW w:w="1036" w:type="pct"/>
            <w:vAlign w:val="center"/>
          </w:tcPr>
          <w:p w14:paraId="260E39E6">
            <w:pPr>
              <w:spacing w:line="240" w:lineRule="auto"/>
              <w:ind w:firstLine="0" w:firstLineChars="0"/>
              <w:jc w:val="center"/>
              <w:rPr>
                <w:rFonts w:hint="eastAsia" w:ascii="Times New Roman" w:hAnsi="Times New Roman" w:eastAsia="宋体"/>
                <w:bCs/>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eastAsia="zh-CN"/>
                <w14:textFill>
                  <w14:solidFill>
                    <w14:schemeClr w14:val="tx1"/>
                  </w14:solidFill>
                </w14:textFill>
              </w:rPr>
              <w:t>矿界安全围栏</w:t>
            </w:r>
          </w:p>
        </w:tc>
        <w:tc>
          <w:tcPr>
            <w:tcW w:w="1690" w:type="pct"/>
            <w:vAlign w:val="center"/>
          </w:tcPr>
          <w:p w14:paraId="447BB642">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检查内容：是否设置相应安全</w:t>
            </w:r>
            <w:r>
              <w:rPr>
                <w:rFonts w:hint="eastAsia" w:ascii="Times New Roman" w:hAnsi="Times New Roman"/>
                <w:color w:val="000000" w:themeColor="text1"/>
                <w:sz w:val="21"/>
                <w:szCs w:val="21"/>
                <w:lang w:eastAsia="zh-CN"/>
                <w14:textFill>
                  <w14:solidFill>
                    <w14:schemeClr w14:val="tx1"/>
                  </w14:solidFill>
                </w14:textFill>
              </w:rPr>
              <w:t>围栏</w:t>
            </w:r>
            <w:r>
              <w:rPr>
                <w:rFonts w:ascii="Times New Roman" w:hAnsi="Times New Roman"/>
                <w:color w:val="000000" w:themeColor="text1"/>
                <w:sz w:val="21"/>
                <w:szCs w:val="21"/>
                <w14:textFill>
                  <w14:solidFill>
                    <w14:schemeClr w14:val="tx1"/>
                  </w14:solidFill>
                </w14:textFill>
              </w:rPr>
              <w:t>。检查方法：现场检查。</w:t>
            </w:r>
          </w:p>
        </w:tc>
        <w:tc>
          <w:tcPr>
            <w:tcW w:w="1479" w:type="pct"/>
            <w:vAlign w:val="center"/>
          </w:tcPr>
          <w:p w14:paraId="2B8E8B6F">
            <w:pPr>
              <w:pStyle w:val="59"/>
              <w:bidi w:val="0"/>
            </w:pPr>
            <w:r>
              <w:rPr>
                <w:rFonts w:hint="eastAsia"/>
                <w:lang w:val="en-US" w:eastAsia="zh-CN"/>
              </w:rPr>
              <w:t>用警示旗设置</w:t>
            </w:r>
            <w:r>
              <w:t>。</w:t>
            </w:r>
          </w:p>
        </w:tc>
        <w:tc>
          <w:tcPr>
            <w:tcW w:w="392" w:type="pct"/>
            <w:vAlign w:val="center"/>
          </w:tcPr>
          <w:p w14:paraId="205E5992">
            <w:pPr>
              <w:pStyle w:val="59"/>
              <w:bidi w:val="0"/>
            </w:pPr>
            <w:r>
              <w:t>符合</w:t>
            </w:r>
          </w:p>
        </w:tc>
      </w:tr>
      <w:tr w14:paraId="06F46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3" w:hRule="atLeast"/>
          <w:jc w:val="center"/>
        </w:trPr>
        <w:tc>
          <w:tcPr>
            <w:tcW w:w="400" w:type="pct"/>
            <w:vAlign w:val="center"/>
          </w:tcPr>
          <w:p w14:paraId="7B5CBBDC">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2</w:t>
            </w:r>
          </w:p>
        </w:tc>
        <w:tc>
          <w:tcPr>
            <w:tcW w:w="1036" w:type="pct"/>
            <w:vAlign w:val="center"/>
          </w:tcPr>
          <w:p w14:paraId="52E7B07D">
            <w:pPr>
              <w:spacing w:line="240" w:lineRule="auto"/>
              <w:ind w:firstLine="0" w:firstLineChars="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eastAsia="zh-CN"/>
                <w14:textFill>
                  <w14:solidFill>
                    <w14:schemeClr w14:val="tx1"/>
                  </w14:solidFill>
                </w14:textFill>
              </w:rPr>
              <w:t>高陡边坡安全围栏</w:t>
            </w:r>
          </w:p>
        </w:tc>
        <w:tc>
          <w:tcPr>
            <w:tcW w:w="1690" w:type="pct"/>
            <w:vAlign w:val="center"/>
          </w:tcPr>
          <w:p w14:paraId="289D41EE">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检查内容：是否设置相应安全</w:t>
            </w:r>
            <w:r>
              <w:rPr>
                <w:rFonts w:hint="eastAsia" w:ascii="Times New Roman" w:hAnsi="Times New Roman"/>
                <w:color w:val="000000" w:themeColor="text1"/>
                <w:sz w:val="21"/>
                <w:szCs w:val="21"/>
                <w:lang w:eastAsia="zh-CN"/>
                <w14:textFill>
                  <w14:solidFill>
                    <w14:schemeClr w14:val="tx1"/>
                  </w14:solidFill>
                </w14:textFill>
              </w:rPr>
              <w:t>围栏</w:t>
            </w:r>
            <w:r>
              <w:rPr>
                <w:rFonts w:ascii="Times New Roman" w:hAnsi="Times New Roman"/>
                <w:color w:val="000000" w:themeColor="text1"/>
                <w:sz w:val="21"/>
                <w:szCs w:val="21"/>
                <w14:textFill>
                  <w14:solidFill>
                    <w14:schemeClr w14:val="tx1"/>
                  </w14:solidFill>
                </w14:textFill>
              </w:rPr>
              <w:t>。检查方法：现场检查。</w:t>
            </w:r>
          </w:p>
        </w:tc>
        <w:tc>
          <w:tcPr>
            <w:tcW w:w="1479" w:type="pct"/>
            <w:vAlign w:val="center"/>
          </w:tcPr>
          <w:p w14:paraId="423BD609">
            <w:pPr>
              <w:pStyle w:val="59"/>
              <w:bidi w:val="0"/>
            </w:pPr>
            <w:r>
              <w:rPr>
                <w:rFonts w:hint="eastAsia"/>
                <w:lang w:val="en-US" w:eastAsia="zh-CN"/>
              </w:rPr>
              <w:t>已设置。</w:t>
            </w:r>
          </w:p>
        </w:tc>
        <w:tc>
          <w:tcPr>
            <w:tcW w:w="392" w:type="pct"/>
            <w:vAlign w:val="center"/>
          </w:tcPr>
          <w:p w14:paraId="3F519EEF">
            <w:pPr>
              <w:pStyle w:val="59"/>
              <w:bidi w:val="0"/>
            </w:pPr>
            <w:r>
              <w:t>符合</w:t>
            </w:r>
          </w:p>
        </w:tc>
      </w:tr>
    </w:tbl>
    <w:p w14:paraId="44A965C5">
      <w:pPr>
        <w:bidi w:val="0"/>
      </w:pPr>
      <w:r>
        <w:t>评价分析：检查</w:t>
      </w:r>
      <w:r>
        <w:rPr>
          <w:rFonts w:hint="eastAsia"/>
          <w:lang w:val="en-US" w:eastAsia="zh-CN"/>
        </w:rPr>
        <w:t>2</w:t>
      </w:r>
      <w:r>
        <w:t>项内容，其中</w:t>
      </w:r>
      <w:r>
        <w:rPr>
          <w:rFonts w:hint="eastAsia"/>
          <w:lang w:val="en-US" w:eastAsia="zh-CN"/>
        </w:rPr>
        <w:t>2</w:t>
      </w:r>
      <w:r>
        <w:t>项合格，</w:t>
      </w:r>
      <w:r>
        <w:rPr>
          <w:rFonts w:hint="eastAsia"/>
          <w:lang w:val="en-US" w:eastAsia="zh-CN"/>
        </w:rPr>
        <w:t>0</w:t>
      </w:r>
      <w:r>
        <w:t>项不合格。</w:t>
      </w:r>
    </w:p>
    <w:p w14:paraId="75EF6B0A">
      <w:pPr>
        <w:pStyle w:val="4"/>
        <w:bidi w:val="0"/>
      </w:pPr>
      <w:bookmarkStart w:id="416" w:name="_Toc11657"/>
      <w:r>
        <w:rPr>
          <w:rFonts w:hint="eastAsia"/>
          <w:lang w:val="en-US" w:eastAsia="zh-CN"/>
        </w:rPr>
        <w:t>3.11.3</w:t>
      </w:r>
      <w:r>
        <w:t>单元小结</w:t>
      </w:r>
      <w:bookmarkEnd w:id="412"/>
      <w:bookmarkEnd w:id="413"/>
      <w:bookmarkEnd w:id="414"/>
      <w:bookmarkEnd w:id="415"/>
      <w:bookmarkEnd w:id="416"/>
    </w:p>
    <w:p w14:paraId="38A042A6">
      <w:pPr>
        <w:bidi w:val="0"/>
      </w:pPr>
      <w:r>
        <w:t>企业按相关规定在矿区矿界、采场边坡，运输道路，破碎站</w:t>
      </w:r>
      <w:r>
        <w:rPr>
          <w:rFonts w:hint="eastAsia"/>
          <w:lang w:eastAsia="zh-CN"/>
        </w:rPr>
        <w:t>、</w:t>
      </w:r>
      <w:r>
        <w:rPr>
          <w:rFonts w:hint="eastAsia"/>
          <w:lang w:val="en-US" w:eastAsia="zh-CN"/>
        </w:rPr>
        <w:t>配电设施</w:t>
      </w:r>
      <w:r>
        <w:t>等设置了相应的安全警示标志标识，经评价认为矿山安全标志单元满足安全生产要求。</w:t>
      </w:r>
    </w:p>
    <w:p w14:paraId="77299FAF">
      <w:pPr>
        <w:pStyle w:val="3"/>
      </w:pPr>
      <w:bookmarkStart w:id="417" w:name="_Toc7061"/>
      <w:bookmarkStart w:id="418" w:name="_Toc214284058"/>
      <w:bookmarkStart w:id="419" w:name="_Toc27349"/>
      <w:r>
        <w:t>3.1</w:t>
      </w:r>
      <w:r>
        <w:rPr>
          <w:rFonts w:hint="eastAsia"/>
          <w:lang w:val="en-US" w:eastAsia="zh-CN"/>
        </w:rPr>
        <w:t>2</w:t>
      </w:r>
      <w:r>
        <w:t>安全管理</w:t>
      </w:r>
      <w:bookmarkEnd w:id="417"/>
      <w:bookmarkEnd w:id="418"/>
      <w:bookmarkEnd w:id="419"/>
    </w:p>
    <w:p w14:paraId="3DB0A1FC">
      <w:pPr>
        <w:pStyle w:val="4"/>
        <w:bidi w:val="0"/>
        <w:rPr>
          <w:rFonts w:hint="eastAsia"/>
          <w:lang w:val="en-US" w:eastAsia="zh-CN"/>
        </w:rPr>
      </w:pPr>
      <w:bookmarkStart w:id="420" w:name="_Toc19382"/>
      <w:bookmarkStart w:id="421" w:name="_Toc214284059"/>
      <w:bookmarkStart w:id="422" w:name="_Toc24334"/>
      <w:bookmarkStart w:id="423" w:name="_Toc22719"/>
      <w:r>
        <w:rPr>
          <w:rFonts w:hint="eastAsia"/>
          <w:lang w:val="en-US" w:eastAsia="zh-CN"/>
        </w:rPr>
        <w:t>3.12.1</w:t>
      </w:r>
      <w:r>
        <w:t>安全管理</w:t>
      </w:r>
      <w:r>
        <w:rPr>
          <w:rFonts w:hint="eastAsia"/>
          <w:lang w:val="en-US" w:eastAsia="zh-CN"/>
        </w:rPr>
        <w:t>评价</w:t>
      </w:r>
      <w:bookmarkEnd w:id="420"/>
    </w:p>
    <w:p w14:paraId="1F877382">
      <w:pPr>
        <w:bidi w:val="0"/>
        <w:rPr>
          <w:rFonts w:hint="default" w:eastAsia="宋体"/>
          <w:lang w:val="en-US" w:eastAsia="zh-CN"/>
        </w:rPr>
      </w:pPr>
      <w:r>
        <w:rPr>
          <w:rFonts w:hint="eastAsia"/>
          <w:lang w:val="en-US" w:eastAsia="zh-CN"/>
        </w:rPr>
        <w:t>1、按</w:t>
      </w:r>
      <w:r>
        <w:t>安监总管一〔2016〕14号</w:t>
      </w:r>
      <w:r>
        <w:rPr>
          <w:rFonts w:hint="eastAsia"/>
          <w:lang w:val="en-US" w:eastAsia="zh-CN"/>
        </w:rPr>
        <w:t>文件检查</w:t>
      </w:r>
    </w:p>
    <w:p w14:paraId="3CCD7147">
      <w:pPr>
        <w:bidi w:val="0"/>
      </w:pPr>
      <w:r>
        <w:rPr>
          <w:rFonts w:hint="eastAsia"/>
          <w:lang w:val="en-US" w:eastAsia="zh-CN"/>
        </w:rPr>
        <w:t>按照</w:t>
      </w:r>
      <w:r>
        <w:t>《国家安全监管总局关于规范金属非金属矿山建设项目安全设施竣工验收工作的通知》（安监总管一〔2016〕14号</w:t>
      </w:r>
      <w:r>
        <w:rPr>
          <w:rFonts w:hint="eastAsia"/>
          <w:lang w:eastAsia="zh-CN"/>
        </w:rPr>
        <w:t>）</w:t>
      </w:r>
      <w:r>
        <w:t>《金属非金属露天矿山建设项目安全设施竣工验收表》</w:t>
      </w:r>
      <w:r>
        <w:rPr>
          <w:rFonts w:hint="eastAsia"/>
          <w:lang w:eastAsia="zh-CN"/>
        </w:rPr>
        <w:t>内容</w:t>
      </w:r>
      <w:r>
        <w:t>对</w:t>
      </w:r>
      <w:r>
        <w:rPr>
          <w:rFonts w:hint="eastAsia"/>
          <w:lang w:val="en-US" w:eastAsia="zh-CN"/>
        </w:rPr>
        <w:t>安全管理单元</w:t>
      </w:r>
      <w:r>
        <w:t>进行符合性检查。</w:t>
      </w:r>
    </w:p>
    <w:p w14:paraId="44A8E0D9">
      <w:r>
        <w:br w:type="page"/>
      </w:r>
    </w:p>
    <w:p w14:paraId="53FD4ADA">
      <w:pPr>
        <w:pStyle w:val="73"/>
        <w:bidi w:val="0"/>
        <w:rPr>
          <w:rFonts w:hint="default"/>
          <w:lang w:val="en-US" w:eastAsia="zh-CN"/>
        </w:rPr>
      </w:pPr>
      <w:r>
        <w:rPr>
          <w:rFonts w:hint="eastAsia"/>
          <w:lang w:val="en-US" w:eastAsia="zh-CN"/>
        </w:rPr>
        <w:t>表3.11-1安全管理单元安全检查表</w:t>
      </w:r>
    </w:p>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4"/>
        <w:gridCol w:w="885"/>
        <w:gridCol w:w="641"/>
        <w:gridCol w:w="709"/>
        <w:gridCol w:w="4145"/>
        <w:gridCol w:w="1846"/>
        <w:gridCol w:w="681"/>
      </w:tblGrid>
      <w:tr w14:paraId="4842B4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832" w:hRule="atLeast"/>
          <w:tblHeader/>
          <w:jc w:val="center"/>
        </w:trPr>
        <w:tc>
          <w:tcPr>
            <w:tcW w:w="346" w:type="pct"/>
            <w:noWrap w:val="0"/>
            <w:vAlign w:val="center"/>
          </w:tcPr>
          <w:p w14:paraId="1F9D336A">
            <w:pPr>
              <w:pStyle w:val="56"/>
              <w:bidi w:val="0"/>
            </w:pPr>
            <w:r>
              <w:t>序号</w:t>
            </w:r>
          </w:p>
        </w:tc>
        <w:tc>
          <w:tcPr>
            <w:tcW w:w="462" w:type="pct"/>
            <w:noWrap w:val="0"/>
            <w:vAlign w:val="center"/>
          </w:tcPr>
          <w:p w14:paraId="4EA62409">
            <w:pPr>
              <w:pStyle w:val="56"/>
              <w:bidi w:val="0"/>
            </w:pPr>
            <w:r>
              <w:t>检查项目</w:t>
            </w:r>
          </w:p>
        </w:tc>
        <w:tc>
          <w:tcPr>
            <w:tcW w:w="334" w:type="pct"/>
            <w:noWrap w:val="0"/>
            <w:vAlign w:val="center"/>
          </w:tcPr>
          <w:p w14:paraId="02E0521D">
            <w:pPr>
              <w:pStyle w:val="56"/>
              <w:bidi w:val="0"/>
            </w:pPr>
            <w:r>
              <w:t>安全设施类别</w:t>
            </w:r>
          </w:p>
        </w:tc>
        <w:tc>
          <w:tcPr>
            <w:tcW w:w="370" w:type="pct"/>
            <w:noWrap w:val="0"/>
            <w:vAlign w:val="center"/>
          </w:tcPr>
          <w:p w14:paraId="5277DB91">
            <w:pPr>
              <w:pStyle w:val="56"/>
              <w:bidi w:val="0"/>
              <w:rPr>
                <w:rFonts w:hint="eastAsia"/>
              </w:rPr>
            </w:pPr>
            <w:r>
              <w:t>检查</w:t>
            </w:r>
          </w:p>
          <w:p w14:paraId="7895D40E">
            <w:pPr>
              <w:pStyle w:val="56"/>
              <w:bidi w:val="0"/>
            </w:pPr>
            <w:r>
              <w:t>类别</w:t>
            </w:r>
          </w:p>
        </w:tc>
        <w:tc>
          <w:tcPr>
            <w:tcW w:w="2165" w:type="pct"/>
            <w:noWrap w:val="0"/>
            <w:vAlign w:val="center"/>
          </w:tcPr>
          <w:p w14:paraId="4BC5D50E">
            <w:pPr>
              <w:pStyle w:val="56"/>
              <w:bidi w:val="0"/>
            </w:pPr>
            <w:r>
              <w:t>检查内容、检查方法</w:t>
            </w:r>
          </w:p>
        </w:tc>
        <w:tc>
          <w:tcPr>
            <w:tcW w:w="964" w:type="pct"/>
            <w:noWrap w:val="0"/>
            <w:vAlign w:val="center"/>
          </w:tcPr>
          <w:p w14:paraId="78F25491">
            <w:pPr>
              <w:pStyle w:val="56"/>
              <w:bidi w:val="0"/>
              <w:rPr>
                <w:rFonts w:hint="default" w:eastAsia="宋体"/>
                <w:lang w:val="en-US" w:eastAsia="zh-CN"/>
              </w:rPr>
            </w:pPr>
            <w:r>
              <w:rPr>
                <w:rFonts w:hint="eastAsia"/>
                <w:lang w:val="en-US" w:eastAsia="zh-CN"/>
              </w:rPr>
              <w:t>检查情况</w:t>
            </w:r>
          </w:p>
        </w:tc>
        <w:tc>
          <w:tcPr>
            <w:tcW w:w="355" w:type="pct"/>
            <w:noWrap w:val="0"/>
            <w:vAlign w:val="center"/>
          </w:tcPr>
          <w:p w14:paraId="5F7D0FF6">
            <w:pPr>
              <w:pStyle w:val="56"/>
              <w:bidi w:val="0"/>
            </w:pPr>
            <w:r>
              <w:t>检查结果</w:t>
            </w:r>
          </w:p>
        </w:tc>
      </w:tr>
      <w:tr w14:paraId="63AF14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5" w:hRule="atLeast"/>
          <w:jc w:val="center"/>
        </w:trPr>
        <w:tc>
          <w:tcPr>
            <w:tcW w:w="346" w:type="pct"/>
            <w:noWrap w:val="0"/>
            <w:vAlign w:val="center"/>
          </w:tcPr>
          <w:p w14:paraId="7992B8F0">
            <w:pPr>
              <w:pStyle w:val="55"/>
              <w:bidi w:val="0"/>
            </w:pPr>
            <w:r>
              <w:t>1</w:t>
            </w:r>
          </w:p>
        </w:tc>
        <w:tc>
          <w:tcPr>
            <w:tcW w:w="462" w:type="pct"/>
            <w:noWrap w:val="0"/>
            <w:vAlign w:val="center"/>
          </w:tcPr>
          <w:p w14:paraId="7C502104">
            <w:pPr>
              <w:pStyle w:val="55"/>
              <w:bidi w:val="0"/>
            </w:pPr>
            <w:r>
              <w:t>规章制度与操作规程</w:t>
            </w:r>
          </w:p>
        </w:tc>
        <w:tc>
          <w:tcPr>
            <w:tcW w:w="334" w:type="pct"/>
            <w:noWrap w:val="0"/>
            <w:vAlign w:val="center"/>
          </w:tcPr>
          <w:p w14:paraId="36AB0B76">
            <w:pPr>
              <w:pStyle w:val="55"/>
              <w:bidi w:val="0"/>
            </w:pPr>
          </w:p>
        </w:tc>
        <w:tc>
          <w:tcPr>
            <w:tcW w:w="370" w:type="pct"/>
            <w:noWrap w:val="0"/>
            <w:vAlign w:val="center"/>
          </w:tcPr>
          <w:p w14:paraId="1E75786C">
            <w:pPr>
              <w:pStyle w:val="55"/>
              <w:bidi w:val="0"/>
            </w:pPr>
            <w:r>
              <w:t>△</w:t>
            </w:r>
          </w:p>
        </w:tc>
        <w:tc>
          <w:tcPr>
            <w:tcW w:w="2165" w:type="pct"/>
            <w:noWrap w:val="0"/>
            <w:vAlign w:val="center"/>
          </w:tcPr>
          <w:p w14:paraId="72A69B0C">
            <w:pPr>
              <w:pStyle w:val="55"/>
              <w:bidi w:val="0"/>
            </w:pPr>
            <w:r>
              <w:t>检查内容：矿山企业是否建立健全以法定代表人负责制为核心的各级安全生产责任制，健全完善安全目标管理、安全例会、安全检查、安全教育培训、生产技术管理、机电设备管理、劳动管理、安全费用提取与使用、重大危险源监控、安全生产隐患排查治理、安全技术措施审批、劳动防护用品管理、生产安全事故报告和应急管理、安全生产奖惩、安全生产档案管理等制度，以及各类安全技术规程、操作规程等。</w:t>
            </w:r>
          </w:p>
          <w:p w14:paraId="7FE8B6EB">
            <w:pPr>
              <w:pStyle w:val="55"/>
              <w:bidi w:val="0"/>
            </w:pPr>
            <w:r>
              <w:t>检查方法：抽查相关规章制度和规程。</w:t>
            </w:r>
          </w:p>
        </w:tc>
        <w:tc>
          <w:tcPr>
            <w:tcW w:w="964" w:type="pct"/>
            <w:noWrap w:val="0"/>
            <w:vAlign w:val="center"/>
          </w:tcPr>
          <w:p w14:paraId="560E9B50">
            <w:pPr>
              <w:pStyle w:val="55"/>
              <w:bidi w:val="0"/>
            </w:pPr>
            <w:r>
              <w:rPr>
                <w:rFonts w:ascii="Times New Roman" w:hAnsi="Times New Roman"/>
                <w:color w:val="auto"/>
                <w:sz w:val="21"/>
                <w:szCs w:val="21"/>
              </w:rPr>
              <w:t>矿山建立健全了各级安全生产责任制，制定了相应的安全管理制度，针对岗位及设备设施制定了安全技术操作规程。</w:t>
            </w:r>
          </w:p>
        </w:tc>
        <w:tc>
          <w:tcPr>
            <w:tcW w:w="355" w:type="pct"/>
            <w:noWrap w:val="0"/>
            <w:vAlign w:val="center"/>
          </w:tcPr>
          <w:p w14:paraId="01F0BA15">
            <w:pPr>
              <w:pStyle w:val="55"/>
              <w:bidi w:val="0"/>
              <w:rPr>
                <w:rFonts w:hint="eastAsia" w:eastAsia="宋体"/>
                <w:lang w:val="en-US" w:eastAsia="zh-CN"/>
              </w:rPr>
            </w:pPr>
            <w:r>
              <w:rPr>
                <w:rFonts w:hint="eastAsia"/>
                <w:lang w:val="en-US" w:eastAsia="zh-CN"/>
              </w:rPr>
              <w:t>符合</w:t>
            </w:r>
          </w:p>
        </w:tc>
      </w:tr>
      <w:tr w14:paraId="454E15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02" w:hRule="atLeast"/>
          <w:jc w:val="center"/>
        </w:trPr>
        <w:tc>
          <w:tcPr>
            <w:tcW w:w="346" w:type="pct"/>
            <w:noWrap w:val="0"/>
            <w:vAlign w:val="center"/>
          </w:tcPr>
          <w:p w14:paraId="30918F7F">
            <w:pPr>
              <w:pStyle w:val="55"/>
              <w:bidi w:val="0"/>
            </w:pPr>
            <w:r>
              <w:t>2</w:t>
            </w:r>
          </w:p>
        </w:tc>
        <w:tc>
          <w:tcPr>
            <w:tcW w:w="462" w:type="pct"/>
            <w:noWrap w:val="0"/>
            <w:vAlign w:val="center"/>
          </w:tcPr>
          <w:p w14:paraId="2269A8DB">
            <w:pPr>
              <w:pStyle w:val="55"/>
              <w:bidi w:val="0"/>
            </w:pPr>
            <w:r>
              <w:t>安全生产档案</w:t>
            </w:r>
          </w:p>
        </w:tc>
        <w:tc>
          <w:tcPr>
            <w:tcW w:w="334" w:type="pct"/>
            <w:noWrap w:val="0"/>
            <w:vAlign w:val="center"/>
          </w:tcPr>
          <w:p w14:paraId="27BB89FF">
            <w:pPr>
              <w:pStyle w:val="55"/>
              <w:bidi w:val="0"/>
            </w:pPr>
          </w:p>
        </w:tc>
        <w:tc>
          <w:tcPr>
            <w:tcW w:w="370" w:type="pct"/>
            <w:noWrap w:val="0"/>
            <w:vAlign w:val="center"/>
          </w:tcPr>
          <w:p w14:paraId="71CC8A76">
            <w:pPr>
              <w:pStyle w:val="55"/>
              <w:bidi w:val="0"/>
            </w:pPr>
          </w:p>
        </w:tc>
        <w:tc>
          <w:tcPr>
            <w:tcW w:w="2165" w:type="pct"/>
            <w:noWrap w:val="0"/>
            <w:vAlign w:val="center"/>
          </w:tcPr>
          <w:p w14:paraId="763D2AA3">
            <w:pPr>
              <w:pStyle w:val="55"/>
              <w:bidi w:val="0"/>
            </w:pPr>
          </w:p>
        </w:tc>
        <w:tc>
          <w:tcPr>
            <w:tcW w:w="964" w:type="pct"/>
            <w:noWrap w:val="0"/>
            <w:vAlign w:val="center"/>
          </w:tcPr>
          <w:p w14:paraId="6D00970D">
            <w:pPr>
              <w:pStyle w:val="55"/>
              <w:bidi w:val="0"/>
            </w:pPr>
          </w:p>
        </w:tc>
        <w:tc>
          <w:tcPr>
            <w:tcW w:w="355" w:type="pct"/>
            <w:noWrap w:val="0"/>
            <w:vAlign w:val="center"/>
          </w:tcPr>
          <w:p w14:paraId="064F9AB3">
            <w:pPr>
              <w:pStyle w:val="55"/>
              <w:bidi w:val="0"/>
            </w:pPr>
          </w:p>
        </w:tc>
      </w:tr>
      <w:tr w14:paraId="67E4C9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93" w:hRule="atLeast"/>
          <w:jc w:val="center"/>
        </w:trPr>
        <w:tc>
          <w:tcPr>
            <w:tcW w:w="346" w:type="pct"/>
            <w:noWrap w:val="0"/>
            <w:vAlign w:val="center"/>
          </w:tcPr>
          <w:p w14:paraId="40B526C7">
            <w:pPr>
              <w:pStyle w:val="55"/>
              <w:bidi w:val="0"/>
            </w:pPr>
            <w:r>
              <w:t>2.1</w:t>
            </w:r>
          </w:p>
        </w:tc>
        <w:tc>
          <w:tcPr>
            <w:tcW w:w="462" w:type="pct"/>
            <w:noWrap w:val="0"/>
            <w:vAlign w:val="center"/>
          </w:tcPr>
          <w:p w14:paraId="0ED66A8A">
            <w:pPr>
              <w:pStyle w:val="55"/>
              <w:bidi w:val="0"/>
            </w:pPr>
            <w:r>
              <w:t>档案类别</w:t>
            </w:r>
          </w:p>
        </w:tc>
        <w:tc>
          <w:tcPr>
            <w:tcW w:w="334" w:type="pct"/>
            <w:noWrap w:val="0"/>
            <w:vAlign w:val="center"/>
          </w:tcPr>
          <w:p w14:paraId="04D5E97F">
            <w:pPr>
              <w:pStyle w:val="55"/>
              <w:bidi w:val="0"/>
            </w:pPr>
          </w:p>
        </w:tc>
        <w:tc>
          <w:tcPr>
            <w:tcW w:w="370" w:type="pct"/>
            <w:noWrap w:val="0"/>
            <w:vAlign w:val="center"/>
          </w:tcPr>
          <w:p w14:paraId="26CEFFD9">
            <w:pPr>
              <w:pStyle w:val="55"/>
              <w:bidi w:val="0"/>
            </w:pPr>
            <w:r>
              <w:t>△</w:t>
            </w:r>
          </w:p>
        </w:tc>
        <w:tc>
          <w:tcPr>
            <w:tcW w:w="2165" w:type="pct"/>
            <w:noWrap w:val="0"/>
            <w:vAlign w:val="center"/>
          </w:tcPr>
          <w:p w14:paraId="31BB2505">
            <w:pPr>
              <w:pStyle w:val="55"/>
              <w:bidi w:val="0"/>
            </w:pPr>
            <w:r>
              <w:t>检查内容：安全生产档案是否齐全，主要包括：设计资料、竣工资料以及其他与安全生产有关的文件、资料和记录。</w:t>
            </w:r>
          </w:p>
          <w:p w14:paraId="51090B55">
            <w:pPr>
              <w:pStyle w:val="55"/>
              <w:bidi w:val="0"/>
            </w:pPr>
            <w:r>
              <w:t>检查方法：抽查安全生产档案。</w:t>
            </w:r>
          </w:p>
        </w:tc>
        <w:tc>
          <w:tcPr>
            <w:tcW w:w="964" w:type="pct"/>
            <w:noWrap w:val="0"/>
            <w:vAlign w:val="center"/>
          </w:tcPr>
          <w:p w14:paraId="72915BFF">
            <w:pPr>
              <w:pStyle w:val="55"/>
              <w:bidi w:val="0"/>
            </w:pPr>
            <w:r>
              <w:rPr>
                <w:rFonts w:ascii="Times New Roman" w:hAnsi="Times New Roman"/>
                <w:color w:val="000000" w:themeColor="text1"/>
                <w:sz w:val="21"/>
                <w:szCs w:val="21"/>
                <w14:textFill>
                  <w14:solidFill>
                    <w14:schemeClr w14:val="tx1"/>
                  </w14:solidFill>
                </w14:textFill>
              </w:rPr>
              <w:t>该项目的设计资料和竣工资料已完善，各种安全生产台账已在逐步完善。</w:t>
            </w:r>
          </w:p>
        </w:tc>
        <w:tc>
          <w:tcPr>
            <w:tcW w:w="355" w:type="pct"/>
            <w:noWrap w:val="0"/>
            <w:vAlign w:val="center"/>
          </w:tcPr>
          <w:p w14:paraId="2176D830">
            <w:pPr>
              <w:pStyle w:val="55"/>
              <w:bidi w:val="0"/>
            </w:pPr>
            <w:r>
              <w:rPr>
                <w:rFonts w:hint="eastAsia"/>
                <w:lang w:val="en-US" w:eastAsia="zh-CN"/>
              </w:rPr>
              <w:t>符合</w:t>
            </w:r>
          </w:p>
        </w:tc>
      </w:tr>
      <w:tr w14:paraId="0237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 w:type="pct"/>
            <w:noWrap w:val="0"/>
            <w:vAlign w:val="center"/>
          </w:tcPr>
          <w:p w14:paraId="631992CB">
            <w:pPr>
              <w:pStyle w:val="55"/>
              <w:bidi w:val="0"/>
            </w:pPr>
            <w:r>
              <w:t>2.2</w:t>
            </w:r>
          </w:p>
        </w:tc>
        <w:tc>
          <w:tcPr>
            <w:tcW w:w="462" w:type="pct"/>
            <w:noWrap w:val="0"/>
            <w:vAlign w:val="center"/>
          </w:tcPr>
          <w:p w14:paraId="17A9C373">
            <w:pPr>
              <w:pStyle w:val="55"/>
              <w:bidi w:val="0"/>
            </w:pPr>
            <w:r>
              <w:t>图纸资料</w:t>
            </w:r>
          </w:p>
        </w:tc>
        <w:tc>
          <w:tcPr>
            <w:tcW w:w="334" w:type="pct"/>
            <w:noWrap w:val="0"/>
            <w:vAlign w:val="center"/>
          </w:tcPr>
          <w:p w14:paraId="5B0E99D4">
            <w:pPr>
              <w:pStyle w:val="55"/>
              <w:bidi w:val="0"/>
            </w:pPr>
          </w:p>
        </w:tc>
        <w:tc>
          <w:tcPr>
            <w:tcW w:w="370" w:type="pct"/>
            <w:noWrap w:val="0"/>
            <w:vAlign w:val="center"/>
          </w:tcPr>
          <w:p w14:paraId="0EAA1BC2">
            <w:pPr>
              <w:pStyle w:val="55"/>
              <w:bidi w:val="0"/>
            </w:pPr>
            <w:r>
              <w:t>△</w:t>
            </w:r>
          </w:p>
        </w:tc>
        <w:tc>
          <w:tcPr>
            <w:tcW w:w="2165" w:type="pct"/>
            <w:noWrap w:val="0"/>
            <w:vAlign w:val="center"/>
          </w:tcPr>
          <w:p w14:paraId="25C52B36">
            <w:pPr>
              <w:pStyle w:val="55"/>
              <w:bidi w:val="0"/>
            </w:pPr>
            <w:r>
              <w:t>检查内容：矿山企业是否具备下列图纸，并根据实际情况的变化及时更新：矿区地形地质图，采剥工程年末图，防排水系统及排水设备布置图。</w:t>
            </w:r>
          </w:p>
          <w:p w14:paraId="20908A6E">
            <w:pPr>
              <w:pStyle w:val="55"/>
              <w:bidi w:val="0"/>
            </w:pPr>
            <w:r>
              <w:t>检查方法：抽查相关图纸。</w:t>
            </w:r>
          </w:p>
        </w:tc>
        <w:tc>
          <w:tcPr>
            <w:tcW w:w="964" w:type="pct"/>
            <w:noWrap w:val="0"/>
            <w:vAlign w:val="center"/>
          </w:tcPr>
          <w:p w14:paraId="2BB68AF7">
            <w:pPr>
              <w:spacing w:line="240" w:lineRule="auto"/>
              <w:ind w:firstLine="0" w:firstLineChars="0"/>
            </w:pPr>
            <w:r>
              <w:rPr>
                <w:rFonts w:ascii="Times New Roman" w:hAnsi="Times New Roman"/>
                <w:color w:val="000000" w:themeColor="text1"/>
                <w:sz w:val="21"/>
                <w:szCs w:val="21"/>
                <w14:textFill>
                  <w14:solidFill>
                    <w14:schemeClr w14:val="tx1"/>
                  </w14:solidFill>
                </w14:textFill>
              </w:rPr>
              <w:t>目前矿山处于基建阶段，只有露天开采基建终了竣工图，企业后续将根据实际情况的变化及时更新相关图纸。</w:t>
            </w:r>
          </w:p>
        </w:tc>
        <w:tc>
          <w:tcPr>
            <w:tcW w:w="355" w:type="pct"/>
            <w:noWrap w:val="0"/>
            <w:vAlign w:val="center"/>
          </w:tcPr>
          <w:p w14:paraId="47178FBE">
            <w:pPr>
              <w:pStyle w:val="55"/>
              <w:bidi w:val="0"/>
            </w:pPr>
            <w:r>
              <w:rPr>
                <w:rFonts w:hint="eastAsia"/>
                <w:lang w:val="en-US" w:eastAsia="zh-CN"/>
              </w:rPr>
              <w:t>符合</w:t>
            </w:r>
          </w:p>
        </w:tc>
      </w:tr>
      <w:tr w14:paraId="058558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46" w:type="pct"/>
            <w:noWrap w:val="0"/>
            <w:vAlign w:val="center"/>
          </w:tcPr>
          <w:p w14:paraId="5762BF71">
            <w:pPr>
              <w:pStyle w:val="55"/>
              <w:bidi w:val="0"/>
            </w:pPr>
            <w:r>
              <w:t>3</w:t>
            </w:r>
          </w:p>
        </w:tc>
        <w:tc>
          <w:tcPr>
            <w:tcW w:w="462" w:type="pct"/>
            <w:noWrap w:val="0"/>
            <w:vAlign w:val="center"/>
          </w:tcPr>
          <w:p w14:paraId="497E44E8">
            <w:pPr>
              <w:pStyle w:val="55"/>
              <w:bidi w:val="0"/>
            </w:pPr>
            <w:r>
              <w:t>教育培训</w:t>
            </w:r>
          </w:p>
        </w:tc>
        <w:tc>
          <w:tcPr>
            <w:tcW w:w="334" w:type="pct"/>
            <w:noWrap w:val="0"/>
            <w:vAlign w:val="center"/>
          </w:tcPr>
          <w:p w14:paraId="19CB96C6">
            <w:pPr>
              <w:pStyle w:val="55"/>
              <w:bidi w:val="0"/>
            </w:pPr>
          </w:p>
        </w:tc>
        <w:tc>
          <w:tcPr>
            <w:tcW w:w="370" w:type="pct"/>
            <w:noWrap w:val="0"/>
            <w:vAlign w:val="center"/>
          </w:tcPr>
          <w:p w14:paraId="7B4C341F">
            <w:pPr>
              <w:pStyle w:val="55"/>
              <w:bidi w:val="0"/>
            </w:pPr>
            <w:r>
              <w:t>△</w:t>
            </w:r>
          </w:p>
        </w:tc>
        <w:tc>
          <w:tcPr>
            <w:tcW w:w="2165" w:type="pct"/>
            <w:noWrap w:val="0"/>
            <w:vAlign w:val="center"/>
          </w:tcPr>
          <w:p w14:paraId="40EFB995">
            <w:pPr>
              <w:pStyle w:val="55"/>
              <w:bidi w:val="0"/>
              <w:rPr>
                <w:rFonts w:hint="eastAsia"/>
              </w:rPr>
            </w:pPr>
            <w:r>
              <w:t>检查内容：矿山企业是否对职工进行安全生产教育和培训，未经安全生产教育和培训合格的不应上岗作业</w:t>
            </w:r>
            <w:r>
              <w:rPr>
                <w:rFonts w:hint="eastAsia"/>
              </w:rPr>
              <w:t>；</w:t>
            </w:r>
            <w:r>
              <w:t>新进露天矿山的作业人员，</w:t>
            </w:r>
            <w:r>
              <w:rPr>
                <w:rFonts w:hint="eastAsia"/>
              </w:rPr>
              <w:t>是否进行了</w:t>
            </w:r>
            <w:r>
              <w:t>不少于40h的安全教育，</w:t>
            </w:r>
            <w:r>
              <w:rPr>
                <w:rFonts w:hint="eastAsia"/>
              </w:rPr>
              <w:t>并经</w:t>
            </w:r>
            <w:r>
              <w:t>考试合格</w:t>
            </w:r>
            <w:r>
              <w:rPr>
                <w:rFonts w:hint="eastAsia"/>
              </w:rPr>
              <w:t>；</w:t>
            </w:r>
            <w:r>
              <w:t>调换工种的人员，</w:t>
            </w:r>
            <w:r>
              <w:rPr>
                <w:rFonts w:hint="eastAsia"/>
              </w:rPr>
              <w:t>是否</w:t>
            </w:r>
            <w:r>
              <w:t>进行</w:t>
            </w:r>
            <w:r>
              <w:rPr>
                <w:rFonts w:hint="eastAsia"/>
              </w:rPr>
              <w:t>了</w:t>
            </w:r>
            <w:r>
              <w:t>新岗位安全操作的培训。</w:t>
            </w:r>
          </w:p>
          <w:p w14:paraId="42A66AF0">
            <w:pPr>
              <w:pStyle w:val="55"/>
              <w:bidi w:val="0"/>
            </w:pPr>
            <w:r>
              <w:t>检查方法：抽查培训资料。</w:t>
            </w:r>
          </w:p>
        </w:tc>
        <w:tc>
          <w:tcPr>
            <w:tcW w:w="964" w:type="pct"/>
            <w:noWrap w:val="0"/>
            <w:vAlign w:val="center"/>
          </w:tcPr>
          <w:p w14:paraId="737509B9">
            <w:pPr>
              <w:pStyle w:val="55"/>
              <w:bidi w:val="0"/>
              <w:ind w:firstLine="0" w:firstLineChars="0"/>
            </w:pPr>
            <w:r>
              <w:rPr>
                <w:rFonts w:ascii="Times New Roman" w:hAnsi="Times New Roman"/>
                <w:color w:val="auto"/>
                <w:sz w:val="21"/>
                <w:szCs w:val="21"/>
              </w:rPr>
              <w:t>依据企业提供的安全教育培训记录台账，对矿山所有职工进行教育培训，培训学时满足要求。</w:t>
            </w:r>
          </w:p>
        </w:tc>
        <w:tc>
          <w:tcPr>
            <w:tcW w:w="355" w:type="pct"/>
            <w:noWrap w:val="0"/>
            <w:vAlign w:val="center"/>
          </w:tcPr>
          <w:p w14:paraId="4D4053A1">
            <w:pPr>
              <w:pStyle w:val="55"/>
              <w:bidi w:val="0"/>
            </w:pPr>
            <w:r>
              <w:rPr>
                <w:rFonts w:hint="eastAsia"/>
                <w:lang w:val="en-US" w:eastAsia="zh-CN"/>
              </w:rPr>
              <w:t>符合</w:t>
            </w:r>
          </w:p>
        </w:tc>
      </w:tr>
      <w:tr w14:paraId="2E1910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0" w:hRule="atLeast"/>
          <w:jc w:val="center"/>
        </w:trPr>
        <w:tc>
          <w:tcPr>
            <w:tcW w:w="346" w:type="pct"/>
            <w:noWrap w:val="0"/>
            <w:vAlign w:val="center"/>
          </w:tcPr>
          <w:p w14:paraId="15E2555A">
            <w:pPr>
              <w:pStyle w:val="55"/>
              <w:bidi w:val="0"/>
            </w:pPr>
            <w:r>
              <w:rPr>
                <w:rFonts w:hint="eastAsia"/>
              </w:rPr>
              <w:t>4</w:t>
            </w:r>
          </w:p>
        </w:tc>
        <w:tc>
          <w:tcPr>
            <w:tcW w:w="462" w:type="pct"/>
            <w:noWrap w:val="0"/>
            <w:vAlign w:val="center"/>
          </w:tcPr>
          <w:p w14:paraId="281F78BC">
            <w:pPr>
              <w:pStyle w:val="55"/>
              <w:bidi w:val="0"/>
            </w:pPr>
            <w:r>
              <w:t>安全管理机构及人员资格</w:t>
            </w:r>
          </w:p>
        </w:tc>
        <w:tc>
          <w:tcPr>
            <w:tcW w:w="334" w:type="pct"/>
            <w:noWrap w:val="0"/>
            <w:vAlign w:val="center"/>
          </w:tcPr>
          <w:p w14:paraId="7D991D57">
            <w:pPr>
              <w:pStyle w:val="55"/>
              <w:bidi w:val="0"/>
            </w:pPr>
          </w:p>
        </w:tc>
        <w:tc>
          <w:tcPr>
            <w:tcW w:w="370" w:type="pct"/>
            <w:noWrap w:val="0"/>
            <w:vAlign w:val="center"/>
          </w:tcPr>
          <w:p w14:paraId="71DDD746">
            <w:pPr>
              <w:pStyle w:val="55"/>
              <w:bidi w:val="0"/>
            </w:pPr>
          </w:p>
        </w:tc>
        <w:tc>
          <w:tcPr>
            <w:tcW w:w="2165" w:type="pct"/>
            <w:noWrap w:val="0"/>
            <w:vAlign w:val="center"/>
          </w:tcPr>
          <w:p w14:paraId="40DAED05">
            <w:pPr>
              <w:pStyle w:val="55"/>
              <w:bidi w:val="0"/>
            </w:pPr>
          </w:p>
        </w:tc>
        <w:tc>
          <w:tcPr>
            <w:tcW w:w="964" w:type="pct"/>
            <w:noWrap w:val="0"/>
            <w:vAlign w:val="center"/>
          </w:tcPr>
          <w:p w14:paraId="776DDC50">
            <w:pPr>
              <w:pStyle w:val="55"/>
              <w:bidi w:val="0"/>
            </w:pPr>
          </w:p>
        </w:tc>
        <w:tc>
          <w:tcPr>
            <w:tcW w:w="355" w:type="pct"/>
            <w:noWrap w:val="0"/>
            <w:vAlign w:val="center"/>
          </w:tcPr>
          <w:p w14:paraId="15A98D6B">
            <w:pPr>
              <w:pStyle w:val="55"/>
              <w:bidi w:val="0"/>
            </w:pPr>
          </w:p>
        </w:tc>
      </w:tr>
      <w:tr w14:paraId="550021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70" w:hRule="atLeast"/>
          <w:jc w:val="center"/>
        </w:trPr>
        <w:tc>
          <w:tcPr>
            <w:tcW w:w="346" w:type="pct"/>
            <w:noWrap w:val="0"/>
            <w:vAlign w:val="center"/>
          </w:tcPr>
          <w:p w14:paraId="7483CF01">
            <w:pPr>
              <w:pStyle w:val="55"/>
              <w:bidi w:val="0"/>
            </w:pPr>
            <w:r>
              <w:rPr>
                <w:rFonts w:hint="eastAsia"/>
              </w:rPr>
              <w:t>4</w:t>
            </w:r>
            <w:r>
              <w:t>.1</w:t>
            </w:r>
          </w:p>
        </w:tc>
        <w:tc>
          <w:tcPr>
            <w:tcW w:w="462" w:type="pct"/>
            <w:noWrap w:val="0"/>
            <w:vAlign w:val="center"/>
          </w:tcPr>
          <w:p w14:paraId="3EA5281E">
            <w:pPr>
              <w:pStyle w:val="55"/>
              <w:bidi w:val="0"/>
            </w:pPr>
            <w:r>
              <w:t>安全管理机构</w:t>
            </w:r>
          </w:p>
        </w:tc>
        <w:tc>
          <w:tcPr>
            <w:tcW w:w="334" w:type="pct"/>
            <w:noWrap w:val="0"/>
            <w:vAlign w:val="center"/>
          </w:tcPr>
          <w:p w14:paraId="10072FC3">
            <w:pPr>
              <w:pStyle w:val="55"/>
              <w:bidi w:val="0"/>
            </w:pPr>
          </w:p>
        </w:tc>
        <w:tc>
          <w:tcPr>
            <w:tcW w:w="370" w:type="pct"/>
            <w:noWrap w:val="0"/>
            <w:vAlign w:val="center"/>
          </w:tcPr>
          <w:p w14:paraId="4DD51EA6">
            <w:pPr>
              <w:pStyle w:val="55"/>
              <w:bidi w:val="0"/>
            </w:pPr>
            <w:r>
              <w:t>■</w:t>
            </w:r>
          </w:p>
        </w:tc>
        <w:tc>
          <w:tcPr>
            <w:tcW w:w="2165" w:type="pct"/>
            <w:noWrap w:val="0"/>
            <w:vAlign w:val="center"/>
          </w:tcPr>
          <w:p w14:paraId="35344FE9">
            <w:pPr>
              <w:pStyle w:val="55"/>
              <w:bidi w:val="0"/>
            </w:pPr>
            <w:r>
              <w:t>检查内容：矿山企业是否设置安全生产管理机构或者配备专职安全生产管理人员。</w:t>
            </w:r>
          </w:p>
          <w:p w14:paraId="1E25A894">
            <w:pPr>
              <w:pStyle w:val="55"/>
              <w:bidi w:val="0"/>
            </w:pPr>
            <w:r>
              <w:t>检查方法：查阅企业安全管理机构设置文件及安全管理人员任职文件。</w:t>
            </w:r>
          </w:p>
        </w:tc>
        <w:tc>
          <w:tcPr>
            <w:tcW w:w="964" w:type="pct"/>
            <w:noWrap w:val="0"/>
            <w:vAlign w:val="center"/>
          </w:tcPr>
          <w:p w14:paraId="6134472A">
            <w:pPr>
              <w:spacing w:line="240" w:lineRule="auto"/>
              <w:ind w:firstLine="0" w:firstLineChars="0"/>
              <w:rPr>
                <w:color w:val="auto"/>
              </w:rPr>
            </w:pPr>
            <w:r>
              <w:rPr>
                <w:rFonts w:ascii="Times New Roman" w:hAnsi="Times New Roman"/>
                <w:color w:val="auto"/>
                <w:sz w:val="21"/>
                <w:szCs w:val="21"/>
              </w:rPr>
              <w:t>矿山设置了安全</w:t>
            </w:r>
            <w:r>
              <w:rPr>
                <w:rFonts w:hint="eastAsia" w:ascii="Times New Roman" w:hAnsi="Times New Roman"/>
                <w:color w:val="auto"/>
                <w:sz w:val="21"/>
                <w:szCs w:val="21"/>
                <w:lang w:val="en-US" w:eastAsia="zh-CN"/>
              </w:rPr>
              <w:t>生产领导小组</w:t>
            </w:r>
            <w:r>
              <w:rPr>
                <w:rFonts w:ascii="Times New Roman" w:hAnsi="Times New Roman"/>
                <w:color w:val="auto"/>
                <w:sz w:val="21"/>
                <w:szCs w:val="21"/>
              </w:rPr>
              <w:t>，</w:t>
            </w:r>
            <w:r>
              <w:rPr>
                <w:rFonts w:hint="eastAsia" w:ascii="Times New Roman" w:hAnsi="Times New Roman"/>
                <w:color w:val="auto"/>
                <w:sz w:val="21"/>
                <w:szCs w:val="21"/>
                <w:lang w:val="en-US" w:eastAsia="zh-CN"/>
              </w:rPr>
              <w:t>由安全环保部负责日常安全管理工作，</w:t>
            </w:r>
            <w:r>
              <w:rPr>
                <w:rFonts w:ascii="Times New Roman" w:hAnsi="Times New Roman"/>
                <w:color w:val="auto"/>
                <w:sz w:val="21"/>
                <w:szCs w:val="21"/>
              </w:rPr>
              <w:t>任命了专职安全生产管理人员。</w:t>
            </w:r>
          </w:p>
        </w:tc>
        <w:tc>
          <w:tcPr>
            <w:tcW w:w="355" w:type="pct"/>
            <w:noWrap w:val="0"/>
            <w:vAlign w:val="center"/>
          </w:tcPr>
          <w:p w14:paraId="42D1BE04">
            <w:pPr>
              <w:pStyle w:val="55"/>
              <w:bidi w:val="0"/>
            </w:pPr>
            <w:r>
              <w:rPr>
                <w:rFonts w:hint="eastAsia"/>
                <w:lang w:val="en-US" w:eastAsia="zh-CN"/>
              </w:rPr>
              <w:t>符合</w:t>
            </w:r>
          </w:p>
        </w:tc>
      </w:tr>
      <w:tr w14:paraId="160213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1" w:hRule="atLeast"/>
          <w:jc w:val="center"/>
        </w:trPr>
        <w:tc>
          <w:tcPr>
            <w:tcW w:w="346" w:type="pct"/>
            <w:noWrap w:val="0"/>
            <w:vAlign w:val="center"/>
          </w:tcPr>
          <w:p w14:paraId="15F1A075">
            <w:pPr>
              <w:pStyle w:val="55"/>
              <w:bidi w:val="0"/>
            </w:pPr>
            <w:r>
              <w:rPr>
                <w:rFonts w:hint="eastAsia"/>
              </w:rPr>
              <w:t>4</w:t>
            </w:r>
            <w:r>
              <w:t>.</w:t>
            </w:r>
            <w:r>
              <w:rPr>
                <w:rFonts w:hint="eastAsia"/>
              </w:rPr>
              <w:t>2</w:t>
            </w:r>
          </w:p>
        </w:tc>
        <w:tc>
          <w:tcPr>
            <w:tcW w:w="462" w:type="pct"/>
            <w:noWrap w:val="0"/>
            <w:vAlign w:val="center"/>
          </w:tcPr>
          <w:p w14:paraId="4E55FF15">
            <w:pPr>
              <w:pStyle w:val="55"/>
              <w:bidi w:val="0"/>
            </w:pPr>
            <w:r>
              <w:t>特种作业人员</w:t>
            </w:r>
          </w:p>
        </w:tc>
        <w:tc>
          <w:tcPr>
            <w:tcW w:w="334" w:type="pct"/>
            <w:noWrap w:val="0"/>
            <w:vAlign w:val="center"/>
          </w:tcPr>
          <w:p w14:paraId="049BDE09">
            <w:pPr>
              <w:pStyle w:val="55"/>
              <w:bidi w:val="0"/>
            </w:pPr>
          </w:p>
        </w:tc>
        <w:tc>
          <w:tcPr>
            <w:tcW w:w="370" w:type="pct"/>
            <w:noWrap w:val="0"/>
            <w:vAlign w:val="center"/>
          </w:tcPr>
          <w:p w14:paraId="73316AA5">
            <w:pPr>
              <w:pStyle w:val="55"/>
              <w:bidi w:val="0"/>
            </w:pPr>
            <w:r>
              <w:t>△</w:t>
            </w:r>
          </w:p>
        </w:tc>
        <w:tc>
          <w:tcPr>
            <w:tcW w:w="2165" w:type="pct"/>
            <w:noWrap w:val="0"/>
            <w:vAlign w:val="center"/>
          </w:tcPr>
          <w:p w14:paraId="7E592F13">
            <w:pPr>
              <w:pStyle w:val="55"/>
              <w:bidi w:val="0"/>
            </w:pPr>
            <w:r>
              <w:t>检查内容：特种作业人员是否按照国家有关规定经专门的安全作业培训，取得相应资格。</w:t>
            </w:r>
          </w:p>
          <w:p w14:paraId="4C7FADD5">
            <w:pPr>
              <w:pStyle w:val="55"/>
              <w:bidi w:val="0"/>
            </w:pPr>
            <w:r>
              <w:t>检查方法：查阅特种作业人员的资格证书。</w:t>
            </w:r>
          </w:p>
        </w:tc>
        <w:tc>
          <w:tcPr>
            <w:tcW w:w="964" w:type="pct"/>
            <w:noWrap w:val="0"/>
            <w:vAlign w:val="center"/>
          </w:tcPr>
          <w:p w14:paraId="601D24B3">
            <w:pPr>
              <w:spacing w:line="240" w:lineRule="auto"/>
              <w:ind w:firstLine="0" w:firstLineChars="0"/>
              <w:rPr>
                <w:color w:val="auto"/>
              </w:rPr>
            </w:pPr>
            <w:r>
              <w:rPr>
                <w:rFonts w:ascii="Times New Roman" w:hAnsi="Times New Roman"/>
                <w:color w:val="auto"/>
                <w:sz w:val="21"/>
                <w:szCs w:val="21"/>
              </w:rPr>
              <w:t>矿山配置电工，并持有电工、焊工特种作业证。</w:t>
            </w:r>
          </w:p>
        </w:tc>
        <w:tc>
          <w:tcPr>
            <w:tcW w:w="355" w:type="pct"/>
            <w:noWrap w:val="0"/>
            <w:vAlign w:val="center"/>
          </w:tcPr>
          <w:p w14:paraId="2E98D88C">
            <w:pPr>
              <w:pStyle w:val="55"/>
              <w:bidi w:val="0"/>
            </w:pPr>
            <w:r>
              <w:rPr>
                <w:rFonts w:hint="eastAsia"/>
                <w:lang w:val="en-US" w:eastAsia="zh-CN"/>
              </w:rPr>
              <w:t>符合</w:t>
            </w:r>
          </w:p>
        </w:tc>
      </w:tr>
      <w:tr w14:paraId="588A35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46" w:hRule="atLeast"/>
          <w:jc w:val="center"/>
        </w:trPr>
        <w:tc>
          <w:tcPr>
            <w:tcW w:w="346" w:type="pct"/>
            <w:noWrap w:val="0"/>
            <w:vAlign w:val="center"/>
          </w:tcPr>
          <w:p w14:paraId="590B617C">
            <w:pPr>
              <w:pStyle w:val="55"/>
              <w:bidi w:val="0"/>
            </w:pPr>
            <w:r>
              <w:rPr>
                <w:rFonts w:hint="eastAsia"/>
              </w:rPr>
              <w:t>5</w:t>
            </w:r>
          </w:p>
        </w:tc>
        <w:tc>
          <w:tcPr>
            <w:tcW w:w="462" w:type="pct"/>
            <w:noWrap w:val="0"/>
            <w:vAlign w:val="center"/>
          </w:tcPr>
          <w:p w14:paraId="1E46BFEB">
            <w:pPr>
              <w:pStyle w:val="55"/>
              <w:bidi w:val="0"/>
            </w:pPr>
            <w:r>
              <w:t>个体防护</w:t>
            </w:r>
          </w:p>
        </w:tc>
        <w:tc>
          <w:tcPr>
            <w:tcW w:w="334" w:type="pct"/>
            <w:noWrap w:val="0"/>
            <w:vAlign w:val="center"/>
          </w:tcPr>
          <w:p w14:paraId="7ACD22FE">
            <w:pPr>
              <w:pStyle w:val="55"/>
              <w:bidi w:val="0"/>
            </w:pPr>
          </w:p>
        </w:tc>
        <w:tc>
          <w:tcPr>
            <w:tcW w:w="370" w:type="pct"/>
            <w:noWrap w:val="0"/>
            <w:vAlign w:val="center"/>
          </w:tcPr>
          <w:p w14:paraId="33B2A045">
            <w:pPr>
              <w:pStyle w:val="55"/>
              <w:bidi w:val="0"/>
            </w:pPr>
            <w:r>
              <w:t>△</w:t>
            </w:r>
          </w:p>
        </w:tc>
        <w:tc>
          <w:tcPr>
            <w:tcW w:w="2165" w:type="pct"/>
            <w:noWrap w:val="0"/>
            <w:vAlign w:val="center"/>
          </w:tcPr>
          <w:p w14:paraId="71316793">
            <w:pPr>
              <w:pStyle w:val="55"/>
              <w:bidi w:val="0"/>
            </w:pPr>
            <w:r>
              <w:t>检查内容：矿山企业是否为从业人员提供符合国家标准或者行业标准的劳动防护用品，并监督、教育从业人员按照使用规则佩戴、使用。</w:t>
            </w:r>
          </w:p>
          <w:p w14:paraId="147E2FD4">
            <w:pPr>
              <w:pStyle w:val="55"/>
              <w:bidi w:val="0"/>
            </w:pPr>
            <w:r>
              <w:t>检查方法：查阅台账和发放记录，现场抽查佩戴使用情况。</w:t>
            </w:r>
          </w:p>
        </w:tc>
        <w:tc>
          <w:tcPr>
            <w:tcW w:w="964" w:type="pct"/>
            <w:noWrap w:val="0"/>
            <w:vAlign w:val="center"/>
          </w:tcPr>
          <w:p w14:paraId="72AAE6F7">
            <w:pPr>
              <w:pStyle w:val="55"/>
              <w:bidi w:val="0"/>
              <w:ind w:firstLine="0" w:firstLineChars="0"/>
              <w:rPr>
                <w:color w:val="auto"/>
              </w:rPr>
            </w:pPr>
            <w:r>
              <w:rPr>
                <w:color w:val="auto"/>
              </w:rPr>
              <w:t>矿山为从业人员</w:t>
            </w:r>
            <w:r>
              <w:rPr>
                <w:rFonts w:hint="eastAsia"/>
                <w:color w:val="auto"/>
                <w:lang w:val="en-US" w:eastAsia="zh-CN"/>
              </w:rPr>
              <w:t>每月发放</w:t>
            </w:r>
            <w:r>
              <w:rPr>
                <w:color w:val="auto"/>
              </w:rPr>
              <w:t>符合国家标准或者行业标准的劳动防护用品，佩戴使用情况</w:t>
            </w:r>
            <w:r>
              <w:rPr>
                <w:rFonts w:hint="eastAsia"/>
                <w:color w:val="auto"/>
                <w:lang w:val="en-US" w:eastAsia="zh-CN"/>
              </w:rPr>
              <w:t>有记录</w:t>
            </w:r>
            <w:r>
              <w:rPr>
                <w:color w:val="auto"/>
              </w:rPr>
              <w:t>。</w:t>
            </w:r>
          </w:p>
        </w:tc>
        <w:tc>
          <w:tcPr>
            <w:tcW w:w="355" w:type="pct"/>
            <w:noWrap w:val="0"/>
            <w:vAlign w:val="center"/>
          </w:tcPr>
          <w:p w14:paraId="22C03DA0">
            <w:pPr>
              <w:pStyle w:val="55"/>
              <w:bidi w:val="0"/>
            </w:pPr>
            <w:r>
              <w:rPr>
                <w:rFonts w:hint="eastAsia"/>
                <w:lang w:val="en-US" w:eastAsia="zh-CN"/>
              </w:rPr>
              <w:t>符合</w:t>
            </w:r>
          </w:p>
        </w:tc>
      </w:tr>
      <w:tr w14:paraId="672F69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610" w:hRule="atLeast"/>
          <w:jc w:val="center"/>
        </w:trPr>
        <w:tc>
          <w:tcPr>
            <w:tcW w:w="346" w:type="pct"/>
            <w:noWrap w:val="0"/>
            <w:vAlign w:val="center"/>
          </w:tcPr>
          <w:p w14:paraId="5C04BE49">
            <w:pPr>
              <w:pStyle w:val="55"/>
              <w:bidi w:val="0"/>
            </w:pPr>
            <w:r>
              <w:rPr>
                <w:rFonts w:hint="eastAsia"/>
              </w:rPr>
              <w:t>6</w:t>
            </w:r>
          </w:p>
        </w:tc>
        <w:tc>
          <w:tcPr>
            <w:tcW w:w="462" w:type="pct"/>
            <w:noWrap w:val="0"/>
            <w:vAlign w:val="center"/>
          </w:tcPr>
          <w:p w14:paraId="53FE4EDD">
            <w:pPr>
              <w:pStyle w:val="55"/>
              <w:bidi w:val="0"/>
            </w:pPr>
            <w:r>
              <w:t>安全标志</w:t>
            </w:r>
          </w:p>
        </w:tc>
        <w:tc>
          <w:tcPr>
            <w:tcW w:w="334" w:type="pct"/>
            <w:noWrap w:val="0"/>
            <w:vAlign w:val="center"/>
          </w:tcPr>
          <w:p w14:paraId="08CD283D">
            <w:pPr>
              <w:pStyle w:val="55"/>
              <w:bidi w:val="0"/>
            </w:pPr>
          </w:p>
        </w:tc>
        <w:tc>
          <w:tcPr>
            <w:tcW w:w="370" w:type="pct"/>
            <w:noWrap w:val="0"/>
            <w:vAlign w:val="center"/>
          </w:tcPr>
          <w:p w14:paraId="01080361">
            <w:pPr>
              <w:pStyle w:val="55"/>
              <w:bidi w:val="0"/>
            </w:pPr>
            <w:r>
              <w:t>△</w:t>
            </w:r>
          </w:p>
        </w:tc>
        <w:tc>
          <w:tcPr>
            <w:tcW w:w="2165" w:type="pct"/>
            <w:noWrap w:val="0"/>
            <w:vAlign w:val="center"/>
          </w:tcPr>
          <w:p w14:paraId="5C44C73D">
            <w:pPr>
              <w:pStyle w:val="55"/>
              <w:bidi w:val="0"/>
            </w:pPr>
            <w:r>
              <w:t>检查内容：矿山企业的要害岗位、重要设备和设施及危险区域，是否根据其可能出现的事故模式，设施相应的符合GB14161要求的安全警示标志。</w:t>
            </w:r>
          </w:p>
          <w:p w14:paraId="76E3F881">
            <w:pPr>
              <w:pStyle w:val="55"/>
              <w:bidi w:val="0"/>
            </w:pPr>
            <w:r>
              <w:t>检查方法：现场抽查。</w:t>
            </w:r>
          </w:p>
        </w:tc>
        <w:tc>
          <w:tcPr>
            <w:tcW w:w="964" w:type="pct"/>
            <w:noWrap w:val="0"/>
            <w:vAlign w:val="center"/>
          </w:tcPr>
          <w:p w14:paraId="1A48A309">
            <w:pPr>
              <w:pStyle w:val="55"/>
              <w:bidi w:val="0"/>
              <w:ind w:firstLine="0" w:firstLineChars="0"/>
              <w:rPr>
                <w:color w:val="auto"/>
              </w:rPr>
            </w:pPr>
            <w:r>
              <w:rPr>
                <w:color w:val="auto"/>
              </w:rPr>
              <w:t>矿山</w:t>
            </w:r>
            <w:r>
              <w:rPr>
                <w:rFonts w:hint="eastAsia"/>
                <w:color w:val="auto"/>
                <w:lang w:val="en-US" w:eastAsia="zh-CN"/>
              </w:rPr>
              <w:t>按照安全设施设计</w:t>
            </w:r>
            <w:r>
              <w:rPr>
                <w:rFonts w:hint="eastAsia"/>
                <w:color w:val="auto"/>
                <w:lang w:eastAsia="zh-CN"/>
              </w:rPr>
              <w:t>设置</w:t>
            </w:r>
            <w:r>
              <w:rPr>
                <w:color w:val="auto"/>
              </w:rPr>
              <w:t>相安全警示标志。</w:t>
            </w:r>
          </w:p>
        </w:tc>
        <w:tc>
          <w:tcPr>
            <w:tcW w:w="355" w:type="pct"/>
            <w:noWrap w:val="0"/>
            <w:vAlign w:val="center"/>
          </w:tcPr>
          <w:p w14:paraId="5F2C6F1F">
            <w:pPr>
              <w:pStyle w:val="55"/>
              <w:bidi w:val="0"/>
            </w:pPr>
            <w:r>
              <w:rPr>
                <w:rFonts w:hint="eastAsia"/>
                <w:lang w:val="en-US" w:eastAsia="zh-CN"/>
              </w:rPr>
              <w:t>符合</w:t>
            </w:r>
          </w:p>
        </w:tc>
      </w:tr>
      <w:tr w14:paraId="3DCF6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10" w:hRule="atLeast"/>
          <w:jc w:val="center"/>
        </w:trPr>
        <w:tc>
          <w:tcPr>
            <w:tcW w:w="346" w:type="pct"/>
            <w:noWrap w:val="0"/>
            <w:vAlign w:val="center"/>
          </w:tcPr>
          <w:p w14:paraId="3094258A">
            <w:pPr>
              <w:pStyle w:val="55"/>
              <w:bidi w:val="0"/>
            </w:pPr>
            <w:r>
              <w:rPr>
                <w:rFonts w:hint="eastAsia"/>
              </w:rPr>
              <w:t>7</w:t>
            </w:r>
          </w:p>
        </w:tc>
        <w:tc>
          <w:tcPr>
            <w:tcW w:w="462" w:type="pct"/>
            <w:noWrap w:val="0"/>
            <w:vAlign w:val="center"/>
          </w:tcPr>
          <w:p w14:paraId="7363BAF3">
            <w:pPr>
              <w:pStyle w:val="55"/>
              <w:bidi w:val="0"/>
            </w:pPr>
            <w:r>
              <w:t>工伤保险</w:t>
            </w:r>
          </w:p>
        </w:tc>
        <w:tc>
          <w:tcPr>
            <w:tcW w:w="334" w:type="pct"/>
            <w:noWrap w:val="0"/>
            <w:vAlign w:val="center"/>
          </w:tcPr>
          <w:p w14:paraId="03E8CF90">
            <w:pPr>
              <w:pStyle w:val="55"/>
              <w:bidi w:val="0"/>
            </w:pPr>
          </w:p>
        </w:tc>
        <w:tc>
          <w:tcPr>
            <w:tcW w:w="370" w:type="pct"/>
            <w:noWrap w:val="0"/>
            <w:vAlign w:val="center"/>
          </w:tcPr>
          <w:p w14:paraId="5EFDC8A4">
            <w:pPr>
              <w:pStyle w:val="55"/>
              <w:bidi w:val="0"/>
            </w:pPr>
            <w:r>
              <w:t>△</w:t>
            </w:r>
          </w:p>
        </w:tc>
        <w:tc>
          <w:tcPr>
            <w:tcW w:w="2165" w:type="pct"/>
            <w:noWrap w:val="0"/>
            <w:vAlign w:val="center"/>
          </w:tcPr>
          <w:p w14:paraId="6688B5F4">
            <w:pPr>
              <w:pStyle w:val="55"/>
              <w:bidi w:val="0"/>
              <w:rPr>
                <w:rFonts w:hint="eastAsia"/>
              </w:rPr>
            </w:pPr>
            <w:r>
              <w:t>检查内容：矿山企业是否为从业人员办理工伤保险</w:t>
            </w:r>
            <w:r>
              <w:rPr>
                <w:rFonts w:hint="eastAsia"/>
              </w:rPr>
              <w:t>或</w:t>
            </w:r>
            <w:r>
              <w:t>安全生产责任保险</w:t>
            </w:r>
            <w:r>
              <w:rPr>
                <w:rFonts w:hint="eastAsia"/>
              </w:rPr>
              <w:t>、</w:t>
            </w:r>
            <w:r>
              <w:t>雇主责任保险。</w:t>
            </w:r>
          </w:p>
          <w:p w14:paraId="5C6A364D">
            <w:pPr>
              <w:pStyle w:val="55"/>
              <w:bidi w:val="0"/>
            </w:pPr>
            <w:r>
              <w:t>检查方法：查阅保险缴纳证明。</w:t>
            </w:r>
          </w:p>
        </w:tc>
        <w:tc>
          <w:tcPr>
            <w:tcW w:w="964" w:type="pct"/>
            <w:noWrap w:val="0"/>
            <w:vAlign w:val="center"/>
          </w:tcPr>
          <w:p w14:paraId="69EC905D">
            <w:pPr>
              <w:pStyle w:val="55"/>
              <w:bidi w:val="0"/>
              <w:ind w:firstLine="0" w:firstLineChars="0"/>
            </w:pPr>
            <w:r>
              <w:t>矿山已为员工购买了工伤保险、安全生产责任险</w:t>
            </w:r>
            <w:r>
              <w:rPr>
                <w:rFonts w:hint="eastAsia"/>
                <w:lang w:eastAsia="zh-CN"/>
              </w:rPr>
              <w:t>。</w:t>
            </w:r>
          </w:p>
        </w:tc>
        <w:tc>
          <w:tcPr>
            <w:tcW w:w="355" w:type="pct"/>
            <w:noWrap w:val="0"/>
            <w:vAlign w:val="center"/>
          </w:tcPr>
          <w:p w14:paraId="0B67B798">
            <w:pPr>
              <w:pStyle w:val="55"/>
              <w:bidi w:val="0"/>
            </w:pPr>
            <w:r>
              <w:rPr>
                <w:rFonts w:hint="eastAsia"/>
                <w:lang w:val="en-US" w:eastAsia="zh-CN"/>
              </w:rPr>
              <w:t>符合</w:t>
            </w:r>
          </w:p>
        </w:tc>
      </w:tr>
      <w:tr w14:paraId="5BBD5B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2" w:hRule="atLeast"/>
          <w:jc w:val="center"/>
        </w:trPr>
        <w:tc>
          <w:tcPr>
            <w:tcW w:w="346" w:type="pct"/>
            <w:noWrap w:val="0"/>
            <w:vAlign w:val="center"/>
          </w:tcPr>
          <w:p w14:paraId="2E44373E">
            <w:pPr>
              <w:pStyle w:val="55"/>
              <w:bidi w:val="0"/>
            </w:pPr>
            <w:r>
              <w:rPr>
                <w:rFonts w:hint="eastAsia"/>
              </w:rPr>
              <w:t>8</w:t>
            </w:r>
          </w:p>
        </w:tc>
        <w:tc>
          <w:tcPr>
            <w:tcW w:w="462" w:type="pct"/>
            <w:noWrap w:val="0"/>
            <w:vAlign w:val="center"/>
          </w:tcPr>
          <w:p w14:paraId="483802B9">
            <w:pPr>
              <w:pStyle w:val="55"/>
              <w:bidi w:val="0"/>
            </w:pPr>
            <w:r>
              <w:t>应急救援</w:t>
            </w:r>
          </w:p>
        </w:tc>
        <w:tc>
          <w:tcPr>
            <w:tcW w:w="334" w:type="pct"/>
            <w:noWrap w:val="0"/>
            <w:vAlign w:val="center"/>
          </w:tcPr>
          <w:p w14:paraId="2440E334">
            <w:pPr>
              <w:pStyle w:val="55"/>
              <w:bidi w:val="0"/>
            </w:pPr>
          </w:p>
        </w:tc>
        <w:tc>
          <w:tcPr>
            <w:tcW w:w="370" w:type="pct"/>
            <w:noWrap w:val="0"/>
            <w:vAlign w:val="center"/>
          </w:tcPr>
          <w:p w14:paraId="33455F76">
            <w:pPr>
              <w:pStyle w:val="55"/>
              <w:bidi w:val="0"/>
            </w:pPr>
          </w:p>
        </w:tc>
        <w:tc>
          <w:tcPr>
            <w:tcW w:w="2165" w:type="pct"/>
            <w:noWrap w:val="0"/>
            <w:vAlign w:val="center"/>
          </w:tcPr>
          <w:p w14:paraId="726A5C21">
            <w:pPr>
              <w:pStyle w:val="55"/>
              <w:bidi w:val="0"/>
            </w:pPr>
          </w:p>
        </w:tc>
        <w:tc>
          <w:tcPr>
            <w:tcW w:w="964" w:type="pct"/>
            <w:noWrap w:val="0"/>
            <w:vAlign w:val="center"/>
          </w:tcPr>
          <w:p w14:paraId="3BBC8154">
            <w:pPr>
              <w:pStyle w:val="55"/>
              <w:bidi w:val="0"/>
            </w:pPr>
          </w:p>
        </w:tc>
        <w:tc>
          <w:tcPr>
            <w:tcW w:w="355" w:type="pct"/>
            <w:noWrap w:val="0"/>
            <w:vAlign w:val="center"/>
          </w:tcPr>
          <w:p w14:paraId="51E6D76F">
            <w:pPr>
              <w:pStyle w:val="55"/>
              <w:bidi w:val="0"/>
            </w:pPr>
          </w:p>
        </w:tc>
      </w:tr>
      <w:tr w14:paraId="3F3325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64" w:hRule="atLeast"/>
          <w:jc w:val="center"/>
        </w:trPr>
        <w:tc>
          <w:tcPr>
            <w:tcW w:w="346" w:type="pct"/>
            <w:noWrap w:val="0"/>
            <w:vAlign w:val="center"/>
          </w:tcPr>
          <w:p w14:paraId="38860723">
            <w:pPr>
              <w:pStyle w:val="55"/>
              <w:bidi w:val="0"/>
            </w:pPr>
            <w:r>
              <w:rPr>
                <w:rFonts w:hint="eastAsia"/>
              </w:rPr>
              <w:t>8</w:t>
            </w:r>
            <w:r>
              <w:t>.1</w:t>
            </w:r>
          </w:p>
        </w:tc>
        <w:tc>
          <w:tcPr>
            <w:tcW w:w="462" w:type="pct"/>
            <w:noWrap w:val="0"/>
            <w:vAlign w:val="center"/>
          </w:tcPr>
          <w:p w14:paraId="47C6ACAD">
            <w:pPr>
              <w:pStyle w:val="55"/>
              <w:bidi w:val="0"/>
            </w:pPr>
            <w:r>
              <w:t>应急预案</w:t>
            </w:r>
          </w:p>
        </w:tc>
        <w:tc>
          <w:tcPr>
            <w:tcW w:w="334" w:type="pct"/>
            <w:noWrap w:val="0"/>
            <w:vAlign w:val="center"/>
          </w:tcPr>
          <w:p w14:paraId="16757AF3">
            <w:pPr>
              <w:pStyle w:val="55"/>
              <w:bidi w:val="0"/>
            </w:pPr>
          </w:p>
        </w:tc>
        <w:tc>
          <w:tcPr>
            <w:tcW w:w="370" w:type="pct"/>
            <w:noWrap w:val="0"/>
            <w:vAlign w:val="center"/>
          </w:tcPr>
          <w:p w14:paraId="757212FE">
            <w:pPr>
              <w:pStyle w:val="55"/>
              <w:bidi w:val="0"/>
            </w:pPr>
            <w:r>
              <w:t>△</w:t>
            </w:r>
          </w:p>
        </w:tc>
        <w:tc>
          <w:tcPr>
            <w:tcW w:w="2165" w:type="pct"/>
            <w:noWrap w:val="0"/>
            <w:vAlign w:val="center"/>
          </w:tcPr>
          <w:p w14:paraId="58DA4EDC">
            <w:pPr>
              <w:pStyle w:val="55"/>
              <w:bidi w:val="0"/>
              <w:rPr>
                <w:rFonts w:hint="eastAsia"/>
              </w:rPr>
            </w:pPr>
            <w:r>
              <w:t>检查内容：矿山企业是否根据存在风险的种类、事故类型和重大危险源的情况制定综合应急预案和相应的专项应急预案，风险性较大的重点岗位是否制定现场处置方案</w:t>
            </w:r>
            <w:r>
              <w:rPr>
                <w:rFonts w:hint="eastAsia"/>
              </w:rPr>
              <w:t>；</w:t>
            </w:r>
            <w:r>
              <w:t>应急预案是否经过评审，并向当地县级以上安全生产监督管理部门备案。</w:t>
            </w:r>
          </w:p>
          <w:p w14:paraId="4CD3EAFD">
            <w:pPr>
              <w:pStyle w:val="55"/>
              <w:bidi w:val="0"/>
            </w:pPr>
            <w:r>
              <w:t>检查方法：查阅应急预案及</w:t>
            </w:r>
            <w:r>
              <w:rPr>
                <w:rFonts w:hint="eastAsia"/>
              </w:rPr>
              <w:t>评审</w:t>
            </w:r>
            <w:r>
              <w:t>备案资料。</w:t>
            </w:r>
          </w:p>
        </w:tc>
        <w:tc>
          <w:tcPr>
            <w:tcW w:w="964" w:type="pct"/>
            <w:noWrap w:val="0"/>
            <w:vAlign w:val="center"/>
          </w:tcPr>
          <w:p w14:paraId="0176F7C9">
            <w:pPr>
              <w:spacing w:line="240" w:lineRule="auto"/>
              <w:ind w:firstLine="0" w:firstLineChars="0"/>
            </w:pPr>
            <w:r>
              <w:rPr>
                <w:rFonts w:ascii="宋体" w:hAnsi="宋体" w:eastAsia="宋体" w:cs="宋体"/>
                <w:spacing w:val="-1"/>
                <w:sz w:val="21"/>
                <w:szCs w:val="21"/>
              </w:rPr>
              <w:t>企业编制了《广南县</w:t>
            </w:r>
            <w:r>
              <w:rPr>
                <w:rFonts w:hint="eastAsia" w:ascii="宋体" w:hAnsi="宋体" w:eastAsia="宋体" w:cs="宋体"/>
                <w:spacing w:val="-1"/>
                <w:sz w:val="21"/>
                <w:szCs w:val="21"/>
                <w:lang w:val="en-US" w:eastAsia="zh-CN"/>
              </w:rPr>
              <w:t>城硕矿业有限公司</w:t>
            </w:r>
            <w:r>
              <w:rPr>
                <w:rFonts w:ascii="宋体" w:hAnsi="宋体" w:eastAsia="宋体" w:cs="宋体"/>
                <w:spacing w:val="-1"/>
                <w:sz w:val="21"/>
                <w:szCs w:val="21"/>
              </w:rPr>
              <w:t>生产安全事</w:t>
            </w:r>
            <w:r>
              <w:rPr>
                <w:rFonts w:ascii="宋体" w:hAnsi="宋体" w:eastAsia="宋体" w:cs="宋体"/>
                <w:spacing w:val="-11"/>
                <w:sz w:val="21"/>
                <w:szCs w:val="21"/>
              </w:rPr>
              <w:t>故应急预案》，应急预案</w:t>
            </w:r>
            <w:r>
              <w:rPr>
                <w:rFonts w:ascii="宋体" w:hAnsi="宋体" w:eastAsia="宋体" w:cs="宋体"/>
                <w:spacing w:val="-1"/>
                <w:sz w:val="21"/>
                <w:szCs w:val="21"/>
              </w:rPr>
              <w:t>已</w:t>
            </w:r>
            <w:r>
              <w:rPr>
                <w:rFonts w:hint="eastAsia" w:ascii="宋体" w:hAnsi="宋体" w:eastAsia="宋体" w:cs="宋体"/>
                <w:spacing w:val="-1"/>
                <w:sz w:val="21"/>
                <w:szCs w:val="21"/>
                <w:lang w:val="en-US" w:eastAsia="zh-CN"/>
              </w:rPr>
              <w:t>于2026年3月11日</w:t>
            </w:r>
            <w:r>
              <w:rPr>
                <w:rFonts w:ascii="宋体" w:hAnsi="宋体" w:eastAsia="宋体" w:cs="宋体"/>
                <w:spacing w:val="-1"/>
                <w:sz w:val="21"/>
                <w:szCs w:val="21"/>
              </w:rPr>
              <w:t>到广南县应急管理局备案。</w:t>
            </w:r>
          </w:p>
        </w:tc>
        <w:tc>
          <w:tcPr>
            <w:tcW w:w="355" w:type="pct"/>
            <w:noWrap w:val="0"/>
            <w:vAlign w:val="center"/>
          </w:tcPr>
          <w:p w14:paraId="46D0278B">
            <w:pPr>
              <w:pStyle w:val="55"/>
              <w:bidi w:val="0"/>
            </w:pPr>
            <w:r>
              <w:rPr>
                <w:rFonts w:hint="eastAsia"/>
                <w:lang w:val="en-US" w:eastAsia="zh-CN"/>
              </w:rPr>
              <w:t>符合</w:t>
            </w:r>
          </w:p>
        </w:tc>
      </w:tr>
      <w:tr w14:paraId="2D93C4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46" w:type="pct"/>
            <w:noWrap w:val="0"/>
            <w:vAlign w:val="center"/>
          </w:tcPr>
          <w:p w14:paraId="5C84BBE0">
            <w:pPr>
              <w:pStyle w:val="55"/>
              <w:bidi w:val="0"/>
            </w:pPr>
            <w:r>
              <w:rPr>
                <w:rFonts w:hint="eastAsia"/>
              </w:rPr>
              <w:t>8</w:t>
            </w:r>
            <w:r>
              <w:t>.2</w:t>
            </w:r>
          </w:p>
        </w:tc>
        <w:tc>
          <w:tcPr>
            <w:tcW w:w="462" w:type="pct"/>
            <w:noWrap w:val="0"/>
            <w:vAlign w:val="center"/>
          </w:tcPr>
          <w:p w14:paraId="404CB963">
            <w:pPr>
              <w:pStyle w:val="55"/>
              <w:bidi w:val="0"/>
            </w:pPr>
            <w:r>
              <w:t>应急组织与设施</w:t>
            </w:r>
          </w:p>
        </w:tc>
        <w:tc>
          <w:tcPr>
            <w:tcW w:w="334" w:type="pct"/>
            <w:noWrap w:val="0"/>
            <w:vAlign w:val="center"/>
          </w:tcPr>
          <w:p w14:paraId="2CB35ED9">
            <w:pPr>
              <w:pStyle w:val="55"/>
              <w:bidi w:val="0"/>
            </w:pPr>
          </w:p>
        </w:tc>
        <w:tc>
          <w:tcPr>
            <w:tcW w:w="370" w:type="pct"/>
            <w:noWrap w:val="0"/>
            <w:vAlign w:val="center"/>
          </w:tcPr>
          <w:p w14:paraId="181F017D">
            <w:pPr>
              <w:pStyle w:val="55"/>
              <w:bidi w:val="0"/>
            </w:pPr>
            <w:r>
              <w:t>△</w:t>
            </w:r>
          </w:p>
        </w:tc>
        <w:tc>
          <w:tcPr>
            <w:tcW w:w="2165" w:type="pct"/>
            <w:noWrap w:val="0"/>
            <w:vAlign w:val="center"/>
          </w:tcPr>
          <w:p w14:paraId="7DE5A78B">
            <w:pPr>
              <w:pStyle w:val="55"/>
              <w:bidi w:val="0"/>
              <w:rPr>
                <w:rFonts w:hint="eastAsia"/>
              </w:rPr>
            </w:pPr>
            <w:r>
              <w:t>检查内容：矿山企业是否建立由专职或兼职人员组成的事故应急救援组织，配备必要的应急救援器材和设备</w:t>
            </w:r>
            <w:r>
              <w:rPr>
                <w:rFonts w:hint="eastAsia"/>
              </w:rPr>
              <w:t>；</w:t>
            </w:r>
            <w:r>
              <w:t>生产规模较小不必建立事故应急救援组织的，是否指定兼职的应急救援人员，并与临近的事故救援组织签订救援协议。</w:t>
            </w:r>
          </w:p>
          <w:p w14:paraId="63C2461B">
            <w:pPr>
              <w:pStyle w:val="55"/>
              <w:bidi w:val="0"/>
            </w:pPr>
            <w:r>
              <w:t>检查方法：查阅相关人员名单、器材设备清单、救援协议。</w:t>
            </w:r>
          </w:p>
        </w:tc>
        <w:tc>
          <w:tcPr>
            <w:tcW w:w="964" w:type="pct"/>
            <w:noWrap w:val="0"/>
            <w:vAlign w:val="center"/>
          </w:tcPr>
          <w:p w14:paraId="77954D09">
            <w:pPr>
              <w:spacing w:line="240" w:lineRule="auto"/>
              <w:ind w:firstLine="0" w:firstLineChars="0"/>
              <w:rPr>
                <w:color w:val="auto"/>
              </w:rPr>
            </w:pPr>
            <w:r>
              <w:rPr>
                <w:rFonts w:ascii="Times New Roman" w:hAnsi="Times New Roman"/>
                <w:color w:val="auto"/>
                <w:sz w:val="21"/>
                <w:szCs w:val="21"/>
              </w:rPr>
              <w:t>企业已成立了应急</w:t>
            </w:r>
            <w:r>
              <w:rPr>
                <w:rFonts w:hint="eastAsia" w:ascii="Times New Roman" w:hAnsi="Times New Roman"/>
                <w:color w:val="auto"/>
                <w:sz w:val="21"/>
                <w:szCs w:val="21"/>
                <w:lang w:val="en-US" w:eastAsia="zh-CN"/>
              </w:rPr>
              <w:t>救援</w:t>
            </w:r>
            <w:r>
              <w:rPr>
                <w:rFonts w:ascii="Times New Roman" w:hAnsi="Times New Roman"/>
                <w:color w:val="auto"/>
                <w:sz w:val="21"/>
                <w:szCs w:val="21"/>
              </w:rPr>
              <w:t>指挥部。</w:t>
            </w:r>
            <w:r>
              <w:rPr>
                <w:rFonts w:hint="eastAsia" w:ascii="Times New Roman" w:hAnsi="Times New Roman"/>
                <w:color w:val="auto"/>
                <w:sz w:val="21"/>
                <w:szCs w:val="21"/>
                <w:lang w:val="en-US" w:eastAsia="zh-CN"/>
              </w:rPr>
              <w:t>并与文山州应急局签订了</w:t>
            </w:r>
            <w:r>
              <w:rPr>
                <w:rFonts w:ascii="Times New Roman" w:hAnsi="Times New Roman"/>
                <w:color w:val="auto"/>
                <w:sz w:val="21"/>
                <w:szCs w:val="21"/>
              </w:rPr>
              <w:t>事故救援协议</w:t>
            </w:r>
            <w:r>
              <w:rPr>
                <w:rFonts w:hint="eastAsia" w:ascii="Times New Roman" w:hAnsi="Times New Roman"/>
                <w:color w:val="auto"/>
                <w:sz w:val="21"/>
                <w:szCs w:val="21"/>
                <w:lang w:eastAsia="zh-CN"/>
              </w:rPr>
              <w:t>。</w:t>
            </w:r>
          </w:p>
        </w:tc>
        <w:tc>
          <w:tcPr>
            <w:tcW w:w="355" w:type="pct"/>
            <w:noWrap w:val="0"/>
            <w:vAlign w:val="center"/>
          </w:tcPr>
          <w:p w14:paraId="1E24EE7F">
            <w:pPr>
              <w:pStyle w:val="55"/>
              <w:bidi w:val="0"/>
            </w:pPr>
            <w:r>
              <w:rPr>
                <w:rFonts w:hint="eastAsia"/>
                <w:lang w:val="en-US" w:eastAsia="zh-CN"/>
              </w:rPr>
              <w:t>符合</w:t>
            </w:r>
          </w:p>
        </w:tc>
      </w:tr>
      <w:tr w14:paraId="310003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346" w:type="pct"/>
            <w:noWrap w:val="0"/>
            <w:vAlign w:val="center"/>
          </w:tcPr>
          <w:p w14:paraId="37F1D5AE">
            <w:pPr>
              <w:pStyle w:val="55"/>
              <w:bidi w:val="0"/>
            </w:pPr>
            <w:r>
              <w:rPr>
                <w:rFonts w:hint="eastAsia"/>
              </w:rPr>
              <w:t>8</w:t>
            </w:r>
            <w:r>
              <w:t>.3</w:t>
            </w:r>
          </w:p>
        </w:tc>
        <w:tc>
          <w:tcPr>
            <w:tcW w:w="462" w:type="pct"/>
            <w:noWrap w:val="0"/>
            <w:vAlign w:val="center"/>
          </w:tcPr>
          <w:p w14:paraId="1A4737D8">
            <w:pPr>
              <w:pStyle w:val="55"/>
              <w:bidi w:val="0"/>
            </w:pPr>
            <w:r>
              <w:t>应急演练</w:t>
            </w:r>
          </w:p>
        </w:tc>
        <w:tc>
          <w:tcPr>
            <w:tcW w:w="334" w:type="pct"/>
            <w:noWrap w:val="0"/>
            <w:vAlign w:val="center"/>
          </w:tcPr>
          <w:p w14:paraId="14E67F96">
            <w:pPr>
              <w:pStyle w:val="55"/>
              <w:bidi w:val="0"/>
            </w:pPr>
          </w:p>
        </w:tc>
        <w:tc>
          <w:tcPr>
            <w:tcW w:w="370" w:type="pct"/>
            <w:noWrap w:val="0"/>
            <w:vAlign w:val="center"/>
          </w:tcPr>
          <w:p w14:paraId="539600BD">
            <w:pPr>
              <w:pStyle w:val="55"/>
              <w:bidi w:val="0"/>
            </w:pPr>
            <w:r>
              <w:t>△</w:t>
            </w:r>
          </w:p>
        </w:tc>
        <w:tc>
          <w:tcPr>
            <w:tcW w:w="2165" w:type="pct"/>
            <w:noWrap w:val="0"/>
            <w:vAlign w:val="center"/>
          </w:tcPr>
          <w:p w14:paraId="20ECEA97">
            <w:pPr>
              <w:pStyle w:val="55"/>
              <w:bidi w:val="0"/>
              <w:rPr>
                <w:rFonts w:hint="eastAsia"/>
              </w:rPr>
            </w:pPr>
            <w:r>
              <w:t>检查内容：矿山企业是否制定应急预案演练计划。</w:t>
            </w:r>
          </w:p>
          <w:p w14:paraId="30E20B70">
            <w:pPr>
              <w:pStyle w:val="55"/>
              <w:bidi w:val="0"/>
            </w:pPr>
            <w:r>
              <w:t>检查方法：查阅演练计划及演练记录。</w:t>
            </w:r>
          </w:p>
        </w:tc>
        <w:tc>
          <w:tcPr>
            <w:tcW w:w="964" w:type="pct"/>
            <w:noWrap w:val="0"/>
            <w:vAlign w:val="center"/>
          </w:tcPr>
          <w:p w14:paraId="2133ABCC">
            <w:pPr>
              <w:spacing w:line="240" w:lineRule="auto"/>
              <w:ind w:firstLine="0" w:firstLineChars="0"/>
              <w:rPr>
                <w:rFonts w:hint="default" w:eastAsia="宋体"/>
                <w:color w:val="auto"/>
                <w:lang w:val="en-US" w:eastAsia="zh-CN"/>
              </w:rPr>
            </w:pPr>
            <w:r>
              <w:rPr>
                <w:rFonts w:hint="eastAsia" w:ascii="Times New Roman" w:hAnsi="Times New Roman"/>
                <w:color w:val="auto"/>
                <w:sz w:val="21"/>
                <w:szCs w:val="21"/>
                <w:lang w:val="en-US" w:eastAsia="zh-CN"/>
              </w:rPr>
              <w:t>矿山每半年开展</w:t>
            </w:r>
            <w:r>
              <w:rPr>
                <w:rFonts w:ascii="Times New Roman" w:hAnsi="Times New Roman"/>
                <w:color w:val="auto"/>
                <w:sz w:val="21"/>
                <w:szCs w:val="21"/>
              </w:rPr>
              <w:t>应急预案演练</w:t>
            </w:r>
            <w:r>
              <w:rPr>
                <w:rFonts w:hint="eastAsia" w:ascii="Times New Roman" w:hAnsi="Times New Roman"/>
                <w:color w:val="auto"/>
                <w:sz w:val="21"/>
                <w:szCs w:val="21"/>
                <w:lang w:val="en-US" w:eastAsia="zh-CN"/>
              </w:rPr>
              <w:t>并记录</w:t>
            </w:r>
          </w:p>
        </w:tc>
        <w:tc>
          <w:tcPr>
            <w:tcW w:w="355" w:type="pct"/>
            <w:noWrap w:val="0"/>
            <w:vAlign w:val="center"/>
          </w:tcPr>
          <w:p w14:paraId="2FD1F942">
            <w:pPr>
              <w:pStyle w:val="55"/>
              <w:bidi w:val="0"/>
            </w:pPr>
            <w:r>
              <w:rPr>
                <w:rFonts w:hint="eastAsia"/>
                <w:lang w:val="en-US" w:eastAsia="zh-CN"/>
              </w:rPr>
              <w:t>符合</w:t>
            </w:r>
          </w:p>
        </w:tc>
      </w:tr>
    </w:tbl>
    <w:p w14:paraId="6DD5553F">
      <w:pPr>
        <w:snapToGrid w:val="0"/>
        <w:ind w:firstLine="480"/>
        <w:rPr>
          <w:rFonts w:ascii="Times New Roman" w:hAnsi="Times New Roman"/>
          <w:color w:val="000000" w:themeColor="text1"/>
          <w14:textFill>
            <w14:solidFill>
              <w14:schemeClr w14:val="tx1"/>
            </w14:solidFill>
          </w14:textFill>
        </w:rPr>
      </w:pPr>
      <w:r>
        <w:rPr>
          <w:rFonts w:ascii="Times New Roman" w:hAnsi="Times New Roman"/>
          <w:snapToGrid w:val="0"/>
          <w:color w:val="000000" w:themeColor="text1"/>
          <w:kern w:val="0"/>
          <w:sz w:val="24"/>
          <w:szCs w:val="24"/>
          <w14:textFill>
            <w14:solidFill>
              <w14:schemeClr w14:val="tx1"/>
            </w14:solidFill>
          </w14:textFill>
        </w:rPr>
        <w:t>检查类别中，“■”表示该项为否决项，“</w:t>
      </w:r>
      <w:r>
        <w:rPr>
          <w:rFonts w:ascii="Cambria Math" w:hAnsi="Cambria Math" w:cs="Cambria Math"/>
          <w:snapToGrid w:val="0"/>
          <w:color w:val="000000" w:themeColor="text1"/>
          <w:kern w:val="0"/>
          <w:sz w:val="24"/>
          <w:szCs w:val="24"/>
          <w14:textFill>
            <w14:solidFill>
              <w14:schemeClr w14:val="tx1"/>
            </w14:solidFill>
          </w14:textFill>
        </w:rPr>
        <w:t>△</w:t>
      </w:r>
      <w:r>
        <w:rPr>
          <w:rFonts w:ascii="Times New Roman" w:hAnsi="Times New Roman"/>
          <w:snapToGrid w:val="0"/>
          <w:color w:val="000000" w:themeColor="text1"/>
          <w:kern w:val="0"/>
          <w:sz w:val="24"/>
          <w:szCs w:val="24"/>
          <w14:textFill>
            <w14:solidFill>
              <w14:schemeClr w14:val="tx1"/>
            </w14:solidFill>
          </w14:textFill>
        </w:rPr>
        <w:t>”表示为一般项</w:t>
      </w:r>
      <w:r>
        <w:rPr>
          <w:rFonts w:ascii="Times New Roman" w:hAnsi="Times New Roman"/>
          <w:color w:val="000000" w:themeColor="text1"/>
          <w14:textFill>
            <w14:solidFill>
              <w14:schemeClr w14:val="tx1"/>
            </w14:solidFill>
          </w14:textFill>
        </w:rPr>
        <w:t>。</w:t>
      </w:r>
    </w:p>
    <w:p w14:paraId="4322A108">
      <w:pPr>
        <w:bidi w:val="0"/>
      </w:pPr>
      <w:r>
        <w:t>评价分析：针对</w:t>
      </w:r>
      <w:r>
        <w:rPr>
          <w:rFonts w:hint="eastAsia"/>
          <w:lang w:val="en-US" w:eastAsia="zh-CN"/>
        </w:rPr>
        <w:t>安全管理管理单元检查12</w:t>
      </w:r>
      <w:r>
        <w:t>项内容，</w:t>
      </w:r>
      <w:r>
        <w:rPr>
          <w:rFonts w:hint="eastAsia"/>
          <w:lang w:val="en-US" w:eastAsia="zh-CN"/>
        </w:rPr>
        <w:t>其中否决项1</w:t>
      </w:r>
      <w:r>
        <w:t>项</w:t>
      </w:r>
      <w:r>
        <w:rPr>
          <w:rFonts w:hint="eastAsia"/>
          <w:lang w:eastAsia="zh-CN"/>
        </w:rPr>
        <w:t>，</w:t>
      </w:r>
      <w:r>
        <w:rPr>
          <w:rFonts w:hint="eastAsia"/>
          <w:lang w:val="en-US" w:eastAsia="zh-CN"/>
        </w:rPr>
        <w:t>1项符合。一般项11项，11项</w:t>
      </w:r>
      <w:r>
        <w:t>符合。</w:t>
      </w:r>
    </w:p>
    <w:bookmarkEnd w:id="421"/>
    <w:bookmarkEnd w:id="422"/>
    <w:p w14:paraId="234C8D25">
      <w:pPr>
        <w:bidi w:val="0"/>
        <w:rPr>
          <w:rFonts w:hint="default"/>
          <w:lang w:val="en-US" w:eastAsia="zh-CN"/>
        </w:rPr>
      </w:pPr>
      <w:r>
        <w:rPr>
          <w:rFonts w:hint="eastAsia"/>
          <w:lang w:val="en-US" w:eastAsia="zh-CN"/>
        </w:rPr>
        <w:t>2、按照</w:t>
      </w:r>
      <w:r>
        <w:t>安监总管一〔2016〕</w:t>
      </w:r>
      <w:r>
        <w:rPr>
          <w:rFonts w:hint="eastAsia"/>
          <w:lang w:val="en-US" w:eastAsia="zh-CN"/>
        </w:rPr>
        <w:t>49</w:t>
      </w:r>
      <w:r>
        <w:t>号</w:t>
      </w:r>
      <w:r>
        <w:rPr>
          <w:rFonts w:hint="eastAsia"/>
          <w:lang w:val="en-US" w:eastAsia="zh-CN"/>
        </w:rPr>
        <w:t>文件要求检查</w:t>
      </w:r>
    </w:p>
    <w:p w14:paraId="70A7CAFA">
      <w:pPr>
        <w:tabs>
          <w:tab w:val="left" w:pos="540"/>
        </w:tabs>
        <w:ind w:firstLine="552"/>
        <w:rPr>
          <w:rFonts w:hint="eastAsia"/>
          <w:lang w:val="en-US" w:eastAsia="zh-CN"/>
        </w:rPr>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hint="eastAsia"/>
          <w:lang w:val="en-US" w:eastAsia="zh-CN"/>
        </w:rPr>
        <w:t>对照《安全设施设计》报告，采用安全检查表</w:t>
      </w:r>
      <w:r>
        <w:rPr>
          <w:rFonts w:hint="eastAsia" w:ascii="Times New Roman" w:hAnsi="Times New Roman"/>
          <w:color w:val="000000" w:themeColor="text1"/>
          <w:szCs w:val="28"/>
          <w:lang w:val="en-US" w:eastAsia="zh-CN"/>
          <w14:textFill>
            <w14:solidFill>
              <w14:schemeClr w14:val="tx1"/>
            </w14:solidFill>
          </w14:textFill>
        </w:rPr>
        <w:t>对</w:t>
      </w:r>
      <w:r>
        <w:rPr>
          <w:rFonts w:hint="eastAsia"/>
          <w:lang w:val="en-US" w:eastAsia="zh-CN"/>
        </w:rPr>
        <w:t>安全管理</w:t>
      </w:r>
      <w:r>
        <w:t>符合性检</w:t>
      </w:r>
      <w:r>
        <w:rPr>
          <w:rFonts w:hint="eastAsia"/>
          <w:lang w:val="en-US" w:eastAsia="zh-CN"/>
        </w:rPr>
        <w:t>查。</w:t>
      </w:r>
    </w:p>
    <w:p w14:paraId="70DB00D6">
      <w:pPr>
        <w:pStyle w:val="45"/>
        <w:bidi w:val="0"/>
      </w:pPr>
      <w:r>
        <w:t>表</w:t>
      </w:r>
      <w:r>
        <w:rPr>
          <w:rFonts w:hint="eastAsia"/>
          <w:lang w:val="en-US" w:eastAsia="zh-CN"/>
        </w:rPr>
        <w:t>3.11-2安全管理</w:t>
      </w:r>
      <w:r>
        <w:t>符合性检查表</w:t>
      </w:r>
    </w:p>
    <w:tbl>
      <w:tblPr>
        <w:tblStyle w:val="35"/>
        <w:tblW w:w="4827"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12"/>
        <w:gridCol w:w="2"/>
        <w:gridCol w:w="1085"/>
        <w:gridCol w:w="2"/>
        <w:gridCol w:w="4081"/>
        <w:gridCol w:w="2871"/>
        <w:gridCol w:w="686"/>
      </w:tblGrid>
      <w:tr w14:paraId="728DF0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blHeader/>
          <w:jc w:val="center"/>
        </w:trPr>
        <w:tc>
          <w:tcPr>
            <w:tcW w:w="278" w:type="pct"/>
            <w:gridSpan w:val="2"/>
            <w:vAlign w:val="center"/>
          </w:tcPr>
          <w:p w14:paraId="2851DD92">
            <w:pPr>
              <w:pStyle w:val="56"/>
              <w:bidi w:val="0"/>
            </w:pPr>
            <w:r>
              <w:t>序号</w:t>
            </w:r>
          </w:p>
        </w:tc>
        <w:tc>
          <w:tcPr>
            <w:tcW w:w="588" w:type="pct"/>
            <w:gridSpan w:val="2"/>
            <w:vAlign w:val="center"/>
          </w:tcPr>
          <w:p w14:paraId="3CE3EA6E">
            <w:pPr>
              <w:pStyle w:val="56"/>
              <w:bidi w:val="0"/>
            </w:pPr>
            <w:r>
              <w:t>检查</w:t>
            </w:r>
          </w:p>
          <w:p w14:paraId="14B73D4A">
            <w:pPr>
              <w:pStyle w:val="56"/>
              <w:bidi w:val="0"/>
            </w:pPr>
            <w:r>
              <w:t>项目</w:t>
            </w:r>
          </w:p>
        </w:tc>
        <w:tc>
          <w:tcPr>
            <w:tcW w:w="2207" w:type="pct"/>
            <w:vAlign w:val="center"/>
          </w:tcPr>
          <w:p w14:paraId="50AF33DF">
            <w:pPr>
              <w:pStyle w:val="56"/>
              <w:bidi w:val="0"/>
            </w:pPr>
            <w:r>
              <w:t>检查内容、检查方法</w:t>
            </w:r>
          </w:p>
        </w:tc>
        <w:tc>
          <w:tcPr>
            <w:tcW w:w="1553" w:type="pct"/>
            <w:vAlign w:val="center"/>
          </w:tcPr>
          <w:p w14:paraId="2C126A92">
            <w:pPr>
              <w:pStyle w:val="56"/>
              <w:bidi w:val="0"/>
            </w:pPr>
            <w:r>
              <w:t>检查情况</w:t>
            </w:r>
          </w:p>
        </w:tc>
        <w:tc>
          <w:tcPr>
            <w:tcW w:w="371" w:type="pct"/>
            <w:vAlign w:val="center"/>
          </w:tcPr>
          <w:p w14:paraId="6FB6CCA8">
            <w:pPr>
              <w:pStyle w:val="56"/>
              <w:bidi w:val="0"/>
            </w:pPr>
            <w:r>
              <w:t>检查结果</w:t>
            </w:r>
          </w:p>
        </w:tc>
      </w:tr>
      <w:tr w14:paraId="048F7A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07" w:hRule="atLeast"/>
          <w:jc w:val="center"/>
        </w:trPr>
        <w:tc>
          <w:tcPr>
            <w:tcW w:w="278" w:type="pct"/>
            <w:gridSpan w:val="2"/>
            <w:vAlign w:val="center"/>
          </w:tcPr>
          <w:p w14:paraId="03903E20">
            <w:pPr>
              <w:spacing w:line="240" w:lineRule="auto"/>
              <w:ind w:firstLine="0" w:firstLineChars="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1</w:t>
            </w:r>
          </w:p>
        </w:tc>
        <w:tc>
          <w:tcPr>
            <w:tcW w:w="588" w:type="pct"/>
            <w:gridSpan w:val="2"/>
            <w:vAlign w:val="center"/>
          </w:tcPr>
          <w:p w14:paraId="534251D5">
            <w:pPr>
              <w:spacing w:line="240" w:lineRule="auto"/>
              <w:ind w:firstLine="0" w:firstLineChars="0"/>
              <w:jc w:val="center"/>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安全投入</w:t>
            </w:r>
          </w:p>
        </w:tc>
        <w:tc>
          <w:tcPr>
            <w:tcW w:w="2207" w:type="pct"/>
            <w:vAlign w:val="center"/>
          </w:tcPr>
          <w:p w14:paraId="56F1F63C">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检查内容：矿山是否足额投入安全生产费用。</w:t>
            </w:r>
          </w:p>
          <w:p w14:paraId="37353F2C">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检查方法：现场检查</w:t>
            </w:r>
          </w:p>
        </w:tc>
        <w:tc>
          <w:tcPr>
            <w:tcW w:w="1553" w:type="pct"/>
            <w:vAlign w:val="center"/>
          </w:tcPr>
          <w:p w14:paraId="6E653CB5">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矿山现阶段安全投入能满足安全生产的需求。</w:t>
            </w:r>
          </w:p>
        </w:tc>
        <w:tc>
          <w:tcPr>
            <w:tcW w:w="371" w:type="pct"/>
            <w:vAlign w:val="center"/>
          </w:tcPr>
          <w:p w14:paraId="178178CD">
            <w:pPr>
              <w:spacing w:line="240" w:lineRule="auto"/>
              <w:ind w:firstLine="0" w:firstLineChars="0"/>
              <w:jc w:val="center"/>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符合</w:t>
            </w:r>
          </w:p>
        </w:tc>
      </w:tr>
      <w:tr w14:paraId="43BB26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80" w:hRule="atLeast"/>
          <w:jc w:val="center"/>
        </w:trPr>
        <w:tc>
          <w:tcPr>
            <w:tcW w:w="277" w:type="pct"/>
            <w:vAlign w:val="center"/>
          </w:tcPr>
          <w:p w14:paraId="101684F7">
            <w:pPr>
              <w:spacing w:line="240" w:lineRule="auto"/>
              <w:ind w:firstLine="0" w:firstLineChars="0"/>
              <w:jc w:val="center"/>
              <w:rPr>
                <w:rFonts w:hint="eastAsia" w:ascii="Times New Roman" w:hAnsi="Times New Roman" w:eastAsia="宋体"/>
                <w:color w:val="000000" w:themeColor="text1"/>
                <w:sz w:val="21"/>
                <w:szCs w:val="21"/>
                <w:lang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2</w:t>
            </w:r>
          </w:p>
        </w:tc>
        <w:tc>
          <w:tcPr>
            <w:tcW w:w="588" w:type="pct"/>
            <w:gridSpan w:val="2"/>
            <w:vAlign w:val="center"/>
          </w:tcPr>
          <w:p w14:paraId="0534D3F3">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现场管理</w:t>
            </w:r>
          </w:p>
        </w:tc>
        <w:tc>
          <w:tcPr>
            <w:tcW w:w="2208" w:type="pct"/>
            <w:gridSpan w:val="2"/>
            <w:vAlign w:val="center"/>
          </w:tcPr>
          <w:p w14:paraId="67A206EF">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检查内容：劳动防护用品的发放、教育培训、机械操作、隐患整改是否按要求记录。</w:t>
            </w:r>
          </w:p>
          <w:p w14:paraId="5B650020">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检查方法：查阅台账。</w:t>
            </w:r>
          </w:p>
        </w:tc>
        <w:tc>
          <w:tcPr>
            <w:tcW w:w="1553" w:type="pct"/>
            <w:vAlign w:val="center"/>
          </w:tcPr>
          <w:p w14:paraId="7FA7BCF0">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建立了劳动防护用品领用登记台账、安全教育培训记录台账、安全隐患整改记录台账，使矿山的生产能有序进行。</w:t>
            </w:r>
          </w:p>
        </w:tc>
        <w:tc>
          <w:tcPr>
            <w:tcW w:w="371" w:type="pct"/>
            <w:vAlign w:val="center"/>
          </w:tcPr>
          <w:p w14:paraId="567D1663">
            <w:pPr>
              <w:spacing w:line="240" w:lineRule="auto"/>
              <w:ind w:firstLine="0" w:firstLineChars="0"/>
              <w:jc w:val="center"/>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符合</w:t>
            </w:r>
          </w:p>
        </w:tc>
      </w:tr>
      <w:tr w14:paraId="708F05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63" w:hRule="atLeast"/>
          <w:jc w:val="center"/>
        </w:trPr>
        <w:tc>
          <w:tcPr>
            <w:tcW w:w="277" w:type="pct"/>
            <w:vAlign w:val="center"/>
          </w:tcPr>
          <w:p w14:paraId="46C5963D">
            <w:pPr>
              <w:spacing w:line="240" w:lineRule="auto"/>
              <w:ind w:firstLine="0" w:firstLineChars="0"/>
              <w:jc w:val="center"/>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3</w:t>
            </w:r>
          </w:p>
        </w:tc>
        <w:tc>
          <w:tcPr>
            <w:tcW w:w="588" w:type="pct"/>
            <w:gridSpan w:val="2"/>
            <w:vAlign w:val="center"/>
          </w:tcPr>
          <w:p w14:paraId="489FF6E8">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安全检查</w:t>
            </w:r>
          </w:p>
        </w:tc>
        <w:tc>
          <w:tcPr>
            <w:tcW w:w="2208" w:type="pct"/>
            <w:gridSpan w:val="2"/>
            <w:vAlign w:val="center"/>
          </w:tcPr>
          <w:p w14:paraId="47EB9CAA">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检查内容：采场现场情况、机械作业及汽车运输。</w:t>
            </w:r>
          </w:p>
          <w:p w14:paraId="5082BBC7">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检查方法：查阅日常检查记录表。</w:t>
            </w:r>
          </w:p>
        </w:tc>
        <w:tc>
          <w:tcPr>
            <w:tcW w:w="1553" w:type="pct"/>
            <w:vAlign w:val="center"/>
          </w:tcPr>
          <w:p w14:paraId="0E4FCF84">
            <w:pPr>
              <w:spacing w:line="240" w:lineRule="auto"/>
              <w:ind w:firstLine="0" w:firstLineChars="0"/>
              <w:rPr>
                <w:rFonts w:ascii="Times New Roman" w:hAnsi="Times New Roman"/>
                <w:color w:val="000000" w:themeColor="text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依据企业提供的日常安全检查记录台账，矿山的安全检查均按相应的要求进行检查。</w:t>
            </w:r>
          </w:p>
        </w:tc>
        <w:tc>
          <w:tcPr>
            <w:tcW w:w="371" w:type="pct"/>
            <w:vAlign w:val="center"/>
          </w:tcPr>
          <w:p w14:paraId="52D8419A">
            <w:pPr>
              <w:spacing w:line="240" w:lineRule="auto"/>
              <w:ind w:firstLine="0" w:firstLineChars="0"/>
              <w:jc w:val="center"/>
              <w:rPr>
                <w:rFonts w:ascii="Times New Roman" w:hAnsi="Times New Roman"/>
                <w:bCs/>
                <w:color w:val="000000" w:themeColor="text1"/>
                <w:sz w:val="21"/>
                <w:szCs w:val="21"/>
                <w14:textFill>
                  <w14:solidFill>
                    <w14:schemeClr w14:val="tx1"/>
                  </w14:solidFill>
                </w14:textFill>
              </w:rPr>
            </w:pPr>
            <w:r>
              <w:rPr>
                <w:rFonts w:ascii="Times New Roman" w:hAnsi="Times New Roman"/>
                <w:bCs/>
                <w:color w:val="000000" w:themeColor="text1"/>
                <w:sz w:val="21"/>
                <w:szCs w:val="21"/>
                <w14:textFill>
                  <w14:solidFill>
                    <w14:schemeClr w14:val="tx1"/>
                  </w14:solidFill>
                </w14:textFill>
              </w:rPr>
              <w:t>符合</w:t>
            </w:r>
          </w:p>
        </w:tc>
      </w:tr>
      <w:tr w14:paraId="18C686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96" w:hRule="atLeast"/>
          <w:jc w:val="center"/>
        </w:trPr>
        <w:tc>
          <w:tcPr>
            <w:tcW w:w="277" w:type="pct"/>
            <w:vAlign w:val="center"/>
          </w:tcPr>
          <w:p w14:paraId="64731D88">
            <w:pPr>
              <w:spacing w:line="240" w:lineRule="auto"/>
              <w:ind w:firstLine="0" w:firstLineChars="0"/>
              <w:jc w:val="center"/>
              <w:rPr>
                <w:rFonts w:hint="default" w:ascii="Times New Roman" w:hAnsi="Times New Roman"/>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4</w:t>
            </w:r>
          </w:p>
        </w:tc>
        <w:tc>
          <w:tcPr>
            <w:tcW w:w="588" w:type="pct"/>
            <w:gridSpan w:val="2"/>
            <w:vAlign w:val="center"/>
          </w:tcPr>
          <w:p w14:paraId="27ECDC34">
            <w:pPr>
              <w:spacing w:line="240" w:lineRule="auto"/>
              <w:ind w:firstLine="0" w:firstLineChars="0"/>
              <w:rPr>
                <w:rFonts w:ascii="Times New Roman" w:hAnsi="Times New Roman"/>
                <w:color w:val="000000" w:themeColor="text1"/>
                <w:sz w:val="21"/>
                <w:szCs w:val="21"/>
                <w14:textFill>
                  <w14:solidFill>
                    <w14:schemeClr w14:val="tx1"/>
                  </w14:solidFill>
                </w14:textFill>
              </w:rPr>
            </w:pPr>
            <w:r>
              <w:rPr>
                <w:rFonts w:ascii="Times New Roman" w:hAnsi="Times New Roman"/>
                <w:color w:val="000000" w:themeColor="text1"/>
                <w:sz w:val="21"/>
                <w:szCs w:val="21"/>
                <w14:textFill>
                  <w14:solidFill>
                    <w14:schemeClr w14:val="tx1"/>
                  </w14:solidFill>
                </w14:textFill>
              </w:rPr>
              <w:t>矿山工程技术人员</w:t>
            </w:r>
          </w:p>
        </w:tc>
        <w:tc>
          <w:tcPr>
            <w:tcW w:w="2208" w:type="pct"/>
            <w:gridSpan w:val="2"/>
            <w:vAlign w:val="center"/>
          </w:tcPr>
          <w:p w14:paraId="1D31B604">
            <w:pPr>
              <w:pStyle w:val="59"/>
              <w:bidi w:val="0"/>
              <w:rPr>
                <w:rFonts w:hint="default" w:ascii="Times New Roman" w:hAnsi="Times New Roman"/>
                <w:color w:val="000000" w:themeColor="text1"/>
                <w:sz w:val="21"/>
                <w:szCs w:val="21"/>
                <w:lang w:val="en-US"/>
                <w14:textFill>
                  <w14:solidFill>
                    <w14:schemeClr w14:val="tx1"/>
                  </w14:solidFill>
                </w14:textFill>
              </w:rPr>
            </w:pPr>
            <w:r>
              <w:rPr>
                <w:rFonts w:hint="eastAsia"/>
                <w:lang w:val="en-US" w:eastAsia="zh-CN"/>
              </w:rPr>
              <w:t>检查“五职矿长”和“五科人员”配备：《安全设施设计》6.1.1.3，</w:t>
            </w:r>
            <w:r>
              <w:t>根据矿山的实际情况，应配备</w:t>
            </w:r>
            <w:r>
              <w:rPr>
                <w:rFonts w:hint="eastAsia"/>
              </w:rPr>
              <w:t>3</w:t>
            </w:r>
            <w:r>
              <w:t>名以上的采矿、机电、地质、测量等专业的工程技术人员。同时，要设立技术总负责人或总工程师，在企业主要负责人的领导下，对矿山安全生产技术工作负总责。企业自身工程技术人员不足的，相关技术工作可委托符合条件的中介机构承担，也可以聘请企业外部人员兼职。</w:t>
            </w:r>
          </w:p>
        </w:tc>
        <w:tc>
          <w:tcPr>
            <w:tcW w:w="1553" w:type="pct"/>
            <w:vAlign w:val="center"/>
          </w:tcPr>
          <w:p w14:paraId="6C910B04">
            <w:pPr>
              <w:pStyle w:val="50"/>
              <w:bidi w:val="0"/>
              <w:rPr>
                <w:rFonts w:hint="default" w:ascii="Times New Roman" w:hAnsi="Times New Roman"/>
                <w:color w:val="000000" w:themeColor="text1"/>
                <w:szCs w:val="21"/>
                <w:lang w:val="en-US"/>
                <w14:textFill>
                  <w14:solidFill>
                    <w14:schemeClr w14:val="tx1"/>
                  </w14:solidFill>
                </w14:textFill>
              </w:rPr>
            </w:pPr>
            <w:r>
              <w:rPr>
                <w:rFonts w:hint="eastAsia"/>
                <w:lang w:val="en-US" w:eastAsia="zh-CN"/>
              </w:rPr>
              <w:t>矿山设置了“五职矿长”和“五科人员”，但学历和专业不符合。</w:t>
            </w:r>
          </w:p>
        </w:tc>
        <w:tc>
          <w:tcPr>
            <w:tcW w:w="371" w:type="pct"/>
            <w:vAlign w:val="center"/>
          </w:tcPr>
          <w:p w14:paraId="2880C5E3">
            <w:pPr>
              <w:spacing w:line="240" w:lineRule="auto"/>
              <w:ind w:firstLine="0" w:firstLineChars="0"/>
              <w:rPr>
                <w:rFonts w:hint="default"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不符合</w:t>
            </w:r>
          </w:p>
        </w:tc>
      </w:tr>
    </w:tbl>
    <w:p w14:paraId="4F83AC94">
      <w:pPr>
        <w:ind w:firstLine="554"/>
        <w:rPr>
          <w:rFonts w:ascii="Times New Roman" w:hAnsi="Times New Roman"/>
          <w:color w:val="000000" w:themeColor="text1"/>
          <w14:textFill>
            <w14:solidFill>
              <w14:schemeClr w14:val="tx1"/>
            </w14:solidFill>
          </w14:textFill>
        </w:rPr>
      </w:pPr>
      <w:r>
        <w:rPr>
          <w:rFonts w:ascii="Times New Roman" w:hAnsi="Times New Roman"/>
          <w:b/>
          <w:bCs/>
          <w:color w:val="000000" w:themeColor="text1"/>
          <w14:textFill>
            <w14:solidFill>
              <w14:schemeClr w14:val="tx1"/>
            </w14:solidFill>
          </w14:textFill>
        </w:rPr>
        <w:t>评价分析</w:t>
      </w:r>
      <w:r>
        <w:rPr>
          <w:rFonts w:ascii="Times New Roman" w:hAnsi="Times New Roman"/>
          <w:color w:val="000000" w:themeColor="text1"/>
          <w14:textFill>
            <w14:solidFill>
              <w14:schemeClr w14:val="tx1"/>
            </w14:solidFill>
          </w14:textFill>
        </w:rPr>
        <w:t>：针对</w:t>
      </w:r>
      <w:r>
        <w:rPr>
          <w:rFonts w:hint="eastAsia" w:ascii="Times New Roman" w:hAnsi="Times New Roman"/>
          <w:color w:val="000000" w:themeColor="text1"/>
          <w:lang w:val="en-US" w:eastAsia="zh-CN"/>
          <w14:textFill>
            <w14:solidFill>
              <w14:schemeClr w14:val="tx1"/>
            </w14:solidFill>
          </w14:textFill>
        </w:rPr>
        <w:t>安全管理</w:t>
      </w:r>
      <w:r>
        <w:rPr>
          <w:rFonts w:ascii="Times New Roman" w:hAnsi="Times New Roman"/>
          <w:color w:val="000000" w:themeColor="text1"/>
          <w14:textFill>
            <w14:solidFill>
              <w14:schemeClr w14:val="tx1"/>
            </w14:solidFill>
          </w14:textFill>
        </w:rPr>
        <w:t>安全检查表内的</w:t>
      </w:r>
      <w:r>
        <w:rPr>
          <w:rFonts w:hint="eastAsia" w:ascii="Times New Roman" w:hAnsi="Times New Roman"/>
          <w:color w:val="000000" w:themeColor="text1"/>
          <w:lang w:val="en-US" w:eastAsia="zh-CN"/>
          <w14:textFill>
            <w14:solidFill>
              <w14:schemeClr w14:val="tx1"/>
            </w14:solidFill>
          </w14:textFill>
        </w:rPr>
        <w:t>4</w:t>
      </w:r>
      <w:r>
        <w:rPr>
          <w:rFonts w:ascii="Times New Roman" w:hAnsi="Times New Roman"/>
          <w:color w:val="000000" w:themeColor="text1"/>
          <w14:textFill>
            <w14:solidFill>
              <w14:schemeClr w14:val="tx1"/>
            </w14:solidFill>
          </w14:textFill>
        </w:rPr>
        <w:t>项内容，</w:t>
      </w:r>
      <w:r>
        <w:rPr>
          <w:rFonts w:hint="eastAsia" w:ascii="Times New Roman" w:hAnsi="Times New Roman"/>
          <w:color w:val="000000" w:themeColor="text1"/>
          <w:lang w:val="en-US" w:eastAsia="zh-CN"/>
          <w14:textFill>
            <w14:solidFill>
              <w14:schemeClr w14:val="tx1"/>
            </w14:solidFill>
          </w14:textFill>
        </w:rPr>
        <w:t>3</w:t>
      </w:r>
      <w:r>
        <w:rPr>
          <w:rFonts w:ascii="Times New Roman" w:hAnsi="Times New Roman"/>
          <w:color w:val="000000" w:themeColor="text1"/>
          <w14:textFill>
            <w14:solidFill>
              <w14:schemeClr w14:val="tx1"/>
            </w14:solidFill>
          </w14:textFill>
        </w:rPr>
        <w:t>项</w:t>
      </w:r>
      <w:r>
        <w:rPr>
          <w:rFonts w:hint="eastAsia" w:ascii="Times New Roman" w:hAnsi="Times New Roman"/>
          <w:color w:val="000000" w:themeColor="text1"/>
          <w:lang w:val="en-US" w:eastAsia="zh-CN"/>
          <w14:textFill>
            <w14:solidFill>
              <w14:schemeClr w14:val="tx1"/>
            </w14:solidFill>
          </w14:textFill>
        </w:rPr>
        <w:t>符合</w:t>
      </w:r>
      <w:r>
        <w:rPr>
          <w:rFonts w:hint="eastAsia" w:ascii="Times New Roman" w:hAnsi="Times New Roman"/>
          <w:color w:val="000000" w:themeColor="text1"/>
          <w:lang w:eastAsia="zh-CN"/>
          <w14:textFill>
            <w14:solidFill>
              <w14:schemeClr w14:val="tx1"/>
            </w14:solidFill>
          </w14:textFill>
        </w:rPr>
        <w:t>，</w:t>
      </w:r>
      <w:r>
        <w:rPr>
          <w:rFonts w:hint="eastAsia" w:ascii="Times New Roman" w:hAnsi="Times New Roman"/>
          <w:color w:val="000000" w:themeColor="text1"/>
          <w:lang w:val="en-US" w:eastAsia="zh-CN"/>
          <w14:textFill>
            <w14:solidFill>
              <w14:schemeClr w14:val="tx1"/>
            </w14:solidFill>
          </w14:textFill>
        </w:rPr>
        <w:t>1项不符合</w:t>
      </w:r>
      <w:r>
        <w:rPr>
          <w:rFonts w:ascii="Times New Roman" w:hAnsi="Times New Roman"/>
          <w:color w:val="000000" w:themeColor="text1"/>
          <w14:textFill>
            <w14:solidFill>
              <w14:schemeClr w14:val="tx1"/>
            </w14:solidFill>
          </w14:textFill>
        </w:rPr>
        <w:t>。</w:t>
      </w:r>
    </w:p>
    <w:p w14:paraId="09807CB7">
      <w:pPr>
        <w:pStyle w:val="4"/>
      </w:pPr>
      <w:bookmarkStart w:id="424" w:name="_Toc10994"/>
      <w:bookmarkStart w:id="425" w:name="_Toc214284062"/>
      <w:bookmarkStart w:id="426" w:name="_Toc17544"/>
      <w:r>
        <w:t>3.1</w:t>
      </w:r>
      <w:r>
        <w:rPr>
          <w:rFonts w:hint="eastAsia"/>
          <w:lang w:val="en-US" w:eastAsia="zh-CN"/>
        </w:rPr>
        <w:t>1</w:t>
      </w:r>
      <w:r>
        <w:t>.</w:t>
      </w:r>
      <w:r>
        <w:rPr>
          <w:rFonts w:hint="eastAsia"/>
          <w:lang w:val="en-US" w:eastAsia="zh-CN"/>
        </w:rPr>
        <w:t>2</w:t>
      </w:r>
      <w:r>
        <w:t>单元小结</w:t>
      </w:r>
      <w:bookmarkEnd w:id="423"/>
      <w:bookmarkEnd w:id="424"/>
      <w:bookmarkEnd w:id="425"/>
      <w:bookmarkEnd w:id="426"/>
    </w:p>
    <w:p w14:paraId="213D2EE1">
      <w:pPr>
        <w:bidi w:val="0"/>
        <w:rPr>
          <w:color w:val="C00000"/>
        </w:rPr>
      </w:pPr>
      <w:r>
        <w:t>矿山建立健全了</w:t>
      </w:r>
      <w:r>
        <w:rPr>
          <w:rFonts w:hint="eastAsia"/>
          <w:lang w:val="en-US" w:eastAsia="zh-CN"/>
        </w:rPr>
        <w:t>全员</w:t>
      </w:r>
      <w:r>
        <w:t>安全生产责任制，制定了安全生产管理制度</w:t>
      </w:r>
      <w:r>
        <w:rPr>
          <w:rFonts w:hint="eastAsia"/>
          <w:lang w:val="en-US" w:eastAsia="zh-CN"/>
        </w:rPr>
        <w:t>和</w:t>
      </w:r>
      <w:r>
        <w:t>安全</w:t>
      </w:r>
      <w:r>
        <w:rPr>
          <w:rFonts w:hint="eastAsia"/>
          <w:lang w:val="en-US" w:eastAsia="zh-CN"/>
        </w:rPr>
        <w:t>生产岗位</w:t>
      </w:r>
      <w:r>
        <w:t>操作规程。矿山</w:t>
      </w:r>
      <w:r>
        <w:rPr>
          <w:rFonts w:hint="eastAsia"/>
          <w:lang w:val="en-US" w:eastAsia="zh-CN"/>
        </w:rPr>
        <w:t>设立了安全生产管理机构和</w:t>
      </w:r>
      <w:r>
        <w:t>配备安全生产管理人员，主要负责人及安全生产管理人员持证上岗，目前未配备注册安全工程师；</w:t>
      </w:r>
      <w:r>
        <w:rPr>
          <w:rFonts w:hint="eastAsia"/>
          <w:lang w:val="en-US" w:eastAsia="zh-CN"/>
        </w:rPr>
        <w:t>矿山设置了“五职矿长”和“五科人员”，但学历和专业不符合。</w:t>
      </w:r>
      <w:r>
        <w:t>依据企业提供的安全教育培训记录台账，对矿山所有职工进行教育培训，培训学时满足要求。矿山现阶段安全投入能满足安全生产的需求。该项目的设计资料和竣工资料已完善，各种安全生产台账已在逐步完善。建立了劳动防护用品领用登记台账、安全教育培训记录台账、安全隐患整改记录台账、日常安全检查记录台账。</w:t>
      </w:r>
      <w:r>
        <w:rPr>
          <w:lang w:val="en-US" w:eastAsia="en-US"/>
        </w:rPr>
        <w:t>企业</w:t>
      </w:r>
      <w:r>
        <w:rPr>
          <w:color w:val="auto"/>
          <w:lang w:val="en-US" w:eastAsia="en-US"/>
        </w:rPr>
        <w:t>编制了</w:t>
      </w:r>
      <w:r>
        <w:rPr>
          <w:color w:val="auto"/>
        </w:rPr>
        <w:t>《广南县</w:t>
      </w:r>
      <w:r>
        <w:rPr>
          <w:rFonts w:hint="eastAsia"/>
          <w:color w:val="auto"/>
          <w:lang w:val="en-US" w:eastAsia="zh-CN"/>
        </w:rPr>
        <w:t>城砖硕矿业有限公司</w:t>
      </w:r>
      <w:r>
        <w:rPr>
          <w:color w:val="auto"/>
        </w:rPr>
        <w:t>生产安全事故应急预案》</w:t>
      </w:r>
      <w:r>
        <w:rPr>
          <w:color w:val="auto"/>
          <w:lang w:val="en-US" w:eastAsia="en-US"/>
        </w:rPr>
        <w:t>，应急预案于202</w:t>
      </w:r>
      <w:r>
        <w:rPr>
          <w:rFonts w:hint="eastAsia"/>
          <w:color w:val="auto"/>
          <w:lang w:val="en-US" w:eastAsia="zh-CN"/>
        </w:rPr>
        <w:t>6</w:t>
      </w:r>
      <w:r>
        <w:rPr>
          <w:color w:val="auto"/>
          <w:lang w:val="en-US" w:eastAsia="en-US"/>
        </w:rPr>
        <w:t>年</w:t>
      </w:r>
      <w:r>
        <w:rPr>
          <w:rFonts w:hint="eastAsia"/>
          <w:color w:val="auto"/>
          <w:lang w:val="en-US" w:eastAsia="zh-CN"/>
        </w:rPr>
        <w:t>3</w:t>
      </w:r>
      <w:r>
        <w:rPr>
          <w:color w:val="auto"/>
          <w:lang w:val="en-US" w:eastAsia="en-US"/>
        </w:rPr>
        <w:t>月</w:t>
      </w:r>
      <w:r>
        <w:rPr>
          <w:rFonts w:hint="eastAsia"/>
          <w:color w:val="auto"/>
          <w:lang w:val="en-US" w:eastAsia="zh-CN"/>
        </w:rPr>
        <w:t>11</w:t>
      </w:r>
      <w:r>
        <w:rPr>
          <w:color w:val="auto"/>
          <w:lang w:val="en-US" w:eastAsia="en-US"/>
        </w:rPr>
        <w:t>日到广南县应急管理局备案</w:t>
      </w:r>
      <w:r>
        <w:rPr>
          <w:rFonts w:hint="eastAsia"/>
          <w:color w:val="auto"/>
          <w:lang w:val="en-US" w:eastAsia="zh-CN"/>
        </w:rPr>
        <w:t>，并于2026年3月21日组织了“物体打击事故”</w:t>
      </w:r>
      <w:r>
        <w:rPr>
          <w:color w:val="auto"/>
          <w:lang w:val="en-US" w:eastAsia="en-US"/>
        </w:rPr>
        <w:t>应急预案</w:t>
      </w:r>
      <w:r>
        <w:rPr>
          <w:rFonts w:hint="eastAsia"/>
          <w:color w:val="auto"/>
          <w:lang w:val="en-US" w:eastAsia="zh-CN"/>
        </w:rPr>
        <w:t>演练</w:t>
      </w:r>
      <w:r>
        <w:rPr>
          <w:color w:val="auto"/>
        </w:rPr>
        <w:t>。企业成立了应急指挥部，</w:t>
      </w:r>
      <w:r>
        <w:rPr>
          <w:rFonts w:hint="eastAsia"/>
          <w:color w:val="auto"/>
          <w:lang w:val="en-US" w:eastAsia="zh-CN"/>
        </w:rPr>
        <w:t>完善了应急救援物资</w:t>
      </w:r>
      <w:r>
        <w:rPr>
          <w:color w:val="auto"/>
        </w:rPr>
        <w:t>。</w:t>
      </w:r>
    </w:p>
    <w:p w14:paraId="433C42A2">
      <w:pPr>
        <w:snapToGrid w:val="0"/>
        <w:ind w:firstLine="560"/>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安全管理单元检查共1</w:t>
      </w:r>
      <w:r>
        <w:rPr>
          <w:rFonts w:hint="eastAsia" w:ascii="Times New Roman" w:hAnsi="Times New Roman"/>
          <w:color w:val="000000" w:themeColor="text1"/>
          <w:lang w:val="en-US" w:eastAsia="zh-CN"/>
          <w14:textFill>
            <w14:solidFill>
              <w14:schemeClr w14:val="tx1"/>
            </w14:solidFill>
          </w14:textFill>
        </w:rPr>
        <w:t>6</w:t>
      </w:r>
      <w:r>
        <w:rPr>
          <w:rFonts w:ascii="Times New Roman" w:hAnsi="Times New Roman"/>
          <w:color w:val="000000" w:themeColor="text1"/>
          <w14:textFill>
            <w14:solidFill>
              <w14:schemeClr w14:val="tx1"/>
            </w14:solidFill>
          </w14:textFill>
        </w:rPr>
        <w:t>项，其中否决项1项，一般项1</w:t>
      </w:r>
      <w:r>
        <w:rPr>
          <w:rFonts w:hint="eastAsia" w:ascii="Times New Roman" w:hAnsi="Times New Roman"/>
          <w:color w:val="000000" w:themeColor="text1"/>
          <w:lang w:val="en-US" w:eastAsia="zh-CN"/>
          <w14:textFill>
            <w14:solidFill>
              <w14:schemeClr w14:val="tx1"/>
            </w14:solidFill>
          </w14:textFill>
        </w:rPr>
        <w:t>5</w:t>
      </w:r>
      <w:r>
        <w:rPr>
          <w:rFonts w:ascii="Times New Roman" w:hAnsi="Times New Roman"/>
          <w:color w:val="000000" w:themeColor="text1"/>
          <w14:textFill>
            <w14:solidFill>
              <w14:schemeClr w14:val="tx1"/>
            </w14:solidFill>
          </w14:textFill>
        </w:rPr>
        <w:t>项，1</w:t>
      </w:r>
      <w:r>
        <w:rPr>
          <w:rFonts w:hint="eastAsia" w:ascii="Times New Roman" w:hAnsi="Times New Roman"/>
          <w:color w:val="000000" w:themeColor="text1"/>
          <w:lang w:val="en-US" w:eastAsia="zh-CN"/>
          <w14:textFill>
            <w14:solidFill>
              <w14:schemeClr w14:val="tx1"/>
            </w14:solidFill>
          </w14:textFill>
        </w:rPr>
        <w:t>6</w:t>
      </w:r>
      <w:r>
        <w:rPr>
          <w:rFonts w:ascii="Times New Roman" w:hAnsi="Times New Roman"/>
          <w:color w:val="000000" w:themeColor="text1"/>
          <w14:textFill>
            <w14:solidFill>
              <w14:schemeClr w14:val="tx1"/>
            </w14:solidFill>
          </w14:textFill>
        </w:rPr>
        <w:t>项全部符合。矿山的安全管理单元具备安全设施验收条件。</w:t>
      </w:r>
    </w:p>
    <w:p w14:paraId="2934EDE8">
      <w:pPr>
        <w:pStyle w:val="3"/>
      </w:pPr>
      <w:bookmarkStart w:id="427" w:name="_Toc25358"/>
      <w:bookmarkStart w:id="428" w:name="_Toc16489"/>
      <w:bookmarkStart w:id="429" w:name="_Toc214284063"/>
      <w:r>
        <w:t>3.1</w:t>
      </w:r>
      <w:r>
        <w:rPr>
          <w:rFonts w:hint="eastAsia"/>
          <w:lang w:val="en-US" w:eastAsia="zh-CN"/>
        </w:rPr>
        <w:t>3</w:t>
      </w:r>
      <w:r>
        <w:t>重大事故隐患判定单元</w:t>
      </w:r>
      <w:bookmarkEnd w:id="427"/>
      <w:bookmarkEnd w:id="428"/>
      <w:bookmarkEnd w:id="429"/>
    </w:p>
    <w:p w14:paraId="4D80E91C">
      <w:pPr>
        <w:pStyle w:val="4"/>
        <w:bidi w:val="0"/>
        <w:rPr>
          <w:rFonts w:hint="eastAsia"/>
          <w:lang w:val="en-US" w:eastAsia="zh-CN"/>
        </w:rPr>
      </w:pPr>
      <w:bookmarkStart w:id="430" w:name="_Toc26364"/>
      <w:r>
        <w:rPr>
          <w:rFonts w:hint="eastAsia"/>
          <w:lang w:val="en-US" w:eastAsia="zh-CN"/>
        </w:rPr>
        <w:t>3.13.1</w:t>
      </w:r>
      <w:r>
        <w:t>重大事故隐患判定</w:t>
      </w:r>
      <w:bookmarkEnd w:id="430"/>
    </w:p>
    <w:p w14:paraId="00CCFFC4">
      <w:pPr>
        <w:tabs>
          <w:tab w:val="left" w:pos="540"/>
        </w:tabs>
        <w:ind w:firstLine="552"/>
        <w:rPr>
          <w:rFonts w:ascii="Times New Roman" w:hAnsi="Times New Roman"/>
          <w:color w:val="000000" w:themeColor="text1"/>
          <w14:textFill>
            <w14:solidFill>
              <w14:schemeClr w14:val="tx1"/>
            </w14:solidFill>
          </w14:textFill>
        </w:rPr>
      </w:pPr>
      <w:r>
        <w:rPr>
          <w:rFonts w:hint="eastAsia"/>
          <w:lang w:val="en-US" w:eastAsia="zh-CN"/>
        </w:rPr>
        <w:t>按照《</w:t>
      </w:r>
      <w:r>
        <w:t>金属非金属露天矿山建设项目安全设施验收评价报告编写提纲》（安监总管一〔2016〕</w:t>
      </w:r>
      <w:r>
        <w:rPr>
          <w:rFonts w:hint="eastAsia"/>
          <w:lang w:val="en-US" w:eastAsia="zh-CN"/>
        </w:rPr>
        <w:t>49</w:t>
      </w:r>
      <w:r>
        <w:t>号</w:t>
      </w:r>
      <w:r>
        <w:rPr>
          <w:rFonts w:hint="eastAsia"/>
          <w:lang w:eastAsia="zh-CN"/>
        </w:rPr>
        <w:t>），</w:t>
      </w:r>
      <w:r>
        <w:rPr>
          <w:rFonts w:ascii="Times New Roman" w:hAnsi="Times New Roman"/>
          <w:color w:val="000000" w:themeColor="text1"/>
          <w14:textFill>
            <w14:solidFill>
              <w14:schemeClr w14:val="tx1"/>
            </w14:solidFill>
          </w14:textFill>
        </w:rPr>
        <w:t>依据《国家矿山安全监察局关于印发&lt;金属非金属矿山重大事故隐患判定标准&gt;的通知》（矿安〔2022〕88号，2022年9月1日施行）、《国家矿山安全监察局关于印发&lt;金属非金属矿山重大事故隐患判定标准补充情形&gt;的通知》（矿安〔2024〕41号，2024年4月23日）中的相关内容对重大事故隐患进行安全检查。</w:t>
      </w:r>
    </w:p>
    <w:p w14:paraId="615EB52B">
      <w:pPr>
        <w:tabs>
          <w:tab w:val="left" w:pos="540"/>
        </w:tabs>
        <w:ind w:firstLine="552"/>
        <w:rPr>
          <w:rFonts w:ascii="Times New Roman" w:hAnsi="Times New Roman"/>
          <w:color w:val="000000" w:themeColor="text1"/>
          <w14:textFill>
            <w14:solidFill>
              <w14:schemeClr w14:val="tx1"/>
            </w14:solidFill>
          </w14:textFill>
        </w:rPr>
      </w:pPr>
    </w:p>
    <w:p w14:paraId="537CC244">
      <w:pPr>
        <w:pStyle w:val="73"/>
        <w:bidi w:val="0"/>
      </w:pPr>
      <w:bookmarkStart w:id="431" w:name="_Hlk160103265"/>
      <w:r>
        <w:t>表</w:t>
      </w:r>
      <w:r>
        <w:rPr>
          <w:rFonts w:hint="eastAsia"/>
          <w:lang w:val="en-US" w:eastAsia="zh-CN"/>
        </w:rPr>
        <w:t>3.13-2</w:t>
      </w:r>
      <w:r>
        <w:t>重大生产安全事故隐患安全检查表</w:t>
      </w:r>
    </w:p>
    <w:bookmarkEnd w:id="431"/>
    <w:tbl>
      <w:tblPr>
        <w:tblStyle w:val="35"/>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88"/>
        <w:gridCol w:w="3615"/>
        <w:gridCol w:w="1392"/>
        <w:gridCol w:w="2801"/>
        <w:gridCol w:w="1074"/>
      </w:tblGrid>
      <w:tr w14:paraId="746157C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tblHeader/>
          <w:jc w:val="center"/>
        </w:trPr>
        <w:tc>
          <w:tcPr>
            <w:tcW w:w="359" w:type="pct"/>
            <w:vAlign w:val="center"/>
          </w:tcPr>
          <w:p w14:paraId="74359028">
            <w:pPr>
              <w:pStyle w:val="47"/>
              <w:bidi w:val="0"/>
            </w:pPr>
            <w:bookmarkStart w:id="432" w:name="_Hlk160103298"/>
            <w:r>
              <w:t>序号</w:t>
            </w:r>
          </w:p>
        </w:tc>
        <w:tc>
          <w:tcPr>
            <w:tcW w:w="1888" w:type="pct"/>
            <w:vAlign w:val="center"/>
          </w:tcPr>
          <w:p w14:paraId="45E83196">
            <w:pPr>
              <w:pStyle w:val="47"/>
              <w:bidi w:val="0"/>
            </w:pPr>
            <w:r>
              <w:t>检查内容</w:t>
            </w:r>
          </w:p>
        </w:tc>
        <w:tc>
          <w:tcPr>
            <w:tcW w:w="727" w:type="pct"/>
            <w:vAlign w:val="center"/>
          </w:tcPr>
          <w:p w14:paraId="77C3266C">
            <w:pPr>
              <w:pStyle w:val="47"/>
              <w:bidi w:val="0"/>
            </w:pPr>
            <w:r>
              <w:t>法规依据</w:t>
            </w:r>
          </w:p>
        </w:tc>
        <w:tc>
          <w:tcPr>
            <w:tcW w:w="1463" w:type="pct"/>
            <w:vAlign w:val="center"/>
          </w:tcPr>
          <w:p w14:paraId="14A602C2">
            <w:pPr>
              <w:pStyle w:val="47"/>
              <w:bidi w:val="0"/>
            </w:pPr>
            <w:r>
              <w:t>检查情况</w:t>
            </w:r>
          </w:p>
        </w:tc>
        <w:tc>
          <w:tcPr>
            <w:tcW w:w="561" w:type="pct"/>
            <w:vAlign w:val="center"/>
          </w:tcPr>
          <w:p w14:paraId="3FC49A54">
            <w:pPr>
              <w:pStyle w:val="47"/>
              <w:bidi w:val="0"/>
            </w:pPr>
            <w:r>
              <w:t>是否构成重大隐患</w:t>
            </w:r>
          </w:p>
        </w:tc>
      </w:tr>
      <w:tr w14:paraId="02B994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2" w:hRule="atLeast"/>
          <w:jc w:val="center"/>
        </w:trPr>
        <w:tc>
          <w:tcPr>
            <w:tcW w:w="359" w:type="pct"/>
            <w:vAlign w:val="center"/>
          </w:tcPr>
          <w:p w14:paraId="5571C0F7">
            <w:pPr>
              <w:pStyle w:val="50"/>
              <w:bidi w:val="0"/>
            </w:pPr>
            <w:r>
              <w:t>1</w:t>
            </w:r>
          </w:p>
        </w:tc>
        <w:tc>
          <w:tcPr>
            <w:tcW w:w="1888" w:type="pct"/>
            <w:vAlign w:val="center"/>
          </w:tcPr>
          <w:p w14:paraId="0804A2D1">
            <w:pPr>
              <w:pStyle w:val="50"/>
              <w:bidi w:val="0"/>
            </w:pPr>
            <w:r>
              <w:t>地下转露天开采，未探明采空区或未对采空区实施专项安全技术措施。</w:t>
            </w:r>
          </w:p>
        </w:tc>
        <w:tc>
          <w:tcPr>
            <w:tcW w:w="727" w:type="pct"/>
            <w:vMerge w:val="restart"/>
            <w:vAlign w:val="center"/>
          </w:tcPr>
          <w:p w14:paraId="34E6F2A9">
            <w:pPr>
              <w:pStyle w:val="50"/>
              <w:bidi w:val="0"/>
            </w:pPr>
            <w:r>
              <w:t>《国家矿山安全监察局关于印发&lt;金属非金属矿山重大事故隐患判定标准&gt;的通知》（矿安〔2022〕88号）</w:t>
            </w:r>
          </w:p>
        </w:tc>
        <w:tc>
          <w:tcPr>
            <w:tcW w:w="1463" w:type="pct"/>
            <w:vAlign w:val="center"/>
          </w:tcPr>
          <w:p w14:paraId="1AF802DB">
            <w:pPr>
              <w:pStyle w:val="50"/>
              <w:bidi w:val="0"/>
            </w:pPr>
            <w:r>
              <w:t>不涉及地下转露采。</w:t>
            </w:r>
          </w:p>
        </w:tc>
        <w:tc>
          <w:tcPr>
            <w:tcW w:w="561" w:type="pct"/>
            <w:vAlign w:val="center"/>
          </w:tcPr>
          <w:p w14:paraId="37924DA5">
            <w:pPr>
              <w:pStyle w:val="50"/>
              <w:bidi w:val="0"/>
              <w:rPr>
                <w:rFonts w:hint="eastAsia" w:eastAsia="宋体"/>
                <w:lang w:eastAsia="zh-CN"/>
              </w:rPr>
            </w:pPr>
            <w:r>
              <w:t>不</w:t>
            </w:r>
            <w:r>
              <w:rPr>
                <w:rFonts w:hint="eastAsia"/>
                <w:lang w:val="en-US" w:eastAsia="zh-CN"/>
              </w:rPr>
              <w:t>涉及</w:t>
            </w:r>
          </w:p>
        </w:tc>
      </w:tr>
      <w:tr w14:paraId="215806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4" w:hRule="atLeast"/>
          <w:jc w:val="center"/>
        </w:trPr>
        <w:tc>
          <w:tcPr>
            <w:tcW w:w="359" w:type="pct"/>
            <w:vAlign w:val="center"/>
          </w:tcPr>
          <w:p w14:paraId="248B589F">
            <w:pPr>
              <w:pStyle w:val="50"/>
              <w:bidi w:val="0"/>
            </w:pPr>
            <w:r>
              <w:t>2</w:t>
            </w:r>
          </w:p>
        </w:tc>
        <w:tc>
          <w:tcPr>
            <w:tcW w:w="1888" w:type="pct"/>
            <w:vAlign w:val="center"/>
          </w:tcPr>
          <w:p w14:paraId="10D39652">
            <w:pPr>
              <w:pStyle w:val="50"/>
              <w:bidi w:val="0"/>
            </w:pPr>
            <w:r>
              <w:t>使用国家明令禁止使用的设备、材料和工艺。</w:t>
            </w:r>
          </w:p>
        </w:tc>
        <w:tc>
          <w:tcPr>
            <w:tcW w:w="727" w:type="pct"/>
            <w:vMerge w:val="continue"/>
            <w:vAlign w:val="center"/>
          </w:tcPr>
          <w:p w14:paraId="203A8801">
            <w:pPr>
              <w:pStyle w:val="50"/>
              <w:bidi w:val="0"/>
            </w:pPr>
          </w:p>
        </w:tc>
        <w:tc>
          <w:tcPr>
            <w:tcW w:w="1463" w:type="pct"/>
            <w:vAlign w:val="center"/>
          </w:tcPr>
          <w:p w14:paraId="00805B65">
            <w:pPr>
              <w:pStyle w:val="50"/>
              <w:bidi w:val="0"/>
              <w:rPr>
                <w:rFonts w:hint="eastAsia" w:eastAsia="宋体"/>
                <w:lang w:eastAsia="zh-CN"/>
              </w:rPr>
            </w:pPr>
            <w:r>
              <w:t>未使用国家明令禁止使用的设备、材料和工艺</w:t>
            </w:r>
            <w:r>
              <w:rPr>
                <w:rFonts w:hint="eastAsia"/>
                <w:lang w:eastAsia="zh-CN"/>
              </w:rPr>
              <w:t>。</w:t>
            </w:r>
          </w:p>
        </w:tc>
        <w:tc>
          <w:tcPr>
            <w:tcW w:w="561" w:type="pct"/>
            <w:vAlign w:val="center"/>
          </w:tcPr>
          <w:p w14:paraId="573EDAAD">
            <w:pPr>
              <w:pStyle w:val="50"/>
              <w:bidi w:val="0"/>
            </w:pPr>
            <w:r>
              <w:t>不构成</w:t>
            </w:r>
          </w:p>
        </w:tc>
      </w:tr>
      <w:tr w14:paraId="1BDCAA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69" w:hRule="atLeast"/>
          <w:jc w:val="center"/>
        </w:trPr>
        <w:tc>
          <w:tcPr>
            <w:tcW w:w="359" w:type="pct"/>
            <w:vAlign w:val="center"/>
          </w:tcPr>
          <w:p w14:paraId="48FA5D68">
            <w:pPr>
              <w:pStyle w:val="50"/>
              <w:bidi w:val="0"/>
            </w:pPr>
            <w:r>
              <w:t>3</w:t>
            </w:r>
          </w:p>
        </w:tc>
        <w:tc>
          <w:tcPr>
            <w:tcW w:w="1888" w:type="pct"/>
            <w:vAlign w:val="center"/>
          </w:tcPr>
          <w:p w14:paraId="47DE3D44">
            <w:pPr>
              <w:pStyle w:val="50"/>
              <w:bidi w:val="0"/>
              <w:rPr>
                <w:rFonts w:hint="eastAsia" w:eastAsia="宋体"/>
                <w:lang w:eastAsia="zh-CN"/>
              </w:rPr>
            </w:pPr>
            <w:r>
              <w:t>未采用自上而下、分台阶或分层的方式进行开采</w:t>
            </w:r>
            <w:r>
              <w:rPr>
                <w:rFonts w:hint="eastAsia"/>
                <w:lang w:eastAsia="zh-CN"/>
              </w:rPr>
              <w:t>。</w:t>
            </w:r>
          </w:p>
        </w:tc>
        <w:tc>
          <w:tcPr>
            <w:tcW w:w="727" w:type="pct"/>
            <w:vMerge w:val="continue"/>
            <w:vAlign w:val="center"/>
          </w:tcPr>
          <w:p w14:paraId="33E1356B">
            <w:pPr>
              <w:pStyle w:val="50"/>
              <w:bidi w:val="0"/>
            </w:pPr>
          </w:p>
        </w:tc>
        <w:tc>
          <w:tcPr>
            <w:tcW w:w="1463" w:type="pct"/>
            <w:vAlign w:val="center"/>
          </w:tcPr>
          <w:p w14:paraId="61CB09EF">
            <w:pPr>
              <w:pStyle w:val="50"/>
              <w:bidi w:val="0"/>
            </w:pPr>
            <w:r>
              <w:t>矿山严格按照设计自上而下分台阶开采。</w:t>
            </w:r>
          </w:p>
        </w:tc>
        <w:tc>
          <w:tcPr>
            <w:tcW w:w="561" w:type="pct"/>
            <w:vAlign w:val="center"/>
          </w:tcPr>
          <w:p w14:paraId="4548FB47">
            <w:pPr>
              <w:pStyle w:val="50"/>
              <w:bidi w:val="0"/>
            </w:pPr>
            <w:r>
              <w:t>不构成</w:t>
            </w:r>
          </w:p>
        </w:tc>
      </w:tr>
      <w:tr w14:paraId="0FAB4F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4" w:hRule="atLeast"/>
          <w:jc w:val="center"/>
        </w:trPr>
        <w:tc>
          <w:tcPr>
            <w:tcW w:w="359" w:type="pct"/>
            <w:vAlign w:val="center"/>
          </w:tcPr>
          <w:p w14:paraId="7B815866">
            <w:pPr>
              <w:pStyle w:val="50"/>
              <w:bidi w:val="0"/>
            </w:pPr>
            <w:r>
              <w:t>4</w:t>
            </w:r>
          </w:p>
        </w:tc>
        <w:tc>
          <w:tcPr>
            <w:tcW w:w="1888" w:type="pct"/>
            <w:vAlign w:val="center"/>
          </w:tcPr>
          <w:p w14:paraId="2C29495A">
            <w:pPr>
              <w:pStyle w:val="50"/>
              <w:bidi w:val="0"/>
            </w:pPr>
            <w:r>
              <w:t>工作帮坡角大于设计工作帮坡角，或台阶（分层）高度超过设计高度。</w:t>
            </w:r>
          </w:p>
        </w:tc>
        <w:tc>
          <w:tcPr>
            <w:tcW w:w="727" w:type="pct"/>
            <w:vMerge w:val="continue"/>
            <w:vAlign w:val="center"/>
          </w:tcPr>
          <w:p w14:paraId="46EFC4C2">
            <w:pPr>
              <w:pStyle w:val="50"/>
              <w:bidi w:val="0"/>
            </w:pPr>
          </w:p>
        </w:tc>
        <w:tc>
          <w:tcPr>
            <w:tcW w:w="1463" w:type="pct"/>
            <w:vAlign w:val="center"/>
          </w:tcPr>
          <w:p w14:paraId="775C0FC1">
            <w:pPr>
              <w:pStyle w:val="50"/>
              <w:bidi w:val="0"/>
            </w:pPr>
            <w:r>
              <w:t>采区工作帮坡角不大于设计工作帮坡角。</w:t>
            </w:r>
          </w:p>
        </w:tc>
        <w:tc>
          <w:tcPr>
            <w:tcW w:w="561" w:type="pct"/>
            <w:vAlign w:val="center"/>
          </w:tcPr>
          <w:p w14:paraId="21D551AE">
            <w:pPr>
              <w:pStyle w:val="50"/>
              <w:bidi w:val="0"/>
            </w:pPr>
            <w:r>
              <w:t>不构成</w:t>
            </w:r>
          </w:p>
        </w:tc>
      </w:tr>
      <w:tr w14:paraId="384AC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36" w:hRule="atLeast"/>
          <w:jc w:val="center"/>
        </w:trPr>
        <w:tc>
          <w:tcPr>
            <w:tcW w:w="359" w:type="pct"/>
            <w:vAlign w:val="center"/>
          </w:tcPr>
          <w:p w14:paraId="3A1DC83E">
            <w:pPr>
              <w:pStyle w:val="50"/>
              <w:bidi w:val="0"/>
            </w:pPr>
            <w:r>
              <w:t>5</w:t>
            </w:r>
          </w:p>
        </w:tc>
        <w:tc>
          <w:tcPr>
            <w:tcW w:w="1888" w:type="pct"/>
            <w:vAlign w:val="center"/>
          </w:tcPr>
          <w:p w14:paraId="2397C52C">
            <w:pPr>
              <w:pStyle w:val="50"/>
              <w:bidi w:val="0"/>
            </w:pPr>
            <w:r>
              <w:t>开采或者破坏设计要求保留的矿（岩）柱或者挂帮矿体。</w:t>
            </w:r>
          </w:p>
        </w:tc>
        <w:tc>
          <w:tcPr>
            <w:tcW w:w="727" w:type="pct"/>
            <w:vMerge w:val="continue"/>
            <w:vAlign w:val="center"/>
          </w:tcPr>
          <w:p w14:paraId="1073E9E0">
            <w:pPr>
              <w:pStyle w:val="50"/>
              <w:bidi w:val="0"/>
            </w:pPr>
          </w:p>
        </w:tc>
        <w:tc>
          <w:tcPr>
            <w:tcW w:w="1463" w:type="pct"/>
            <w:vAlign w:val="center"/>
          </w:tcPr>
          <w:p w14:paraId="49DFF564">
            <w:pPr>
              <w:pStyle w:val="50"/>
              <w:bidi w:val="0"/>
            </w:pPr>
            <w:r>
              <w:t>目前矿山不涉及保留的矿柱、岩柱，未擅自开采或破坏设计规定挂帮矿体。</w:t>
            </w:r>
          </w:p>
        </w:tc>
        <w:tc>
          <w:tcPr>
            <w:tcW w:w="561" w:type="pct"/>
            <w:vAlign w:val="center"/>
          </w:tcPr>
          <w:p w14:paraId="2FD5CDF4">
            <w:pPr>
              <w:pStyle w:val="50"/>
              <w:bidi w:val="0"/>
            </w:pPr>
            <w:r>
              <w:t>不涉及</w:t>
            </w:r>
          </w:p>
        </w:tc>
      </w:tr>
      <w:tr w14:paraId="2BD903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99" w:hRule="atLeast"/>
          <w:jc w:val="center"/>
        </w:trPr>
        <w:tc>
          <w:tcPr>
            <w:tcW w:w="359" w:type="pct"/>
            <w:vAlign w:val="center"/>
          </w:tcPr>
          <w:p w14:paraId="28D55C16">
            <w:pPr>
              <w:pStyle w:val="50"/>
              <w:bidi w:val="0"/>
            </w:pPr>
            <w:r>
              <w:t>6</w:t>
            </w:r>
          </w:p>
        </w:tc>
        <w:tc>
          <w:tcPr>
            <w:tcW w:w="1888" w:type="pct"/>
            <w:vAlign w:val="center"/>
          </w:tcPr>
          <w:p w14:paraId="1C3A7E81">
            <w:pPr>
              <w:pStyle w:val="50"/>
              <w:bidi w:val="0"/>
            </w:pPr>
            <w:r>
              <w:t>未按有关国家标准或者行业标准对采场边坡、排土场边坡进行稳定性分析。</w:t>
            </w:r>
          </w:p>
        </w:tc>
        <w:tc>
          <w:tcPr>
            <w:tcW w:w="727" w:type="pct"/>
            <w:vMerge w:val="continue"/>
            <w:vAlign w:val="center"/>
          </w:tcPr>
          <w:p w14:paraId="0B13CB6C">
            <w:pPr>
              <w:pStyle w:val="50"/>
              <w:bidi w:val="0"/>
            </w:pPr>
          </w:p>
        </w:tc>
        <w:tc>
          <w:tcPr>
            <w:tcW w:w="1463" w:type="pct"/>
            <w:vAlign w:val="center"/>
          </w:tcPr>
          <w:p w14:paraId="116F9653">
            <w:pPr>
              <w:pStyle w:val="50"/>
              <w:bidi w:val="0"/>
            </w:pPr>
            <w:r>
              <w:t>安全设施设计时，已对采场边坡进行稳定性评估。</w:t>
            </w:r>
          </w:p>
        </w:tc>
        <w:tc>
          <w:tcPr>
            <w:tcW w:w="561" w:type="pct"/>
            <w:vAlign w:val="center"/>
          </w:tcPr>
          <w:p w14:paraId="00E6A873">
            <w:pPr>
              <w:pStyle w:val="50"/>
              <w:bidi w:val="0"/>
            </w:pPr>
            <w:r>
              <w:t>不构成</w:t>
            </w:r>
          </w:p>
        </w:tc>
      </w:tr>
      <w:tr w14:paraId="34BD22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17" w:hRule="atLeast"/>
          <w:jc w:val="center"/>
        </w:trPr>
        <w:tc>
          <w:tcPr>
            <w:tcW w:w="359" w:type="pct"/>
            <w:vAlign w:val="center"/>
          </w:tcPr>
          <w:p w14:paraId="3F63F556">
            <w:pPr>
              <w:pStyle w:val="50"/>
              <w:bidi w:val="0"/>
            </w:pPr>
            <w:r>
              <w:t>7</w:t>
            </w:r>
          </w:p>
        </w:tc>
        <w:tc>
          <w:tcPr>
            <w:tcW w:w="1888" w:type="pct"/>
            <w:vAlign w:val="center"/>
          </w:tcPr>
          <w:p w14:paraId="1C1BFAD6">
            <w:pPr>
              <w:pStyle w:val="50"/>
              <w:bidi w:val="0"/>
            </w:pPr>
            <w:r>
              <w:t>边坡存在下列情形之一的：</w:t>
            </w:r>
            <w:r>
              <w:rPr>
                <w:rFonts w:hint="eastAsia"/>
                <w:lang w:eastAsia="zh-CN"/>
              </w:rPr>
              <w:t>（</w:t>
            </w:r>
            <w:r>
              <w:t>1</w:t>
            </w:r>
            <w:r>
              <w:rPr>
                <w:rFonts w:hint="eastAsia"/>
                <w:lang w:eastAsia="zh-CN"/>
              </w:rPr>
              <w:t>）</w:t>
            </w:r>
            <w:r>
              <w:t>高度200米及以上的采场边坡未进行在线监测；</w:t>
            </w:r>
            <w:r>
              <w:rPr>
                <w:rFonts w:hint="eastAsia"/>
                <w:lang w:eastAsia="zh-CN"/>
              </w:rPr>
              <w:t>（</w:t>
            </w:r>
            <w:r>
              <w:t>2</w:t>
            </w:r>
            <w:r>
              <w:rPr>
                <w:rFonts w:hint="eastAsia"/>
                <w:lang w:eastAsia="zh-CN"/>
              </w:rPr>
              <w:t>）</w:t>
            </w:r>
            <w:r>
              <w:t>高度200米及以上的排土场边坡未建立边坡稳定监测系统；</w:t>
            </w:r>
            <w:r>
              <w:rPr>
                <w:rFonts w:hint="eastAsia"/>
                <w:lang w:eastAsia="zh-CN"/>
              </w:rPr>
              <w:t>（</w:t>
            </w:r>
            <w:r>
              <w:t>3</w:t>
            </w:r>
            <w:r>
              <w:rPr>
                <w:rFonts w:hint="eastAsia"/>
                <w:lang w:eastAsia="zh-CN"/>
              </w:rPr>
              <w:t>）</w:t>
            </w:r>
            <w:r>
              <w:t>关闭、破坏监测系统或者隐瞒、篡改、销毁其相关数据、信息。</w:t>
            </w:r>
          </w:p>
        </w:tc>
        <w:tc>
          <w:tcPr>
            <w:tcW w:w="727" w:type="pct"/>
            <w:vMerge w:val="continue"/>
            <w:vAlign w:val="center"/>
          </w:tcPr>
          <w:p w14:paraId="7872B5A3">
            <w:pPr>
              <w:pStyle w:val="50"/>
              <w:bidi w:val="0"/>
            </w:pPr>
          </w:p>
        </w:tc>
        <w:tc>
          <w:tcPr>
            <w:tcW w:w="1463" w:type="pct"/>
            <w:vAlign w:val="center"/>
          </w:tcPr>
          <w:p w14:paraId="63AF1C82">
            <w:pPr>
              <w:pStyle w:val="50"/>
              <w:bidi w:val="0"/>
            </w:pPr>
            <w:r>
              <w:t>边坡高度未超过200m及以上。</w:t>
            </w:r>
          </w:p>
        </w:tc>
        <w:tc>
          <w:tcPr>
            <w:tcW w:w="561" w:type="pct"/>
            <w:vAlign w:val="center"/>
          </w:tcPr>
          <w:p w14:paraId="4FE58F73">
            <w:pPr>
              <w:pStyle w:val="50"/>
              <w:bidi w:val="0"/>
            </w:pPr>
            <w:r>
              <w:t>不构成</w:t>
            </w:r>
          </w:p>
        </w:tc>
      </w:tr>
      <w:tr w14:paraId="3824CD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102" w:hRule="atLeast"/>
          <w:jc w:val="center"/>
        </w:trPr>
        <w:tc>
          <w:tcPr>
            <w:tcW w:w="359" w:type="pct"/>
            <w:vAlign w:val="center"/>
          </w:tcPr>
          <w:p w14:paraId="56CEDB3A">
            <w:pPr>
              <w:spacing w:before="78" w:after="78"/>
              <w:ind w:left="0" w:leftChars="0" w:firstLine="0" w:firstLineChars="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8</w:t>
            </w:r>
          </w:p>
        </w:tc>
        <w:tc>
          <w:tcPr>
            <w:tcW w:w="1888" w:type="pct"/>
            <w:vAlign w:val="center"/>
          </w:tcPr>
          <w:p w14:paraId="5B7F90B6">
            <w:pPr>
              <w:pStyle w:val="50"/>
              <w:bidi w:val="0"/>
            </w:pPr>
            <w:r>
              <w:t>边坡出现滑移现象，存在下列情形之一的：</w:t>
            </w:r>
            <w:r>
              <w:rPr>
                <w:rFonts w:hint="eastAsia"/>
                <w:lang w:eastAsia="zh-CN"/>
              </w:rPr>
              <w:t>（</w:t>
            </w:r>
            <w:r>
              <w:t>1</w:t>
            </w:r>
            <w:r>
              <w:rPr>
                <w:rFonts w:hint="eastAsia"/>
                <w:lang w:eastAsia="zh-CN"/>
              </w:rPr>
              <w:t>）</w:t>
            </w:r>
            <w:r>
              <w:t>边坡出现横向及纵向放射状裂缝；</w:t>
            </w:r>
            <w:r>
              <w:rPr>
                <w:rFonts w:hint="eastAsia"/>
                <w:lang w:eastAsia="zh-CN"/>
              </w:rPr>
              <w:t>（</w:t>
            </w:r>
            <w:r>
              <w:t>2</w:t>
            </w:r>
            <w:r>
              <w:rPr>
                <w:rFonts w:hint="eastAsia"/>
                <w:lang w:eastAsia="zh-CN"/>
              </w:rPr>
              <w:t>）</w:t>
            </w:r>
            <w:r>
              <w:t>坡体前缘坡脚处出现上隆（凸起）现象，后缘的裂缝急剧扩展；</w:t>
            </w:r>
            <w:r>
              <w:rPr>
                <w:rFonts w:hint="eastAsia"/>
                <w:lang w:eastAsia="zh-CN"/>
              </w:rPr>
              <w:t>（</w:t>
            </w:r>
            <w:r>
              <w:t>3</w:t>
            </w:r>
            <w:r>
              <w:rPr>
                <w:rFonts w:hint="eastAsia"/>
                <w:lang w:eastAsia="zh-CN"/>
              </w:rPr>
              <w:t>）</w:t>
            </w:r>
            <w:r>
              <w:t>位移观测资料显示的水平位移量或者垂直位移量出现加速变化的趋势。</w:t>
            </w:r>
          </w:p>
        </w:tc>
        <w:tc>
          <w:tcPr>
            <w:tcW w:w="727" w:type="pct"/>
            <w:vMerge w:val="continue"/>
            <w:vAlign w:val="center"/>
          </w:tcPr>
          <w:p w14:paraId="47DF73C7">
            <w:pPr>
              <w:pStyle w:val="50"/>
              <w:bidi w:val="0"/>
            </w:pPr>
          </w:p>
        </w:tc>
        <w:tc>
          <w:tcPr>
            <w:tcW w:w="1463" w:type="pct"/>
            <w:vAlign w:val="center"/>
          </w:tcPr>
          <w:p w14:paraId="62697514">
            <w:pPr>
              <w:pStyle w:val="50"/>
              <w:bidi w:val="0"/>
            </w:pPr>
            <w:r>
              <w:t>边坡</w:t>
            </w:r>
            <w:r>
              <w:rPr>
                <w:rFonts w:hint="eastAsia"/>
                <w:lang w:val="en-US" w:eastAsia="zh-CN"/>
              </w:rPr>
              <w:t>为稳定</w:t>
            </w:r>
            <w:r>
              <w:t>未存在滑移现象</w:t>
            </w:r>
          </w:p>
        </w:tc>
        <w:tc>
          <w:tcPr>
            <w:tcW w:w="561" w:type="pct"/>
            <w:vAlign w:val="center"/>
          </w:tcPr>
          <w:p w14:paraId="02BD6DAA">
            <w:pPr>
              <w:pStyle w:val="50"/>
              <w:bidi w:val="0"/>
            </w:pPr>
            <w:r>
              <w:t>不构成</w:t>
            </w:r>
          </w:p>
        </w:tc>
      </w:tr>
      <w:tr w14:paraId="5CA479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359" w:type="pct"/>
            <w:vAlign w:val="center"/>
          </w:tcPr>
          <w:p w14:paraId="76F53089">
            <w:pPr>
              <w:spacing w:before="78" w:after="78"/>
              <w:ind w:left="0" w:leftChars="0" w:firstLine="0" w:firstLineChars="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9</w:t>
            </w:r>
          </w:p>
        </w:tc>
        <w:tc>
          <w:tcPr>
            <w:tcW w:w="1888" w:type="pct"/>
            <w:vAlign w:val="center"/>
          </w:tcPr>
          <w:p w14:paraId="3753F20E">
            <w:pPr>
              <w:pStyle w:val="50"/>
              <w:bidi w:val="0"/>
            </w:pPr>
            <w:r>
              <w:t>运输道路坡度大于设计坡度10%以上。</w:t>
            </w:r>
          </w:p>
        </w:tc>
        <w:tc>
          <w:tcPr>
            <w:tcW w:w="727" w:type="pct"/>
            <w:vMerge w:val="continue"/>
            <w:vAlign w:val="center"/>
          </w:tcPr>
          <w:p w14:paraId="2A79C759">
            <w:pPr>
              <w:pStyle w:val="50"/>
              <w:bidi w:val="0"/>
            </w:pPr>
          </w:p>
        </w:tc>
        <w:tc>
          <w:tcPr>
            <w:tcW w:w="1463" w:type="pct"/>
            <w:vAlign w:val="center"/>
          </w:tcPr>
          <w:p w14:paraId="7F50E563">
            <w:pPr>
              <w:pStyle w:val="50"/>
              <w:bidi w:val="0"/>
            </w:pPr>
            <w:r>
              <w:t>设</w:t>
            </w:r>
            <w:r>
              <w:rPr>
                <w:rStyle w:val="58"/>
              </w:rPr>
              <w:t>计运输道路</w:t>
            </w:r>
            <w:r>
              <w:rPr>
                <w:rStyle w:val="58"/>
                <w:rFonts w:hint="default"/>
              </w:rPr>
              <w:t>平均坡度约为</w:t>
            </w:r>
            <w:r>
              <w:rPr>
                <w:rStyle w:val="58"/>
                <w:rFonts w:hint="default"/>
                <w:lang w:val="en-US" w:eastAsia="zh-CN"/>
              </w:rPr>
              <w:t>平均坡度≦</w:t>
            </w:r>
            <w:r>
              <w:rPr>
                <w:rStyle w:val="58"/>
                <w:rFonts w:hint="eastAsia"/>
                <w:lang w:val="en-US" w:eastAsia="zh-CN"/>
              </w:rPr>
              <w:t>6.8</w:t>
            </w:r>
            <w:r>
              <w:rPr>
                <w:rStyle w:val="58"/>
                <w:rFonts w:hint="default"/>
                <w:lang w:val="en-US" w:eastAsia="zh-CN"/>
              </w:rPr>
              <w:t>%</w:t>
            </w:r>
            <w:r>
              <w:rPr>
                <w:rStyle w:val="58"/>
                <w:rFonts w:hint="eastAsia"/>
                <w:lang w:val="en-US" w:eastAsia="zh-CN"/>
              </w:rPr>
              <w:t>，</w:t>
            </w:r>
            <w:r>
              <w:rPr>
                <w:rStyle w:val="58"/>
                <w:rFonts w:hint="default"/>
                <w:lang w:val="en-US" w:eastAsia="zh-CN"/>
              </w:rPr>
              <w:t>最大坡度</w:t>
            </w:r>
            <w:r>
              <w:rPr>
                <w:rStyle w:val="58"/>
                <w:rFonts w:hint="eastAsia"/>
                <w:lang w:val="en-US" w:eastAsia="zh-CN"/>
              </w:rPr>
              <w:t>9</w:t>
            </w:r>
            <w:r>
              <w:rPr>
                <w:rStyle w:val="58"/>
                <w:rFonts w:hint="default"/>
                <w:lang w:val="en-US" w:eastAsia="zh-CN"/>
              </w:rPr>
              <w:t>%</w:t>
            </w:r>
            <w:r>
              <w:rPr>
                <w:rStyle w:val="58"/>
                <w:rFonts w:hint="default"/>
              </w:rPr>
              <w:t>。</w:t>
            </w:r>
          </w:p>
        </w:tc>
        <w:tc>
          <w:tcPr>
            <w:tcW w:w="561" w:type="pct"/>
            <w:vAlign w:val="center"/>
          </w:tcPr>
          <w:p w14:paraId="0E39DB73">
            <w:pPr>
              <w:pStyle w:val="50"/>
              <w:bidi w:val="0"/>
            </w:pPr>
            <w:r>
              <w:t>不构成</w:t>
            </w:r>
          </w:p>
        </w:tc>
      </w:tr>
      <w:tr w14:paraId="6474EF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19" w:hRule="atLeast"/>
          <w:jc w:val="center"/>
        </w:trPr>
        <w:tc>
          <w:tcPr>
            <w:tcW w:w="359" w:type="pct"/>
            <w:vAlign w:val="center"/>
          </w:tcPr>
          <w:p w14:paraId="2CE2BCEB">
            <w:pPr>
              <w:spacing w:before="78" w:after="78"/>
              <w:ind w:left="0" w:leftChars="0" w:firstLine="0" w:firstLineChars="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10</w:t>
            </w:r>
          </w:p>
        </w:tc>
        <w:tc>
          <w:tcPr>
            <w:tcW w:w="1888" w:type="pct"/>
            <w:vAlign w:val="center"/>
          </w:tcPr>
          <w:p w14:paraId="1176435D">
            <w:pPr>
              <w:pStyle w:val="50"/>
              <w:bidi w:val="0"/>
            </w:pPr>
            <w:r>
              <w:t>凹陷露天矿山未按设计建设防洪、排洪设施。</w:t>
            </w:r>
          </w:p>
        </w:tc>
        <w:tc>
          <w:tcPr>
            <w:tcW w:w="727" w:type="pct"/>
            <w:vMerge w:val="continue"/>
            <w:vAlign w:val="center"/>
          </w:tcPr>
          <w:p w14:paraId="0102FEE9">
            <w:pPr>
              <w:pStyle w:val="50"/>
              <w:bidi w:val="0"/>
            </w:pPr>
          </w:p>
        </w:tc>
        <w:tc>
          <w:tcPr>
            <w:tcW w:w="1463" w:type="pct"/>
            <w:vAlign w:val="center"/>
          </w:tcPr>
          <w:p w14:paraId="6AF9E5FE">
            <w:pPr>
              <w:pStyle w:val="50"/>
              <w:bidi w:val="0"/>
              <w:rPr>
                <w:color w:val="auto"/>
              </w:rPr>
            </w:pPr>
            <w:r>
              <w:rPr>
                <w:rFonts w:hint="eastAsia"/>
                <w:color w:val="auto"/>
                <w:lang w:val="en-US" w:eastAsia="zh-CN"/>
              </w:rPr>
              <w:t>矿山为坡形</w:t>
            </w:r>
            <w:r>
              <w:rPr>
                <w:color w:val="auto"/>
              </w:rPr>
              <w:t>露天矿山。</w:t>
            </w:r>
          </w:p>
        </w:tc>
        <w:tc>
          <w:tcPr>
            <w:tcW w:w="561" w:type="pct"/>
            <w:vAlign w:val="center"/>
          </w:tcPr>
          <w:p w14:paraId="0FF927B4">
            <w:pPr>
              <w:pStyle w:val="50"/>
              <w:bidi w:val="0"/>
              <w:rPr>
                <w:rFonts w:hint="eastAsia" w:eastAsia="宋体"/>
                <w:lang w:eastAsia="zh-CN"/>
              </w:rPr>
            </w:pPr>
            <w:r>
              <w:t>不</w:t>
            </w:r>
            <w:r>
              <w:rPr>
                <w:rFonts w:hint="eastAsia"/>
                <w:lang w:val="en-US" w:eastAsia="zh-CN"/>
              </w:rPr>
              <w:t>涉及</w:t>
            </w:r>
          </w:p>
        </w:tc>
      </w:tr>
      <w:tr w14:paraId="1D9FE7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0" w:hRule="atLeast"/>
          <w:jc w:val="center"/>
        </w:trPr>
        <w:tc>
          <w:tcPr>
            <w:tcW w:w="359" w:type="pct"/>
            <w:vAlign w:val="center"/>
          </w:tcPr>
          <w:p w14:paraId="7505493A">
            <w:pPr>
              <w:spacing w:before="78" w:after="78"/>
              <w:ind w:left="0" w:leftChars="0" w:firstLine="0" w:firstLineChars="0"/>
              <w:rPr>
                <w:color w:val="000000" w:themeColor="text1"/>
                <w:sz w:val="21"/>
                <w:szCs w:val="21"/>
                <w14:textFill>
                  <w14:solidFill>
                    <w14:schemeClr w14:val="tx1"/>
                  </w14:solidFill>
                </w14:textFill>
              </w:rPr>
            </w:pPr>
            <w:r>
              <w:rPr>
                <w:color w:val="000000" w:themeColor="text1"/>
                <w:sz w:val="21"/>
                <w:szCs w:val="21"/>
                <w14:textFill>
                  <w14:solidFill>
                    <w14:schemeClr w14:val="tx1"/>
                  </w14:solidFill>
                </w14:textFill>
              </w:rPr>
              <w:t>11</w:t>
            </w:r>
          </w:p>
        </w:tc>
        <w:tc>
          <w:tcPr>
            <w:tcW w:w="1888" w:type="pct"/>
            <w:vAlign w:val="center"/>
          </w:tcPr>
          <w:p w14:paraId="5D0E446A">
            <w:pPr>
              <w:pStyle w:val="50"/>
              <w:bidi w:val="0"/>
            </w:pPr>
            <w:r>
              <w:t>排土场存在下列情形之一的：</w:t>
            </w:r>
            <w:r>
              <w:rPr>
                <w:rFonts w:hint="eastAsia"/>
                <w:lang w:eastAsia="zh-CN"/>
              </w:rPr>
              <w:t>（</w:t>
            </w:r>
            <w:r>
              <w:t>1</w:t>
            </w:r>
            <w:r>
              <w:rPr>
                <w:rFonts w:hint="eastAsia"/>
                <w:lang w:eastAsia="zh-CN"/>
              </w:rPr>
              <w:t>）</w:t>
            </w:r>
            <w:r>
              <w:t>在平均坡度大于1:5的地基上顺坡排土，未按设计采取安全措施；</w:t>
            </w:r>
            <w:r>
              <w:rPr>
                <w:rFonts w:hint="eastAsia"/>
                <w:lang w:eastAsia="zh-CN"/>
              </w:rPr>
              <w:t>（</w:t>
            </w:r>
            <w:r>
              <w:t>2</w:t>
            </w:r>
            <w:r>
              <w:rPr>
                <w:rFonts w:hint="eastAsia"/>
                <w:lang w:eastAsia="zh-CN"/>
              </w:rPr>
              <w:t>）</w:t>
            </w:r>
            <w:r>
              <w:t>排土场总堆置高度2倍范围以内有人员密集场所，未按设计采取安全措施；</w:t>
            </w:r>
            <w:r>
              <w:rPr>
                <w:rFonts w:hint="eastAsia"/>
                <w:lang w:eastAsia="zh-CN"/>
              </w:rPr>
              <w:t>（</w:t>
            </w:r>
            <w:r>
              <w:t>3</w:t>
            </w:r>
            <w:r>
              <w:rPr>
                <w:rFonts w:hint="eastAsia"/>
                <w:lang w:eastAsia="zh-CN"/>
              </w:rPr>
              <w:t>）</w:t>
            </w:r>
            <w:r>
              <w:t>山坡排土场周围未按设计修筑截、排水设施。</w:t>
            </w:r>
          </w:p>
        </w:tc>
        <w:tc>
          <w:tcPr>
            <w:tcW w:w="727" w:type="pct"/>
            <w:vMerge w:val="continue"/>
            <w:vAlign w:val="center"/>
          </w:tcPr>
          <w:p w14:paraId="07637D03">
            <w:pPr>
              <w:pStyle w:val="50"/>
              <w:bidi w:val="0"/>
            </w:pPr>
          </w:p>
        </w:tc>
        <w:tc>
          <w:tcPr>
            <w:tcW w:w="1463" w:type="pct"/>
            <w:vAlign w:val="center"/>
          </w:tcPr>
          <w:p w14:paraId="0EBFA227">
            <w:pPr>
              <w:pStyle w:val="50"/>
              <w:bidi w:val="0"/>
            </w:pPr>
            <w:r>
              <w:t>该矿山</w:t>
            </w:r>
            <w:r>
              <w:rPr>
                <w:rFonts w:hint="eastAsia"/>
                <w:lang w:val="en-US" w:eastAsia="zh-CN"/>
              </w:rPr>
              <w:t>不设</w:t>
            </w:r>
            <w:r>
              <w:t>排土场。</w:t>
            </w:r>
          </w:p>
        </w:tc>
        <w:tc>
          <w:tcPr>
            <w:tcW w:w="561" w:type="pct"/>
            <w:vAlign w:val="center"/>
          </w:tcPr>
          <w:p w14:paraId="68BC5F46">
            <w:pPr>
              <w:pStyle w:val="50"/>
              <w:bidi w:val="0"/>
              <w:rPr>
                <w:rFonts w:hint="eastAsia" w:eastAsia="宋体"/>
                <w:lang w:eastAsia="zh-CN"/>
              </w:rPr>
            </w:pPr>
            <w:r>
              <w:t>不</w:t>
            </w:r>
            <w:r>
              <w:rPr>
                <w:rFonts w:hint="eastAsia"/>
                <w:lang w:val="en-US" w:eastAsia="zh-CN"/>
              </w:rPr>
              <w:t>涉及</w:t>
            </w:r>
          </w:p>
        </w:tc>
      </w:tr>
      <w:tr w14:paraId="449AD8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88" w:hRule="atLeast"/>
          <w:jc w:val="center"/>
        </w:trPr>
        <w:tc>
          <w:tcPr>
            <w:tcW w:w="359" w:type="pct"/>
            <w:vAlign w:val="center"/>
          </w:tcPr>
          <w:p w14:paraId="1A8503B9">
            <w:pPr>
              <w:pStyle w:val="50"/>
              <w:bidi w:val="0"/>
            </w:pPr>
            <w:r>
              <w:t>12</w:t>
            </w:r>
          </w:p>
        </w:tc>
        <w:tc>
          <w:tcPr>
            <w:tcW w:w="1888" w:type="pct"/>
            <w:vAlign w:val="center"/>
          </w:tcPr>
          <w:p w14:paraId="7BEC7E96">
            <w:pPr>
              <w:pStyle w:val="50"/>
              <w:bidi w:val="0"/>
            </w:pPr>
            <w:r>
              <w:t>露天采场未按设计设置安全平台和清扫平台。</w:t>
            </w:r>
          </w:p>
        </w:tc>
        <w:tc>
          <w:tcPr>
            <w:tcW w:w="727" w:type="pct"/>
            <w:vMerge w:val="continue"/>
            <w:vAlign w:val="center"/>
          </w:tcPr>
          <w:p w14:paraId="3AC12B0A">
            <w:pPr>
              <w:pStyle w:val="50"/>
              <w:bidi w:val="0"/>
            </w:pPr>
          </w:p>
        </w:tc>
        <w:tc>
          <w:tcPr>
            <w:tcW w:w="1463" w:type="pct"/>
            <w:vAlign w:val="center"/>
          </w:tcPr>
          <w:p w14:paraId="1F9D03DD">
            <w:pPr>
              <w:pStyle w:val="50"/>
              <w:bidi w:val="0"/>
            </w:pPr>
            <w:r>
              <w:t>按设计设置</w:t>
            </w:r>
            <w:r>
              <w:rPr>
                <w:rFonts w:hint="eastAsia"/>
                <w:lang w:val="en-US" w:eastAsia="zh-CN"/>
              </w:rPr>
              <w:t>1705m、1390m、1375m</w:t>
            </w:r>
            <w:r>
              <w:t>安全平台</w:t>
            </w:r>
            <w:r>
              <w:rPr>
                <w:rFonts w:hint="eastAsia"/>
                <w:lang w:eastAsia="zh-CN"/>
              </w:rPr>
              <w:t>，</w:t>
            </w:r>
            <w:r>
              <w:rPr>
                <w:rFonts w:hint="eastAsia"/>
                <w:lang w:val="en-US" w:eastAsia="zh-CN"/>
              </w:rPr>
              <w:t>1360m</w:t>
            </w:r>
            <w:r>
              <w:t>清扫平</w:t>
            </w:r>
            <w:r>
              <w:rPr>
                <w:rFonts w:hint="eastAsia"/>
                <w:lang w:val="en-US" w:eastAsia="zh-CN"/>
              </w:rPr>
              <w:t>台未形成，现为采矿平台</w:t>
            </w:r>
            <w:r>
              <w:t>。</w:t>
            </w:r>
          </w:p>
        </w:tc>
        <w:tc>
          <w:tcPr>
            <w:tcW w:w="561" w:type="pct"/>
            <w:vAlign w:val="center"/>
          </w:tcPr>
          <w:p w14:paraId="65A9F7F8">
            <w:pPr>
              <w:pStyle w:val="50"/>
              <w:bidi w:val="0"/>
            </w:pPr>
            <w:r>
              <w:t>不构成</w:t>
            </w:r>
          </w:p>
        </w:tc>
      </w:tr>
      <w:tr w14:paraId="41A2A0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5" w:hRule="atLeast"/>
          <w:jc w:val="center"/>
        </w:trPr>
        <w:tc>
          <w:tcPr>
            <w:tcW w:w="359" w:type="pct"/>
            <w:vAlign w:val="center"/>
          </w:tcPr>
          <w:p w14:paraId="03673CCA">
            <w:pPr>
              <w:pStyle w:val="50"/>
              <w:bidi w:val="0"/>
            </w:pPr>
            <w:r>
              <w:t>13</w:t>
            </w:r>
          </w:p>
        </w:tc>
        <w:tc>
          <w:tcPr>
            <w:tcW w:w="1888" w:type="pct"/>
            <w:vAlign w:val="center"/>
          </w:tcPr>
          <w:p w14:paraId="2A93B892">
            <w:pPr>
              <w:pStyle w:val="50"/>
              <w:bidi w:val="0"/>
            </w:pPr>
            <w:r>
              <w:t>擅自对在用排土场进行回采作业。</w:t>
            </w:r>
          </w:p>
        </w:tc>
        <w:tc>
          <w:tcPr>
            <w:tcW w:w="727" w:type="pct"/>
            <w:vMerge w:val="continue"/>
            <w:vAlign w:val="center"/>
          </w:tcPr>
          <w:p w14:paraId="001C92CF">
            <w:pPr>
              <w:pStyle w:val="50"/>
              <w:bidi w:val="0"/>
            </w:pPr>
          </w:p>
        </w:tc>
        <w:tc>
          <w:tcPr>
            <w:tcW w:w="1463" w:type="pct"/>
            <w:vAlign w:val="center"/>
          </w:tcPr>
          <w:p w14:paraId="6338B38A">
            <w:pPr>
              <w:pStyle w:val="50"/>
              <w:bidi w:val="0"/>
            </w:pPr>
            <w:r>
              <w:rPr>
                <w:rFonts w:hint="eastAsia"/>
                <w:lang w:val="en-US" w:eastAsia="zh-CN"/>
              </w:rPr>
              <w:t>暂不设置</w:t>
            </w:r>
            <w:r>
              <w:t>排土场。</w:t>
            </w:r>
          </w:p>
        </w:tc>
        <w:tc>
          <w:tcPr>
            <w:tcW w:w="561" w:type="pct"/>
            <w:vAlign w:val="center"/>
          </w:tcPr>
          <w:p w14:paraId="114C92A6">
            <w:pPr>
              <w:pStyle w:val="50"/>
              <w:bidi w:val="0"/>
              <w:rPr>
                <w:rFonts w:hint="eastAsia" w:eastAsia="宋体"/>
                <w:lang w:eastAsia="zh-CN"/>
              </w:rPr>
            </w:pPr>
            <w:r>
              <w:t>不</w:t>
            </w:r>
            <w:r>
              <w:rPr>
                <w:rFonts w:hint="eastAsia"/>
                <w:lang w:val="en-US" w:eastAsia="zh-CN"/>
              </w:rPr>
              <w:t>涉及</w:t>
            </w:r>
          </w:p>
        </w:tc>
      </w:tr>
      <w:tr w14:paraId="7069D5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51" w:hRule="atLeast"/>
          <w:jc w:val="center"/>
        </w:trPr>
        <w:tc>
          <w:tcPr>
            <w:tcW w:w="359" w:type="pct"/>
            <w:vAlign w:val="center"/>
          </w:tcPr>
          <w:p w14:paraId="16E7CF31">
            <w:pPr>
              <w:pStyle w:val="50"/>
              <w:bidi w:val="0"/>
            </w:pPr>
            <w:r>
              <w:t>14</w:t>
            </w:r>
          </w:p>
        </w:tc>
        <w:tc>
          <w:tcPr>
            <w:tcW w:w="1888" w:type="pct"/>
            <w:vAlign w:val="center"/>
          </w:tcPr>
          <w:p w14:paraId="56045368">
            <w:pPr>
              <w:pStyle w:val="50"/>
              <w:bidi w:val="0"/>
            </w:pPr>
            <w:r>
              <w:t>办公区、生活区等人员集聚场所设在危崖、塌陷区、崩落区，或洪水、泥石流、滑坡等灾害威胁范围内。</w:t>
            </w:r>
          </w:p>
        </w:tc>
        <w:tc>
          <w:tcPr>
            <w:tcW w:w="727" w:type="pct"/>
            <w:vMerge w:val="restart"/>
            <w:vAlign w:val="center"/>
          </w:tcPr>
          <w:p w14:paraId="7F0096FE">
            <w:pPr>
              <w:pStyle w:val="50"/>
              <w:bidi w:val="0"/>
            </w:pPr>
            <w:r>
              <w:t>《国家矿山安全监察局关于印发&lt;金属非金属矿山重大事故隐患判定标准补充情形&gt;的通知》（矿安〔2024〕41号）</w:t>
            </w:r>
          </w:p>
        </w:tc>
        <w:tc>
          <w:tcPr>
            <w:tcW w:w="1463" w:type="pct"/>
            <w:vAlign w:val="center"/>
          </w:tcPr>
          <w:p w14:paraId="54AD82C9">
            <w:pPr>
              <w:pStyle w:val="50"/>
              <w:bidi w:val="0"/>
            </w:pPr>
            <w:r>
              <w:t>该矿山办公生活区设置在</w:t>
            </w:r>
            <w:r>
              <w:rPr>
                <w:rFonts w:hint="eastAsia"/>
                <w:lang w:val="en-US" w:eastAsia="zh-CN"/>
              </w:rPr>
              <w:t>平缓地段</w:t>
            </w:r>
            <w:r>
              <w:t>。</w:t>
            </w:r>
          </w:p>
        </w:tc>
        <w:tc>
          <w:tcPr>
            <w:tcW w:w="561" w:type="pct"/>
            <w:vAlign w:val="center"/>
          </w:tcPr>
          <w:p w14:paraId="1F7F443F">
            <w:pPr>
              <w:pStyle w:val="50"/>
              <w:bidi w:val="0"/>
            </w:pPr>
            <w:r>
              <w:t>不构成</w:t>
            </w:r>
          </w:p>
        </w:tc>
      </w:tr>
      <w:tr w14:paraId="66E9A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304" w:hRule="atLeast"/>
          <w:jc w:val="center"/>
        </w:trPr>
        <w:tc>
          <w:tcPr>
            <w:tcW w:w="359" w:type="pct"/>
            <w:vAlign w:val="center"/>
          </w:tcPr>
          <w:p w14:paraId="2733DE3E">
            <w:pPr>
              <w:pStyle w:val="50"/>
              <w:bidi w:val="0"/>
            </w:pPr>
            <w:r>
              <w:t>15</w:t>
            </w:r>
          </w:p>
        </w:tc>
        <w:tc>
          <w:tcPr>
            <w:tcW w:w="1888" w:type="pct"/>
            <w:vAlign w:val="center"/>
          </w:tcPr>
          <w:p w14:paraId="0BE1C904">
            <w:pPr>
              <w:pStyle w:val="50"/>
              <w:bidi w:val="0"/>
            </w:pPr>
            <w:r>
              <w:t>遇极端天气露天矿山未及时停止作业、撤出现场作业人员。</w:t>
            </w:r>
          </w:p>
        </w:tc>
        <w:tc>
          <w:tcPr>
            <w:tcW w:w="727" w:type="pct"/>
            <w:vMerge w:val="continue"/>
            <w:vAlign w:val="center"/>
          </w:tcPr>
          <w:p w14:paraId="6FE965C8">
            <w:pPr>
              <w:pStyle w:val="50"/>
              <w:bidi w:val="0"/>
            </w:pPr>
          </w:p>
        </w:tc>
        <w:tc>
          <w:tcPr>
            <w:tcW w:w="1463" w:type="pct"/>
            <w:vAlign w:val="center"/>
          </w:tcPr>
          <w:p w14:paraId="67F2A6DC">
            <w:pPr>
              <w:pStyle w:val="50"/>
              <w:bidi w:val="0"/>
            </w:pPr>
            <w:r>
              <w:t>基建期间，未遇到极端天气情况。同时企业要求今后正常生产过程中，遇极端天气露天矿山及时停止作业、撤出现场作业人员。</w:t>
            </w:r>
          </w:p>
        </w:tc>
        <w:tc>
          <w:tcPr>
            <w:tcW w:w="561" w:type="pct"/>
            <w:vAlign w:val="center"/>
          </w:tcPr>
          <w:p w14:paraId="62F833D7">
            <w:pPr>
              <w:pStyle w:val="50"/>
              <w:bidi w:val="0"/>
            </w:pPr>
            <w:r>
              <w:t>不构成</w:t>
            </w:r>
          </w:p>
        </w:tc>
      </w:tr>
      <w:bookmarkEnd w:id="432"/>
    </w:tbl>
    <w:p w14:paraId="5E800DDC">
      <w:pPr>
        <w:bidi w:val="0"/>
      </w:pPr>
      <w:bookmarkStart w:id="433" w:name="_Toc214284065"/>
      <w:bookmarkStart w:id="434" w:name="_Toc24907"/>
      <w:bookmarkStart w:id="435" w:name="_Toc2133"/>
      <w:bookmarkStart w:id="436" w:name="_Toc13979"/>
      <w:bookmarkStart w:id="437" w:name="_Toc8100"/>
      <w:r>
        <w:t>评价分析：针对重大事故隐患安全检查表内的</w:t>
      </w:r>
      <w:r>
        <w:rPr>
          <w:rFonts w:hint="eastAsia"/>
          <w:lang w:val="en-US" w:eastAsia="zh-CN"/>
        </w:rPr>
        <w:t>15</w:t>
      </w:r>
      <w:r>
        <w:t>项内容，其中</w:t>
      </w:r>
      <w:r>
        <w:rPr>
          <w:rFonts w:hint="eastAsia"/>
          <w:lang w:val="en-US" w:eastAsia="zh-CN"/>
        </w:rPr>
        <w:t>14</w:t>
      </w:r>
      <w:r>
        <w:t>项合格，</w:t>
      </w:r>
      <w:r>
        <w:rPr>
          <w:rFonts w:hint="eastAsia"/>
          <w:lang w:val="en-US" w:eastAsia="zh-CN"/>
        </w:rPr>
        <w:t>1</w:t>
      </w:r>
      <w:r>
        <w:t>项不</w:t>
      </w:r>
      <w:r>
        <w:rPr>
          <w:rFonts w:hint="eastAsia"/>
          <w:lang w:val="en-US" w:eastAsia="zh-CN"/>
        </w:rPr>
        <w:t>涉及</w:t>
      </w:r>
      <w:r>
        <w:t>。</w:t>
      </w:r>
    </w:p>
    <w:p w14:paraId="2D4C4EAE">
      <w:pPr>
        <w:pStyle w:val="4"/>
      </w:pPr>
      <w:bookmarkStart w:id="438" w:name="_Toc3424"/>
      <w:r>
        <w:t>3.1</w:t>
      </w:r>
      <w:r>
        <w:rPr>
          <w:rFonts w:hint="eastAsia"/>
          <w:lang w:val="en-US" w:eastAsia="zh-CN"/>
        </w:rPr>
        <w:t>3.2</w:t>
      </w:r>
      <w:r>
        <w:t>单元小结</w:t>
      </w:r>
      <w:bookmarkEnd w:id="433"/>
      <w:bookmarkEnd w:id="434"/>
      <w:bookmarkEnd w:id="435"/>
      <w:bookmarkEnd w:id="436"/>
      <w:bookmarkEnd w:id="437"/>
      <w:bookmarkEnd w:id="438"/>
    </w:p>
    <w:p w14:paraId="3969F748">
      <w:pPr>
        <w:ind w:firstLine="552"/>
        <w:rPr>
          <w:rFonts w:ascii="Times New Roman" w:hAnsi="Times New Roman"/>
          <w:color w:val="000000" w:themeColor="text1"/>
          <w:szCs w:val="28"/>
          <w14:textFill>
            <w14:solidFill>
              <w14:schemeClr w14:val="tx1"/>
            </w14:solidFill>
          </w14:textFill>
        </w:rPr>
      </w:pPr>
      <w:r>
        <w:rPr>
          <w:rFonts w:ascii="Times New Roman" w:hAnsi="Times New Roman"/>
          <w:color w:val="000000" w:themeColor="text1"/>
          <w14:textFill>
            <w14:solidFill>
              <w14:schemeClr w14:val="tx1"/>
            </w14:solidFill>
          </w14:textFill>
        </w:rPr>
        <w:t>依据《国家矿山安全监察局关于印发&lt;金属非金属矿山重大事故隐患判定标准&gt;的通知》（矿安〔2022〕88号）、《国家矿山安全监察局关于印发&lt;金属非金属矿山重大事故隐患判定标准补充情形&gt;的通知》（矿安〔2024〕41号）进行本矿山进行重大事故隐患检查</w:t>
      </w:r>
      <w:r>
        <w:rPr>
          <w:rFonts w:ascii="Times New Roman" w:hAnsi="Times New Roman"/>
          <w:color w:val="000000" w:themeColor="text1"/>
          <w:szCs w:val="28"/>
          <w14:textFill>
            <w14:solidFill>
              <w14:schemeClr w14:val="tx1"/>
            </w14:solidFill>
          </w14:textFill>
        </w:rPr>
        <w:t>，通过上述检查表可知，矿山</w:t>
      </w:r>
      <w:r>
        <w:rPr>
          <w:rFonts w:hint="eastAsia" w:ascii="Times New Roman" w:hAnsi="Times New Roman"/>
          <w:color w:val="000000" w:themeColor="text1"/>
          <w:szCs w:val="28"/>
          <w:lang w:eastAsia="zh-CN"/>
          <w14:textFill>
            <w14:solidFill>
              <w14:schemeClr w14:val="tx1"/>
            </w14:solidFill>
          </w14:textFill>
        </w:rPr>
        <w:t>不构成</w:t>
      </w:r>
      <w:r>
        <w:rPr>
          <w:rFonts w:ascii="Times New Roman" w:hAnsi="Times New Roman"/>
          <w:color w:val="000000" w:themeColor="text1"/>
          <w:szCs w:val="28"/>
          <w14:textFill>
            <w14:solidFill>
              <w14:schemeClr w14:val="tx1"/>
            </w14:solidFill>
          </w14:textFill>
        </w:rPr>
        <w:t>重大事故隐患。</w:t>
      </w:r>
    </w:p>
    <w:p w14:paraId="047E637C">
      <w:pPr>
        <w:keepNext w:val="0"/>
        <w:keepLines w:val="0"/>
        <w:pageBreakBefore w:val="0"/>
        <w:widowControl w:val="0"/>
        <w:kinsoku/>
        <w:wordWrap/>
        <w:overflowPunct/>
        <w:topLinePunct w:val="0"/>
        <w:autoSpaceDE/>
        <w:autoSpaceDN/>
        <w:bidi w:val="0"/>
        <w:adjustRightInd w:val="0"/>
        <w:snapToGrid w:val="0"/>
        <w:ind w:firstLine="560"/>
        <w:jc w:val="center"/>
        <w:textAlignment w:val="auto"/>
        <w:outlineLvl w:val="9"/>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br w:type="page"/>
      </w:r>
      <w:bookmarkStart w:id="439" w:name="_Toc31428"/>
      <w:bookmarkStart w:id="440" w:name="_Toc214284066"/>
    </w:p>
    <w:p w14:paraId="063E8C5B">
      <w:pPr>
        <w:keepNext w:val="0"/>
        <w:keepLines w:val="0"/>
        <w:pageBreakBefore w:val="0"/>
        <w:widowControl w:val="0"/>
        <w:kinsoku/>
        <w:wordWrap/>
        <w:overflowPunct/>
        <w:topLinePunct w:val="0"/>
        <w:autoSpaceDE/>
        <w:autoSpaceDN/>
        <w:bidi w:val="0"/>
        <w:adjustRightInd w:val="0"/>
        <w:snapToGrid w:val="0"/>
        <w:spacing w:line="120" w:lineRule="exact"/>
        <w:ind w:firstLine="560"/>
        <w:jc w:val="center"/>
        <w:textAlignment w:val="auto"/>
        <w:outlineLvl w:val="9"/>
        <w:rPr>
          <w:rFonts w:ascii="Times New Roman" w:hAnsi="Times New Roman"/>
          <w:color w:val="000000" w:themeColor="text1"/>
          <w14:textFill>
            <w14:solidFill>
              <w14:schemeClr w14:val="tx1"/>
            </w14:solidFill>
          </w14:textFill>
        </w:rPr>
      </w:pPr>
    </w:p>
    <w:p w14:paraId="79D512F8">
      <w:pPr>
        <w:pStyle w:val="2"/>
        <w:bidi w:val="0"/>
      </w:pPr>
      <w:bookmarkStart w:id="441" w:name="_Toc7901"/>
      <w:r>
        <w:rPr>
          <w:rFonts w:hint="eastAsia"/>
          <w:lang w:val="en-US" w:eastAsia="zh-CN"/>
        </w:rPr>
        <w:t>4</w:t>
      </w:r>
      <w:r>
        <w:t>安全对策措施建议</w:t>
      </w:r>
      <w:bookmarkEnd w:id="439"/>
      <w:bookmarkEnd w:id="440"/>
      <w:bookmarkEnd w:id="441"/>
    </w:p>
    <w:p w14:paraId="7656C195">
      <w:pPr>
        <w:pStyle w:val="3"/>
        <w:bidi w:val="0"/>
        <w:rPr>
          <w:rFonts w:hint="eastAsia"/>
        </w:rPr>
      </w:pPr>
      <w:bookmarkStart w:id="442" w:name="_Toc19164"/>
      <w:bookmarkStart w:id="443" w:name="_Toc25278"/>
      <w:bookmarkStart w:id="444" w:name="_Toc1073"/>
      <w:bookmarkStart w:id="445" w:name="_Toc4247"/>
      <w:bookmarkStart w:id="446" w:name="_Toc214284070"/>
      <w:bookmarkStart w:id="447" w:name="_Toc476244191"/>
      <w:bookmarkStart w:id="448" w:name="_Toc6782"/>
      <w:bookmarkStart w:id="449" w:name="_Toc454614347"/>
      <w:bookmarkStart w:id="450" w:name="_Toc31588"/>
      <w:bookmarkStart w:id="451" w:name="_Toc7152"/>
      <w:r>
        <w:rPr>
          <w:rFonts w:hint="eastAsia"/>
        </w:rPr>
        <w:t>4.1安全设施</w:t>
      </w:r>
      <w:r>
        <w:rPr>
          <w:rFonts w:hint="eastAsia"/>
          <w:lang w:eastAsia="zh-CN"/>
        </w:rPr>
        <w:t>“</w:t>
      </w:r>
      <w:r>
        <w:rPr>
          <w:rFonts w:hint="eastAsia"/>
        </w:rPr>
        <w:t>三同时</w:t>
      </w:r>
      <w:r>
        <w:rPr>
          <w:rFonts w:hint="eastAsia"/>
          <w:lang w:eastAsia="zh-CN"/>
        </w:rPr>
        <w:t>”</w:t>
      </w:r>
      <w:r>
        <w:rPr>
          <w:rFonts w:hint="eastAsia"/>
        </w:rPr>
        <w:t>程序评价单元</w:t>
      </w:r>
      <w:bookmarkEnd w:id="442"/>
      <w:bookmarkEnd w:id="443"/>
      <w:bookmarkEnd w:id="444"/>
    </w:p>
    <w:p w14:paraId="09B0D7DB">
      <w:pPr>
        <w:bidi w:val="0"/>
        <w:rPr>
          <w:rFonts w:hint="default"/>
          <w:lang w:val="en-US" w:eastAsia="zh-CN"/>
        </w:rPr>
      </w:pPr>
      <w:r>
        <w:rPr>
          <w:rFonts w:hint="eastAsia"/>
          <w:lang w:val="en-US" w:eastAsia="zh-CN"/>
        </w:rPr>
        <w:t>1、按照《初步设计》和《安全设施设计》进行施工和生产；</w:t>
      </w:r>
    </w:p>
    <w:p w14:paraId="33AA093E">
      <w:pPr>
        <w:bidi w:val="0"/>
        <w:rPr>
          <w:rFonts w:hint="eastAsia"/>
        </w:rPr>
      </w:pPr>
      <w:r>
        <w:rPr>
          <w:rFonts w:hint="eastAsia"/>
          <w:lang w:val="en-US" w:eastAsia="zh-CN"/>
        </w:rPr>
        <w:t>2</w:t>
      </w:r>
      <w:r>
        <w:rPr>
          <w:rFonts w:hint="eastAsia"/>
          <w:lang w:eastAsia="zh-CN"/>
        </w:rPr>
        <w:t>、</w:t>
      </w:r>
      <w:r>
        <w:rPr>
          <w:rFonts w:hint="eastAsia"/>
        </w:rPr>
        <w:t>妥善保存建设相关档案材料。</w:t>
      </w:r>
    </w:p>
    <w:p w14:paraId="1F159D37">
      <w:pPr>
        <w:pStyle w:val="3"/>
        <w:bidi w:val="0"/>
      </w:pPr>
      <w:bookmarkStart w:id="452" w:name="_Toc6703"/>
      <w:r>
        <w:t>4.</w:t>
      </w:r>
      <w:r>
        <w:rPr>
          <w:rFonts w:hint="eastAsia"/>
          <w:lang w:val="en-US" w:eastAsia="zh-CN"/>
        </w:rPr>
        <w:t>2</w:t>
      </w:r>
      <w:r>
        <w:t>露天采场</w:t>
      </w:r>
      <w:bookmarkEnd w:id="445"/>
      <w:bookmarkEnd w:id="446"/>
      <w:bookmarkEnd w:id="447"/>
      <w:bookmarkEnd w:id="448"/>
      <w:bookmarkEnd w:id="449"/>
      <w:bookmarkEnd w:id="450"/>
      <w:bookmarkEnd w:id="451"/>
      <w:bookmarkEnd w:id="452"/>
    </w:p>
    <w:p w14:paraId="1B3D0386">
      <w:pPr>
        <w:bidi w:val="0"/>
      </w:pPr>
      <w:r>
        <w:rPr>
          <w:rFonts w:hint="eastAsia"/>
          <w:lang w:val="en-US" w:eastAsia="zh-CN"/>
        </w:rPr>
        <w:t>1</w:t>
      </w:r>
      <w:r>
        <w:rPr>
          <w:rFonts w:hint="eastAsia"/>
          <w:lang w:eastAsia="zh-CN"/>
        </w:rPr>
        <w:t>、</w:t>
      </w:r>
      <w:r>
        <w:t>确保露天采场边界周边围栏或警戒带完好、醒目，并设置相应的安全警示标志；</w:t>
      </w:r>
      <w:r>
        <w:rPr>
          <w:rFonts w:hint="eastAsia" w:ascii="宋体" w:hAnsi="宋体" w:eastAsia="宋体" w:cs="宋体"/>
          <w:color w:val="auto"/>
          <w:kern w:val="0"/>
          <w:szCs w:val="28"/>
          <w:highlight w:val="none"/>
          <w:lang w:val="en-US" w:eastAsia="zh-CN"/>
        </w:rPr>
        <w:t>严格按设计开采范围开采，严禁出现超界、越界开采。</w:t>
      </w:r>
    </w:p>
    <w:p w14:paraId="25E13805">
      <w:pPr>
        <w:bidi w:val="0"/>
      </w:pPr>
      <w:r>
        <w:rPr>
          <w:rFonts w:hint="eastAsia"/>
          <w:lang w:val="en-US" w:eastAsia="zh-CN"/>
        </w:rPr>
        <w:t>2、</w:t>
      </w:r>
      <w:r>
        <w:t>采场临近采空区一侧应设置车挡设施，并配备相应的安全警示标志。</w:t>
      </w:r>
    </w:p>
    <w:p w14:paraId="199D6391">
      <w:pPr>
        <w:bidi w:val="0"/>
        <w:rPr>
          <w:rFonts w:hint="eastAsia"/>
        </w:rPr>
      </w:pPr>
      <w:r>
        <w:rPr>
          <w:rFonts w:hint="eastAsia"/>
          <w:lang w:val="en-US" w:eastAsia="zh-CN"/>
        </w:rPr>
        <w:t>3、</w:t>
      </w:r>
      <w:r>
        <w:rPr>
          <w:rFonts w:hint="eastAsia"/>
        </w:rPr>
        <w:t>临边开采时预留3-4m宽陡坎，采用机械开采方式（禁止爆破），陡坎坡度控制在75°以内，兼具临边防护与防滚石功能，不得超挖或削坡。</w:t>
      </w:r>
    </w:p>
    <w:p w14:paraId="03881633">
      <w:pPr>
        <w:bidi w:val="0"/>
        <w:rPr>
          <w:rFonts w:hint="eastAsia"/>
        </w:rPr>
      </w:pPr>
      <w:r>
        <w:rPr>
          <w:rFonts w:hint="eastAsia"/>
          <w:lang w:val="en-US" w:eastAsia="zh-CN"/>
        </w:rPr>
        <w:t>4、在采矿权东侧存在的采坑局部陡立，容易发生落石、滑坡、坠落等伤害。沿矿坑周边布设土挡墙，在挡墙上部设置警示线及警示标志。</w:t>
      </w:r>
      <w:r>
        <w:rPr>
          <w:rFonts w:hint="eastAsia"/>
        </w:rPr>
        <w:t>标注“临边危险”“注意滚石”等醒目标识。</w:t>
      </w:r>
    </w:p>
    <w:p w14:paraId="5DEAD81B">
      <w:pPr>
        <w:bidi w:val="0"/>
        <w:rPr>
          <w:rFonts w:hint="eastAsia"/>
          <w:lang w:val="en-US" w:eastAsia="zh-CN"/>
        </w:rPr>
      </w:pPr>
      <w:r>
        <w:rPr>
          <w:rFonts w:hint="eastAsia"/>
          <w:lang w:val="en-US" w:eastAsia="zh-CN"/>
        </w:rPr>
        <w:t>5、在采区南侧矿权边界线设置了被动防护网，是有效的防滚石措施，防护网易受落石冲击、地质变形影响，需定期巡检，及时修复破损网体、松动锚杆，清理网内堆积的碎石，长期使用需监测网体应力变化和防腐层状况，对老化构件及时更换，避免因维护滞后降低防护可靠性。</w:t>
      </w:r>
    </w:p>
    <w:p w14:paraId="4642DD07">
      <w:pPr>
        <w:bidi w:val="0"/>
        <w:rPr>
          <w:rFonts w:hint="eastAsia"/>
          <w:lang w:val="en-US" w:eastAsia="zh-CN"/>
        </w:rPr>
      </w:pPr>
      <w:r>
        <w:rPr>
          <w:rFonts w:hint="eastAsia"/>
          <w:lang w:val="en-US" w:eastAsia="zh-CN"/>
        </w:rPr>
        <w:t>6、矿区开采至矿界边沿，爆破应采用松动爆破，逐孔爆破等先进技术，减少爆破震动影响距离，控制爆破飞石抛掷方向；做好相关的安全警戒工作爆破时，派专人警戒，清空各厂房内所有人员撤离至警戒线外的安全区域，爆破警戒解除前禁止运输矿石，安排专人在爆破后进行检查，排除隐患，确认无安全隐患后方可解除警戒。</w:t>
      </w:r>
    </w:p>
    <w:p w14:paraId="02D1679C">
      <w:pPr>
        <w:bidi w:val="0"/>
        <w:rPr>
          <w:rFonts w:hint="eastAsia"/>
          <w:color w:val="FF0000"/>
          <w:lang w:val="en-US" w:eastAsia="zh-CN"/>
        </w:rPr>
      </w:pPr>
      <w:r>
        <w:rPr>
          <w:rFonts w:hint="eastAsia"/>
          <w:lang w:val="en-US" w:eastAsia="zh-CN"/>
        </w:rPr>
        <w:t>7、</w:t>
      </w:r>
      <w:r>
        <w:rPr>
          <w:rFonts w:hint="eastAsia"/>
        </w:rPr>
        <w:t>定期清理临边安全平台、清扫平台及堆料挡墙周边的碎石、浮石，每月对土挡、堆料挡墙进行检查，发现坍塌、松动及时修补加固</w:t>
      </w:r>
      <w:r>
        <w:rPr>
          <w:rFonts w:hint="eastAsia"/>
          <w:lang w:eastAsia="zh-CN"/>
        </w:rPr>
        <w:t>；</w:t>
      </w:r>
      <w:r>
        <w:rPr>
          <w:rFonts w:hint="eastAsia"/>
        </w:rPr>
        <w:t>暴雨、大风天气后1小时内，用无人机巡查临边边坡、陡坎、挡墙完整性，排查滚石隐患，确认无安全风险后再恢复作业；建立滚石隐患台账，实行闭环管理。制定滚石伤人应急处置方案，配备担架、急救箱、清障装载机等物资，每季度组织1次应急演练，提升作业人员避险与处置能力</w:t>
      </w:r>
      <w:r>
        <w:rPr>
          <w:rFonts w:hint="eastAsia"/>
          <w:lang w:eastAsia="zh-CN"/>
        </w:rPr>
        <w:t>。</w:t>
      </w:r>
    </w:p>
    <w:p w14:paraId="5ABEBCD1">
      <w:pPr>
        <w:bidi w:val="0"/>
        <w:rPr>
          <w:rFonts w:hint="eastAsia"/>
        </w:rPr>
      </w:pPr>
      <w:r>
        <w:rPr>
          <w:rFonts w:hint="eastAsia"/>
          <w:lang w:val="en-US" w:eastAsia="zh-CN"/>
        </w:rPr>
        <w:t>8、</w:t>
      </w:r>
      <w:r>
        <w:rPr>
          <w:rFonts w:hint="eastAsia"/>
        </w:rPr>
        <w:t>作业人员必须佩戴安全帽、防滑鞋，高处作业系双钩安全绳（拴固于专用锚点），严禁在临边边缘、陡坎附近站立、停留或跨越；清理临边浮石时，需两人协同作业，设专人监护。</w:t>
      </w:r>
    </w:p>
    <w:p w14:paraId="5AC6F158">
      <w:pPr>
        <w:bidi w:val="0"/>
        <w:rPr>
          <w:rFonts w:hint="default" w:eastAsia="宋体"/>
          <w:lang w:val="en-US" w:eastAsia="zh-CN"/>
        </w:rPr>
      </w:pPr>
      <w:r>
        <w:rPr>
          <w:rFonts w:hint="eastAsia"/>
          <w:lang w:val="en-US" w:eastAsia="zh-CN"/>
        </w:rPr>
        <w:t>9、采场季节风较大，作业人员应远离边坡，谨防跌落。</w:t>
      </w:r>
    </w:p>
    <w:p w14:paraId="0330A083">
      <w:pPr>
        <w:pStyle w:val="3"/>
        <w:bidi w:val="0"/>
      </w:pPr>
      <w:bookmarkStart w:id="453" w:name="_Toc214284071"/>
      <w:bookmarkStart w:id="454" w:name="_Toc15286"/>
      <w:bookmarkStart w:id="455" w:name="_Toc1961"/>
      <w:bookmarkStart w:id="456" w:name="_Toc454614348"/>
      <w:bookmarkStart w:id="457" w:name="_Toc476244192"/>
      <w:bookmarkStart w:id="458" w:name="_Toc17348"/>
      <w:bookmarkStart w:id="459" w:name="_Toc3998"/>
      <w:bookmarkStart w:id="460" w:name="_Toc5173"/>
      <w:r>
        <w:t>4.</w:t>
      </w:r>
      <w:r>
        <w:rPr>
          <w:rFonts w:hint="eastAsia"/>
          <w:lang w:val="en-US" w:eastAsia="zh-CN"/>
        </w:rPr>
        <w:t>3</w:t>
      </w:r>
      <w:r>
        <w:t>采场防排水系统</w:t>
      </w:r>
      <w:bookmarkEnd w:id="453"/>
      <w:bookmarkEnd w:id="454"/>
      <w:bookmarkEnd w:id="455"/>
      <w:bookmarkEnd w:id="456"/>
      <w:bookmarkEnd w:id="457"/>
      <w:bookmarkEnd w:id="458"/>
      <w:bookmarkEnd w:id="459"/>
      <w:bookmarkEnd w:id="460"/>
    </w:p>
    <w:p w14:paraId="7B8A706B">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w:t>
      </w:r>
      <w:r>
        <w:rPr>
          <w:rFonts w:ascii="Times New Roman" w:hAnsi="Times New Roman"/>
          <w:color w:val="000000" w:themeColor="text1"/>
          <w14:textFill>
            <w14:solidFill>
              <w14:schemeClr w14:val="tx1"/>
            </w14:solidFill>
          </w14:textFill>
        </w:rPr>
        <w:t>雨季来临前，应对矿山所有防排水系统进行一次大检查，并将影响矿山生产、生活的隐患及时排出，同时加大对汛期的安全检查力度，加强汛期的值班领导及值班力量，及时处理汛期中发生的问题；</w:t>
      </w:r>
    </w:p>
    <w:p w14:paraId="0907A6DF">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14:textFill>
            <w14:solidFill>
              <w14:schemeClr w14:val="tx1"/>
            </w14:solidFill>
          </w14:textFill>
        </w:rPr>
        <w:t>矿山开采结束时，应按设计要求在采场最终边坡各台阶上设置排水沟，采场内的降雨可通过各台阶上的排水沟自流排出场外；</w:t>
      </w:r>
    </w:p>
    <w:p w14:paraId="22DEA5E2">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3、</w:t>
      </w:r>
      <w:r>
        <w:rPr>
          <w:rFonts w:ascii="Times New Roman" w:hAnsi="Times New Roman"/>
          <w:color w:val="000000" w:themeColor="text1"/>
          <w14:textFill>
            <w14:solidFill>
              <w14:schemeClr w14:val="tx1"/>
            </w14:solidFill>
          </w14:textFill>
        </w:rPr>
        <w:t>雨季为防止雨水对矿区运输道路造成破坏，矿山应加强对运输道路内侧设置的排水沟进行检查</w:t>
      </w:r>
      <w:r>
        <w:rPr>
          <w:rFonts w:hint="eastAsia" w:ascii="Times New Roman" w:hAnsi="Times New Roman"/>
          <w:color w:val="000000" w:themeColor="text1"/>
          <w:lang w:val="en-US" w:eastAsia="zh-CN"/>
          <w14:textFill>
            <w14:solidFill>
              <w14:schemeClr w14:val="tx1"/>
            </w14:solidFill>
          </w14:textFill>
        </w:rPr>
        <w:t>和疏通</w:t>
      </w:r>
      <w:r>
        <w:rPr>
          <w:rFonts w:ascii="Times New Roman" w:hAnsi="Times New Roman"/>
          <w:color w:val="000000" w:themeColor="text1"/>
          <w14:textFill>
            <w14:solidFill>
              <w14:schemeClr w14:val="tx1"/>
            </w14:solidFill>
          </w14:textFill>
        </w:rPr>
        <w:t>。</w:t>
      </w:r>
    </w:p>
    <w:p w14:paraId="6B53B887">
      <w:pPr>
        <w:pStyle w:val="3"/>
        <w:bidi w:val="0"/>
      </w:pPr>
      <w:bookmarkStart w:id="461" w:name="_Toc26089"/>
      <w:bookmarkStart w:id="462" w:name="_Toc2129"/>
      <w:bookmarkStart w:id="463" w:name="_Toc352"/>
      <w:bookmarkStart w:id="464" w:name="_Toc476244193"/>
      <w:bookmarkStart w:id="465" w:name="_Toc214284072"/>
      <w:bookmarkStart w:id="466" w:name="_Toc13874"/>
      <w:bookmarkStart w:id="467" w:name="_Toc25038"/>
      <w:bookmarkStart w:id="468" w:name="_Toc454614349"/>
      <w:r>
        <w:t>4.</w:t>
      </w:r>
      <w:r>
        <w:rPr>
          <w:rFonts w:hint="eastAsia"/>
          <w:lang w:val="en-US" w:eastAsia="zh-CN"/>
        </w:rPr>
        <w:t>4</w:t>
      </w:r>
      <w:r>
        <w:t>矿岩运输系统</w:t>
      </w:r>
      <w:bookmarkEnd w:id="461"/>
      <w:bookmarkEnd w:id="462"/>
      <w:bookmarkEnd w:id="463"/>
      <w:bookmarkEnd w:id="464"/>
      <w:bookmarkEnd w:id="465"/>
      <w:bookmarkEnd w:id="466"/>
      <w:bookmarkEnd w:id="467"/>
      <w:bookmarkEnd w:id="468"/>
    </w:p>
    <w:p w14:paraId="5C296D00">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highlight w:val="none"/>
          <w:lang w:val="en-US" w:eastAsia="zh-CN"/>
        </w:rPr>
      </w:pPr>
      <w:bookmarkStart w:id="469" w:name="_Toc2611"/>
      <w:bookmarkStart w:id="470" w:name="_Toc454614350"/>
      <w:bookmarkStart w:id="471" w:name="_Toc10045"/>
      <w:bookmarkStart w:id="472" w:name="_Toc14649"/>
      <w:bookmarkStart w:id="473" w:name="_Toc476244194"/>
      <w:bookmarkStart w:id="474" w:name="_Toc214284073"/>
      <w:bookmarkStart w:id="475" w:name="_Toc19866"/>
      <w:r>
        <w:rPr>
          <w:rFonts w:hint="eastAsia" w:ascii="Times New Roman" w:hAnsi="Times New Roman" w:eastAsia="宋体" w:cs="宋体"/>
          <w:color w:val="auto"/>
          <w:highlight w:val="none"/>
        </w:rPr>
        <w:t>1</w:t>
      </w:r>
      <w:r>
        <w:rPr>
          <w:rFonts w:hint="eastAsia" w:ascii="宋体" w:hAnsi="宋体" w:eastAsia="宋体" w:cs="宋体"/>
          <w:color w:val="auto"/>
          <w:highlight w:val="none"/>
          <w:lang w:eastAsia="zh-CN"/>
        </w:rPr>
        <w:t>、</w:t>
      </w:r>
      <w:r>
        <w:rPr>
          <w:rFonts w:hint="eastAsia" w:ascii="宋体" w:hAnsi="宋体" w:eastAsia="宋体" w:cs="宋体"/>
          <w:color w:val="auto"/>
          <w:highlight w:val="none"/>
          <w:lang w:val="en-US" w:eastAsia="zh-CN"/>
        </w:rPr>
        <w:t>随着开采活动的进行，应随时对运输道路的安全设施进行维护，不得不使用安全设施或降低安全设施参数。</w:t>
      </w:r>
    </w:p>
    <w:p w14:paraId="22B2E8DF">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Times New Roman" w:hAnsi="Times New Roman" w:eastAsia="宋体" w:cs="宋体"/>
          <w:color w:val="auto"/>
          <w:kern w:val="2"/>
          <w:sz w:val="28"/>
          <w:szCs w:val="24"/>
          <w:highlight w:val="none"/>
          <w:lang w:val="en-US" w:eastAsia="zh-CN" w:bidi="ar-SA"/>
        </w:rPr>
        <w:t>2</w:t>
      </w:r>
      <w:r>
        <w:rPr>
          <w:rFonts w:hint="eastAsia" w:ascii="宋体" w:hAnsi="宋体" w:eastAsia="宋体" w:cs="宋体"/>
          <w:color w:val="auto"/>
          <w:kern w:val="2"/>
          <w:sz w:val="28"/>
          <w:szCs w:val="24"/>
          <w:highlight w:val="none"/>
          <w:lang w:val="en-US" w:eastAsia="zh-CN" w:bidi="ar-SA"/>
        </w:rPr>
        <w:t>、定期对运输车辆进行维护保养，禁止车辆“带病”作业。</w:t>
      </w:r>
    </w:p>
    <w:p w14:paraId="6473F4BF">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Times New Roman" w:hAnsi="Times New Roman" w:eastAsia="宋体" w:cs="宋体"/>
          <w:color w:val="auto"/>
          <w:kern w:val="2"/>
          <w:sz w:val="28"/>
          <w:szCs w:val="24"/>
          <w:highlight w:val="none"/>
          <w:lang w:val="en-US" w:eastAsia="zh-CN" w:bidi="ar-SA"/>
        </w:rPr>
        <w:t>3</w:t>
      </w:r>
      <w:r>
        <w:rPr>
          <w:rFonts w:hint="eastAsia" w:ascii="宋体" w:hAnsi="宋体" w:eastAsia="宋体" w:cs="宋体"/>
          <w:color w:val="auto"/>
          <w:kern w:val="2"/>
          <w:sz w:val="28"/>
          <w:szCs w:val="24"/>
          <w:highlight w:val="none"/>
          <w:lang w:val="en-US" w:eastAsia="zh-CN" w:bidi="ar-SA"/>
        </w:rPr>
        <w:t>、加强对运输司机的教育培训，杜绝违章作业。</w:t>
      </w:r>
    </w:p>
    <w:p w14:paraId="10DEF1C4">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Times New Roman" w:hAnsi="Times New Roman" w:eastAsia="宋体" w:cs="宋体"/>
          <w:color w:val="auto"/>
          <w:kern w:val="2"/>
          <w:sz w:val="28"/>
          <w:szCs w:val="24"/>
          <w:highlight w:val="none"/>
          <w:lang w:val="en-US" w:eastAsia="zh-CN" w:bidi="ar-SA"/>
        </w:rPr>
        <w:t>4</w:t>
      </w:r>
      <w:r>
        <w:rPr>
          <w:rFonts w:hint="eastAsia" w:ascii="宋体" w:hAnsi="宋体" w:eastAsia="宋体" w:cs="宋体"/>
          <w:color w:val="auto"/>
          <w:kern w:val="2"/>
          <w:sz w:val="28"/>
          <w:szCs w:val="24"/>
          <w:highlight w:val="none"/>
          <w:lang w:val="en-US" w:eastAsia="zh-CN" w:bidi="ar-SA"/>
        </w:rPr>
        <w:t>、运输道路的警示标志应定期维护，发现残缺破损及时更换。</w:t>
      </w:r>
    </w:p>
    <w:p w14:paraId="3B07531D">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Times New Roman" w:hAnsi="Times New Roman" w:eastAsia="宋体" w:cs="宋体"/>
          <w:color w:val="auto"/>
          <w:kern w:val="2"/>
          <w:sz w:val="28"/>
          <w:szCs w:val="24"/>
          <w:highlight w:val="none"/>
          <w:lang w:val="en-US" w:eastAsia="zh-CN" w:bidi="ar-SA"/>
        </w:rPr>
        <w:t>5</w:t>
      </w:r>
      <w:r>
        <w:rPr>
          <w:rFonts w:hint="eastAsia" w:ascii="宋体" w:hAnsi="宋体" w:eastAsia="宋体" w:cs="宋体"/>
          <w:color w:val="auto"/>
          <w:kern w:val="2"/>
          <w:sz w:val="28"/>
          <w:szCs w:val="24"/>
          <w:highlight w:val="none"/>
          <w:lang w:val="en-US" w:eastAsia="zh-CN" w:bidi="ar-SA"/>
        </w:rPr>
        <w:t>、该矿公路部分局部较陡，为确保运输安全，应采取如下安全对策措施：</w:t>
      </w:r>
    </w:p>
    <w:p w14:paraId="31B19B60">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宋体" w:hAnsi="宋体" w:eastAsia="宋体" w:cs="宋体"/>
          <w:color w:val="auto"/>
          <w:kern w:val="2"/>
          <w:sz w:val="28"/>
          <w:szCs w:val="24"/>
          <w:highlight w:val="none"/>
          <w:lang w:val="en-US" w:eastAsia="zh-CN" w:bidi="ar-SA"/>
        </w:rPr>
        <w:t>（</w:t>
      </w:r>
      <w:r>
        <w:rPr>
          <w:rFonts w:hint="eastAsia" w:ascii="Times New Roman" w:hAnsi="Times New Roman" w:eastAsia="宋体" w:cs="宋体"/>
          <w:color w:val="auto"/>
          <w:kern w:val="2"/>
          <w:sz w:val="28"/>
          <w:szCs w:val="24"/>
          <w:highlight w:val="none"/>
          <w:lang w:val="en-US" w:eastAsia="zh-CN" w:bidi="ar-SA"/>
        </w:rPr>
        <w:t>1</w:t>
      </w:r>
      <w:r>
        <w:rPr>
          <w:rFonts w:hint="eastAsia" w:ascii="宋体" w:hAnsi="宋体" w:eastAsia="宋体" w:cs="宋体"/>
          <w:color w:val="auto"/>
          <w:kern w:val="2"/>
          <w:sz w:val="28"/>
          <w:szCs w:val="24"/>
          <w:highlight w:val="none"/>
          <w:lang w:val="en-US" w:eastAsia="zh-CN" w:bidi="ar-SA"/>
        </w:rPr>
        <w:t>）按设计要求维护好公路外侧挡车设施。</w:t>
      </w:r>
    </w:p>
    <w:p w14:paraId="4F8480F5">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宋体" w:hAnsi="宋体" w:eastAsia="宋体" w:cs="宋体"/>
          <w:color w:val="auto"/>
          <w:kern w:val="2"/>
          <w:sz w:val="28"/>
          <w:szCs w:val="24"/>
          <w:highlight w:val="none"/>
          <w:lang w:val="en-US" w:eastAsia="zh-CN" w:bidi="ar-SA"/>
        </w:rPr>
        <w:t>（</w:t>
      </w:r>
      <w:r>
        <w:rPr>
          <w:rFonts w:hint="eastAsia" w:ascii="Times New Roman" w:hAnsi="Times New Roman" w:eastAsia="宋体" w:cs="宋体"/>
          <w:color w:val="auto"/>
          <w:kern w:val="2"/>
          <w:sz w:val="28"/>
          <w:szCs w:val="24"/>
          <w:highlight w:val="none"/>
          <w:lang w:val="en-US" w:eastAsia="zh-CN" w:bidi="ar-SA"/>
        </w:rPr>
        <w:t>2</w:t>
      </w:r>
      <w:r>
        <w:rPr>
          <w:rFonts w:hint="eastAsia" w:ascii="宋体" w:hAnsi="宋体" w:eastAsia="宋体" w:cs="宋体"/>
          <w:color w:val="auto"/>
          <w:kern w:val="2"/>
          <w:sz w:val="28"/>
          <w:szCs w:val="24"/>
          <w:highlight w:val="none"/>
          <w:lang w:val="en-US" w:eastAsia="zh-CN" w:bidi="ar-SA"/>
        </w:rPr>
        <w:t>）指定专人对运输道路安全警示标志进行维护，发现残缺破损及时更换。</w:t>
      </w:r>
    </w:p>
    <w:p w14:paraId="2AF32074">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宋体" w:hAnsi="宋体" w:eastAsia="宋体" w:cs="宋体"/>
          <w:color w:val="auto"/>
          <w:kern w:val="2"/>
          <w:sz w:val="28"/>
          <w:szCs w:val="24"/>
          <w:highlight w:val="none"/>
          <w:lang w:val="en-US" w:eastAsia="zh-CN" w:bidi="ar-SA"/>
        </w:rPr>
        <w:t>（</w:t>
      </w:r>
      <w:r>
        <w:rPr>
          <w:rFonts w:hint="eastAsia" w:ascii="Times New Roman" w:hAnsi="Times New Roman" w:eastAsia="宋体" w:cs="宋体"/>
          <w:color w:val="auto"/>
          <w:kern w:val="2"/>
          <w:sz w:val="28"/>
          <w:szCs w:val="24"/>
          <w:highlight w:val="none"/>
          <w:lang w:val="en-US" w:eastAsia="zh-CN" w:bidi="ar-SA"/>
        </w:rPr>
        <w:t>3</w:t>
      </w:r>
      <w:r>
        <w:rPr>
          <w:rFonts w:hint="eastAsia" w:ascii="宋体" w:hAnsi="宋体" w:eastAsia="宋体" w:cs="宋体"/>
          <w:color w:val="auto"/>
          <w:kern w:val="2"/>
          <w:sz w:val="28"/>
          <w:szCs w:val="24"/>
          <w:highlight w:val="none"/>
          <w:lang w:val="en-US" w:eastAsia="zh-CN" w:bidi="ar-SA"/>
        </w:rPr>
        <w:t>）加强对车辆的维护保养，每班运输前检查车辆转向、制动等性能，无问题后方可运输，严禁带病作业。</w:t>
      </w:r>
    </w:p>
    <w:p w14:paraId="3A4CBA8B">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宋体" w:hAnsi="宋体" w:eastAsia="宋体" w:cs="宋体"/>
          <w:color w:val="auto"/>
          <w:kern w:val="2"/>
          <w:sz w:val="28"/>
          <w:szCs w:val="24"/>
          <w:highlight w:val="none"/>
          <w:lang w:val="en-US" w:eastAsia="zh-CN" w:bidi="ar-SA"/>
        </w:rPr>
        <w:t>（</w:t>
      </w:r>
      <w:r>
        <w:rPr>
          <w:rFonts w:hint="eastAsia" w:ascii="Times New Roman" w:hAnsi="Times New Roman" w:eastAsia="宋体" w:cs="宋体"/>
          <w:color w:val="auto"/>
          <w:kern w:val="2"/>
          <w:sz w:val="28"/>
          <w:szCs w:val="24"/>
          <w:highlight w:val="none"/>
          <w:lang w:val="en-US" w:eastAsia="zh-CN" w:bidi="ar-SA"/>
        </w:rPr>
        <w:t>4</w:t>
      </w:r>
      <w:r>
        <w:rPr>
          <w:rFonts w:hint="eastAsia" w:ascii="宋体" w:hAnsi="宋体" w:eastAsia="宋体" w:cs="宋体"/>
          <w:color w:val="auto"/>
          <w:kern w:val="2"/>
          <w:sz w:val="28"/>
          <w:szCs w:val="24"/>
          <w:highlight w:val="none"/>
          <w:lang w:val="en-US" w:eastAsia="zh-CN" w:bidi="ar-SA"/>
        </w:rPr>
        <w:t>）加强对司机的教育培训，司机必须取得</w:t>
      </w:r>
      <w:r>
        <w:rPr>
          <w:rFonts w:hint="eastAsia" w:ascii="Times New Roman" w:hAnsi="Times New Roman" w:eastAsia="宋体" w:cs="宋体"/>
          <w:color w:val="auto"/>
          <w:kern w:val="2"/>
          <w:sz w:val="28"/>
          <w:szCs w:val="24"/>
          <w:highlight w:val="none"/>
          <w:lang w:val="en-US" w:eastAsia="zh-CN" w:bidi="ar-SA"/>
        </w:rPr>
        <w:t>符合驾驶车型的</w:t>
      </w:r>
      <w:r>
        <w:rPr>
          <w:rFonts w:hint="eastAsia" w:ascii="宋体" w:hAnsi="宋体" w:eastAsia="宋体" w:cs="宋体"/>
          <w:color w:val="auto"/>
          <w:kern w:val="2"/>
          <w:sz w:val="28"/>
          <w:szCs w:val="24"/>
          <w:highlight w:val="none"/>
          <w:lang w:val="en-US" w:eastAsia="zh-CN" w:bidi="ar-SA"/>
        </w:rPr>
        <w:t>驾照。同时管理人员加强班前的精神状态检查，杜绝酒驾、醉驾等行为，加强班中检查，杜绝超速、超载等违章行为。</w:t>
      </w:r>
    </w:p>
    <w:p w14:paraId="06E3C9E7">
      <w:pPr>
        <w:pStyle w:val="14"/>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kern w:val="2"/>
          <w:sz w:val="28"/>
          <w:szCs w:val="24"/>
          <w:highlight w:val="none"/>
          <w:lang w:val="en-US" w:eastAsia="zh-CN" w:bidi="ar-SA"/>
        </w:rPr>
      </w:pPr>
      <w:r>
        <w:rPr>
          <w:rFonts w:hint="eastAsia" w:ascii="Times New Roman" w:hAnsi="Times New Roman" w:eastAsia="宋体" w:cs="宋体"/>
          <w:color w:val="auto"/>
          <w:kern w:val="2"/>
          <w:sz w:val="28"/>
          <w:szCs w:val="24"/>
          <w:highlight w:val="none"/>
          <w:lang w:val="en-US" w:eastAsia="zh-CN" w:bidi="ar-SA"/>
        </w:rPr>
        <w:t>6</w:t>
      </w:r>
      <w:r>
        <w:rPr>
          <w:rFonts w:hint="eastAsia" w:ascii="宋体" w:hAnsi="宋体" w:eastAsia="宋体" w:cs="宋体"/>
          <w:color w:val="auto"/>
          <w:kern w:val="2"/>
          <w:sz w:val="28"/>
          <w:szCs w:val="24"/>
          <w:highlight w:val="none"/>
          <w:lang w:val="en-US" w:eastAsia="zh-CN" w:bidi="ar-SA"/>
        </w:rPr>
        <w:t>、在卸料平台</w:t>
      </w:r>
      <w:r>
        <w:rPr>
          <w:rFonts w:hint="eastAsia" w:ascii="宋体" w:hAnsi="宋体" w:cs="宋体"/>
          <w:color w:val="auto"/>
          <w:kern w:val="2"/>
          <w:sz w:val="28"/>
          <w:szCs w:val="24"/>
          <w:highlight w:val="none"/>
          <w:lang w:val="en-US" w:eastAsia="zh-CN" w:bidi="ar-SA"/>
        </w:rPr>
        <w:t>增</w:t>
      </w:r>
      <w:r>
        <w:rPr>
          <w:rFonts w:hint="eastAsia" w:ascii="宋体" w:hAnsi="宋体" w:eastAsia="宋体" w:cs="宋体"/>
          <w:color w:val="auto"/>
          <w:kern w:val="2"/>
          <w:sz w:val="28"/>
          <w:szCs w:val="24"/>
          <w:highlight w:val="none"/>
          <w:lang w:val="en-US" w:eastAsia="zh-CN" w:bidi="ar-SA"/>
        </w:rPr>
        <w:t>设卸矿指示、声光信号</w:t>
      </w:r>
      <w:r>
        <w:rPr>
          <w:rFonts w:hint="eastAsia" w:ascii="宋体" w:hAnsi="宋体" w:cs="宋体"/>
          <w:color w:val="auto"/>
          <w:kern w:val="2"/>
          <w:sz w:val="28"/>
          <w:szCs w:val="24"/>
          <w:highlight w:val="none"/>
          <w:lang w:val="en-US" w:eastAsia="zh-CN" w:bidi="ar-SA"/>
        </w:rPr>
        <w:t>、</w:t>
      </w:r>
      <w:r>
        <w:rPr>
          <w:rFonts w:hint="eastAsia" w:ascii="宋体" w:hAnsi="宋体" w:eastAsia="宋体" w:cs="宋体"/>
          <w:color w:val="auto"/>
          <w:kern w:val="2"/>
          <w:sz w:val="28"/>
          <w:szCs w:val="24"/>
          <w:highlight w:val="none"/>
          <w:lang w:val="en-US" w:eastAsia="zh-CN" w:bidi="ar-SA"/>
        </w:rPr>
        <w:t>报警装置</w:t>
      </w:r>
      <w:r>
        <w:rPr>
          <w:rFonts w:hint="eastAsia" w:ascii="宋体" w:hAnsi="宋体" w:cs="宋体"/>
          <w:color w:val="auto"/>
          <w:kern w:val="2"/>
          <w:sz w:val="28"/>
          <w:szCs w:val="24"/>
          <w:highlight w:val="none"/>
          <w:lang w:val="en-US" w:eastAsia="zh-CN" w:bidi="ar-SA"/>
        </w:rPr>
        <w:t>以及人员</w:t>
      </w:r>
      <w:r>
        <w:rPr>
          <w:rFonts w:hint="eastAsia" w:ascii="宋体" w:hAnsi="宋体" w:eastAsia="宋体" w:cs="宋体"/>
          <w:color w:val="auto"/>
          <w:kern w:val="2"/>
          <w:sz w:val="28"/>
          <w:szCs w:val="24"/>
          <w:highlight w:val="none"/>
          <w:lang w:val="en-US" w:eastAsia="zh-CN" w:bidi="ar-SA"/>
        </w:rPr>
        <w:t>指挥卸矿。</w:t>
      </w:r>
    </w:p>
    <w:p w14:paraId="3C1D1C12">
      <w:pPr>
        <w:pStyle w:val="3"/>
        <w:bidi w:val="0"/>
        <w:rPr>
          <w:rFonts w:hint="eastAsia"/>
          <w:lang w:val="en-US" w:eastAsia="zh-CN"/>
        </w:rPr>
      </w:pPr>
      <w:bookmarkStart w:id="476" w:name="_Toc30438"/>
      <w:r>
        <w:t>4.</w:t>
      </w:r>
      <w:r>
        <w:rPr>
          <w:rFonts w:hint="eastAsia"/>
          <w:lang w:val="en-US" w:eastAsia="zh-CN"/>
        </w:rPr>
        <w:t>5</w:t>
      </w:r>
      <w:r>
        <w:t>供配电</w:t>
      </w:r>
      <w:bookmarkEnd w:id="469"/>
      <w:bookmarkEnd w:id="470"/>
      <w:bookmarkEnd w:id="471"/>
      <w:bookmarkEnd w:id="472"/>
      <w:bookmarkEnd w:id="473"/>
      <w:bookmarkEnd w:id="474"/>
      <w:r>
        <w:rPr>
          <w:rFonts w:hint="eastAsia"/>
          <w:lang w:val="en-US" w:eastAsia="zh-CN"/>
        </w:rPr>
        <w:t>系统</w:t>
      </w:r>
      <w:bookmarkEnd w:id="475"/>
      <w:bookmarkEnd w:id="476"/>
    </w:p>
    <w:p w14:paraId="43CABADA">
      <w:pPr>
        <w:bidi w:val="0"/>
      </w:pPr>
      <w:r>
        <w:rPr>
          <w:rFonts w:hint="eastAsia"/>
          <w:lang w:val="en-US" w:eastAsia="zh-CN"/>
        </w:rPr>
        <w:t>1、</w:t>
      </w:r>
      <w:r>
        <w:t>矿山电气设备可能被人触及的裸露带电部分，应设置安全防护罩或防护栏及安全警示标志；</w:t>
      </w:r>
    </w:p>
    <w:p w14:paraId="536F0EA4">
      <w:pPr>
        <w:bidi w:val="0"/>
      </w:pPr>
      <w:r>
        <w:rPr>
          <w:rFonts w:hint="eastAsia"/>
          <w:lang w:val="en-US" w:eastAsia="zh-CN"/>
        </w:rPr>
        <w:t>2、</w:t>
      </w:r>
      <w:r>
        <w:t>矿山变配电室应配置应急照明、灭火器，应在配电柜底部铺设绝缘胶垫，定期对设施进行检查；</w:t>
      </w:r>
    </w:p>
    <w:p w14:paraId="6691946D">
      <w:pPr>
        <w:bidi w:val="0"/>
      </w:pPr>
      <w:r>
        <w:rPr>
          <w:rFonts w:hint="eastAsia"/>
          <w:lang w:val="en-US" w:eastAsia="zh-CN"/>
        </w:rPr>
        <w:t>3、</w:t>
      </w:r>
      <w:r>
        <w:t>电气设备的接地、过流、漏电保护装置应保持完好、有效；</w:t>
      </w:r>
    </w:p>
    <w:p w14:paraId="5258926A">
      <w:pPr>
        <w:bidi w:val="0"/>
      </w:pPr>
      <w:r>
        <w:rPr>
          <w:rFonts w:hint="eastAsia"/>
          <w:lang w:val="en-US" w:eastAsia="zh-CN"/>
        </w:rPr>
        <w:t>4、</w:t>
      </w:r>
      <w:r>
        <w:t>矿山配电室应设置挡鼠板、电缆盖板应进行密封，禁止在配电室内堆放杂物。</w:t>
      </w:r>
    </w:p>
    <w:p w14:paraId="181F34B8">
      <w:pPr>
        <w:bidi w:val="0"/>
        <w:rPr>
          <w:rFonts w:hint="eastAsia"/>
          <w:lang w:val="en-US" w:eastAsia="zh-CN"/>
        </w:rPr>
      </w:pPr>
      <w:r>
        <w:rPr>
          <w:rFonts w:hint="eastAsia"/>
          <w:lang w:val="en-US" w:eastAsia="zh-CN"/>
        </w:rPr>
        <w:t>5、生产过程中，应维护好安全设施以及安全警示标志，严禁不使用安全设施或降低安全设施性能使用。</w:t>
      </w:r>
    </w:p>
    <w:p w14:paraId="3F179C9D">
      <w:pPr>
        <w:bidi w:val="0"/>
        <w:rPr>
          <w:rFonts w:hint="eastAsia"/>
          <w:lang w:val="en-US" w:eastAsia="zh-CN"/>
        </w:rPr>
      </w:pPr>
      <w:r>
        <w:rPr>
          <w:rFonts w:hint="eastAsia"/>
          <w:lang w:val="en-US" w:eastAsia="zh-CN"/>
        </w:rPr>
        <w:t>6、定期清理配电室内粉尘，防止粉尘积聚造成设备、电缆温度过高。</w:t>
      </w:r>
    </w:p>
    <w:p w14:paraId="0D8F9A4D">
      <w:pPr>
        <w:bidi w:val="0"/>
        <w:rPr>
          <w:rFonts w:hint="eastAsia"/>
          <w:lang w:val="en-US" w:eastAsia="zh-CN"/>
        </w:rPr>
      </w:pPr>
      <w:r>
        <w:rPr>
          <w:rFonts w:hint="eastAsia"/>
          <w:lang w:val="en-US" w:eastAsia="zh-CN"/>
        </w:rPr>
        <w:t>7、配电室内不能存放任何油脂、易燃可燃物以及其他物品。</w:t>
      </w:r>
    </w:p>
    <w:p w14:paraId="6EA8068E">
      <w:pPr>
        <w:bidi w:val="0"/>
        <w:rPr>
          <w:rFonts w:hint="eastAsia"/>
          <w:lang w:val="en-US" w:eastAsia="zh-CN"/>
        </w:rPr>
      </w:pPr>
      <w:r>
        <w:rPr>
          <w:rFonts w:hint="eastAsia"/>
          <w:lang w:val="en-US" w:eastAsia="zh-CN"/>
        </w:rPr>
        <w:t>8、定期检查消防砂、灭火器的完好情况，发现消防砂凝固及时更换，发现灭火器残缺破损过期及时更换。</w:t>
      </w:r>
    </w:p>
    <w:p w14:paraId="78259C3E">
      <w:pPr>
        <w:bidi w:val="0"/>
        <w:rPr>
          <w:rFonts w:hint="default"/>
          <w:lang w:val="en-US" w:eastAsia="zh-CN"/>
        </w:rPr>
      </w:pPr>
      <w:r>
        <w:rPr>
          <w:rFonts w:hint="eastAsia"/>
          <w:lang w:val="en-US" w:eastAsia="zh-CN"/>
        </w:rPr>
        <w:t>9、后期定期进行防雷检测、接地电阻检测。</w:t>
      </w:r>
    </w:p>
    <w:p w14:paraId="385FA011">
      <w:pPr>
        <w:pStyle w:val="3"/>
        <w:bidi w:val="0"/>
      </w:pPr>
      <w:bookmarkStart w:id="477" w:name="_Toc22838"/>
      <w:bookmarkStart w:id="478" w:name="_Toc13857"/>
      <w:bookmarkStart w:id="479" w:name="_Toc15908"/>
      <w:bookmarkStart w:id="480" w:name="_Toc20222"/>
      <w:bookmarkStart w:id="481" w:name="_Toc25995"/>
      <w:bookmarkStart w:id="482" w:name="_Toc476244195"/>
      <w:bookmarkStart w:id="483" w:name="_Toc214284074"/>
      <w:bookmarkStart w:id="484" w:name="_Toc454614351"/>
      <w:r>
        <w:t>4.</w:t>
      </w:r>
      <w:r>
        <w:rPr>
          <w:rFonts w:hint="eastAsia"/>
          <w:lang w:val="en-US" w:eastAsia="zh-CN"/>
        </w:rPr>
        <w:t>6</w:t>
      </w:r>
      <w:r>
        <w:t>总平面布置</w:t>
      </w:r>
      <w:bookmarkEnd w:id="477"/>
      <w:bookmarkEnd w:id="478"/>
      <w:bookmarkEnd w:id="479"/>
      <w:bookmarkEnd w:id="480"/>
      <w:bookmarkEnd w:id="481"/>
      <w:bookmarkEnd w:id="482"/>
      <w:bookmarkEnd w:id="483"/>
      <w:bookmarkEnd w:id="484"/>
    </w:p>
    <w:p w14:paraId="478C82B8">
      <w:pPr>
        <w:bidi w:val="0"/>
        <w:rPr>
          <w:rFonts w:hint="eastAsia" w:eastAsia="宋体"/>
          <w:lang w:eastAsia="zh-CN"/>
        </w:rPr>
      </w:pPr>
      <w:r>
        <w:rPr>
          <w:rFonts w:hint="eastAsia"/>
          <w:lang w:val="en-US" w:eastAsia="zh-CN"/>
        </w:rPr>
        <w:t>1、</w:t>
      </w:r>
      <w:r>
        <w:t>矿山的开采</w:t>
      </w:r>
      <w:r>
        <w:rPr>
          <w:rFonts w:hint="eastAsia"/>
          <w:lang w:val="en-US" w:eastAsia="zh-CN"/>
        </w:rPr>
        <w:t>期间</w:t>
      </w:r>
      <w:r>
        <w:t>最大限度地降低对周边环境的破坏</w:t>
      </w:r>
      <w:r>
        <w:rPr>
          <w:rFonts w:hint="eastAsia"/>
          <w:lang w:eastAsia="zh-CN"/>
        </w:rPr>
        <w:t>。</w:t>
      </w:r>
    </w:p>
    <w:p w14:paraId="3E1BACF7">
      <w:pPr>
        <w:pStyle w:val="15"/>
        <w:keepNext w:val="0"/>
        <w:keepLines w:val="0"/>
        <w:pageBreakBefore w:val="0"/>
        <w:widowControl w:val="0"/>
        <w:kinsoku/>
        <w:wordWrap/>
        <w:overflowPunct/>
        <w:topLinePunct w:val="0"/>
        <w:autoSpaceDE/>
        <w:autoSpaceDN/>
        <w:bidi w:val="0"/>
        <w:adjustRightInd/>
        <w:snapToGrid w:val="0"/>
        <w:spacing w:beforeAutospacing="0" w:after="0" w:afterAutospacing="0" w:line="360" w:lineRule="auto"/>
        <w:ind w:firstLine="552" w:firstLineChars="200"/>
        <w:textAlignment w:val="auto"/>
        <w:rPr>
          <w:rFonts w:hint="eastAsia" w:ascii="宋体" w:hAnsi="宋体" w:eastAsia="宋体" w:cs="宋体"/>
          <w:color w:val="auto"/>
          <w:szCs w:val="28"/>
          <w:highlight w:val="none"/>
          <w:lang w:eastAsia="zh-CN"/>
        </w:rPr>
      </w:pPr>
      <w:bookmarkStart w:id="485" w:name="_Toc214284075"/>
      <w:r>
        <w:rPr>
          <w:rFonts w:hint="eastAsia" w:ascii="Times New Roman" w:hAnsi="Times New Roman" w:eastAsia="宋体" w:cs="宋体"/>
          <w:color w:val="auto"/>
          <w:kern w:val="2"/>
          <w:sz w:val="28"/>
          <w:szCs w:val="28"/>
          <w:highlight w:val="none"/>
          <w:lang w:val="en-US" w:eastAsia="zh-CN" w:bidi="ar-SA"/>
        </w:rPr>
        <w:t>2</w:t>
      </w:r>
      <w:r>
        <w:rPr>
          <w:rFonts w:hint="eastAsia" w:ascii="宋体" w:hAnsi="宋体" w:eastAsia="宋体" w:cs="宋体"/>
          <w:color w:val="auto"/>
          <w:kern w:val="2"/>
          <w:sz w:val="28"/>
          <w:szCs w:val="28"/>
          <w:highlight w:val="none"/>
          <w:lang w:val="en-US" w:eastAsia="zh-CN" w:bidi="ar-SA"/>
        </w:rPr>
        <w:t>、</w:t>
      </w:r>
      <w:r>
        <w:rPr>
          <w:rFonts w:hint="eastAsia" w:ascii="宋体" w:hAnsi="宋体" w:eastAsia="宋体" w:cs="宋体"/>
          <w:color w:val="auto"/>
          <w:szCs w:val="28"/>
          <w:highlight w:val="none"/>
        </w:rPr>
        <w:t>矿山爆破作业时应停止工业场地作业活动，撤离工业场地人员到安全区域，安全避炮</w:t>
      </w:r>
      <w:r>
        <w:rPr>
          <w:rFonts w:hint="eastAsia" w:ascii="宋体" w:hAnsi="宋体" w:eastAsia="宋体" w:cs="宋体"/>
          <w:color w:val="auto"/>
          <w:szCs w:val="28"/>
          <w:highlight w:val="none"/>
          <w:lang w:eastAsia="zh-CN"/>
        </w:rPr>
        <w:t>。</w:t>
      </w:r>
    </w:p>
    <w:p w14:paraId="4777DE45">
      <w:pPr>
        <w:pStyle w:val="15"/>
        <w:keepNext w:val="0"/>
        <w:keepLines w:val="0"/>
        <w:pageBreakBefore w:val="0"/>
        <w:widowControl w:val="0"/>
        <w:kinsoku/>
        <w:wordWrap/>
        <w:overflowPunct/>
        <w:topLinePunct w:val="0"/>
        <w:autoSpaceDE/>
        <w:autoSpaceDN/>
        <w:bidi w:val="0"/>
        <w:adjustRightInd/>
        <w:snapToGrid w:val="0"/>
        <w:spacing w:beforeAutospacing="0" w:after="0" w:afterAutospacing="0" w:line="360" w:lineRule="auto"/>
        <w:ind w:firstLine="552" w:firstLineChars="200"/>
        <w:textAlignment w:val="auto"/>
        <w:rPr>
          <w:rFonts w:hint="eastAsia" w:ascii="宋体" w:hAnsi="宋体" w:eastAsia="宋体" w:cs="宋体"/>
          <w:color w:val="auto"/>
          <w:szCs w:val="28"/>
          <w:highlight w:val="none"/>
          <w:lang w:eastAsia="zh-CN"/>
        </w:rPr>
      </w:pPr>
      <w:r>
        <w:rPr>
          <w:rFonts w:hint="eastAsia" w:ascii="Times New Roman" w:hAnsi="Times New Roman" w:eastAsia="宋体" w:cs="宋体"/>
          <w:color w:val="auto"/>
          <w:szCs w:val="28"/>
          <w:highlight w:val="none"/>
          <w:lang w:val="en-US" w:eastAsia="zh-CN"/>
        </w:rPr>
        <w:t>3</w:t>
      </w:r>
      <w:r>
        <w:rPr>
          <w:rFonts w:hint="eastAsia" w:ascii="宋体" w:hAnsi="宋体" w:eastAsia="宋体" w:cs="宋体"/>
          <w:color w:val="auto"/>
          <w:szCs w:val="28"/>
          <w:highlight w:val="none"/>
          <w:lang w:val="en-US" w:eastAsia="zh-CN"/>
        </w:rPr>
        <w:t>、</w:t>
      </w:r>
      <w:r>
        <w:rPr>
          <w:rFonts w:hint="eastAsia" w:ascii="宋体" w:hAnsi="宋体" w:eastAsia="宋体" w:cs="宋体"/>
          <w:color w:val="auto"/>
          <w:szCs w:val="28"/>
          <w:highlight w:val="none"/>
        </w:rPr>
        <w:t>矿山应严格执行爆破制度，并在</w:t>
      </w:r>
      <w:r>
        <w:rPr>
          <w:rFonts w:hint="eastAsia" w:ascii="宋体" w:hAnsi="宋体" w:eastAsia="宋体" w:cs="宋体"/>
          <w:color w:val="auto"/>
          <w:szCs w:val="28"/>
          <w:highlight w:val="none"/>
          <w:lang w:val="en-US" w:eastAsia="zh-CN"/>
        </w:rPr>
        <w:t>爆破警戒点</w:t>
      </w:r>
      <w:r>
        <w:rPr>
          <w:rFonts w:hint="eastAsia" w:ascii="宋体" w:hAnsi="宋体" w:eastAsia="宋体" w:cs="宋体"/>
          <w:color w:val="auto"/>
          <w:szCs w:val="28"/>
          <w:highlight w:val="none"/>
        </w:rPr>
        <w:t>设置醒目警示标志及爆破时间公示牌，爆破时设置岗哨及爆破警戒，禁止人畜、车辆进入危险区域</w:t>
      </w:r>
      <w:r>
        <w:rPr>
          <w:rFonts w:hint="eastAsia" w:ascii="宋体" w:hAnsi="宋体" w:eastAsia="宋体" w:cs="宋体"/>
          <w:color w:val="auto"/>
          <w:szCs w:val="28"/>
          <w:highlight w:val="none"/>
          <w:lang w:eastAsia="zh-CN"/>
        </w:rPr>
        <w:t>。</w:t>
      </w:r>
    </w:p>
    <w:p w14:paraId="0A6EF730">
      <w:pPr>
        <w:pStyle w:val="3"/>
        <w:bidi w:val="0"/>
        <w:rPr>
          <w:rFonts w:hint="eastAsia"/>
          <w:lang w:val="en-US" w:eastAsia="zh-CN"/>
        </w:rPr>
      </w:pPr>
      <w:bookmarkStart w:id="486" w:name="_Toc21616"/>
      <w:bookmarkStart w:id="487" w:name="_Toc30955"/>
      <w:r>
        <w:rPr>
          <w:rFonts w:hint="eastAsia"/>
          <w:lang w:val="en-US" w:eastAsia="zh-CN"/>
        </w:rPr>
        <w:t>4.7破碎站</w:t>
      </w:r>
      <w:bookmarkEnd w:id="486"/>
    </w:p>
    <w:p w14:paraId="0D89E212">
      <w:pPr>
        <w:numPr>
          <w:ilvl w:val="0"/>
          <w:numId w:val="0"/>
        </w:numPr>
        <w:ind w:firstLine="552" w:firstLineChars="200"/>
        <w:rPr>
          <w:rFonts w:hint="eastAsia"/>
          <w:lang w:val="en-US" w:eastAsia="zh-CN"/>
        </w:rPr>
      </w:pPr>
      <w:r>
        <w:rPr>
          <w:rFonts w:hint="eastAsia"/>
          <w:lang w:val="en-US" w:eastAsia="zh-CN"/>
        </w:rPr>
        <w:t>1、破碎站人行梯较陡，加强安全警示和硬件改造。</w:t>
      </w:r>
    </w:p>
    <w:p w14:paraId="5D0CFBBB">
      <w:pPr>
        <w:numPr>
          <w:ilvl w:val="0"/>
          <w:numId w:val="0"/>
        </w:numPr>
        <w:ind w:firstLine="552" w:firstLineChars="200"/>
        <w:rPr>
          <w:rFonts w:hint="eastAsia"/>
          <w:lang w:val="en-US" w:eastAsia="zh-CN"/>
        </w:rPr>
      </w:pPr>
      <w:r>
        <w:rPr>
          <w:rFonts w:hint="eastAsia"/>
          <w:lang w:val="en-US" w:eastAsia="zh-CN"/>
        </w:rPr>
        <w:t>2、定期检查破碎设备防护罩、电气绝缘与接地完好有效。</w:t>
      </w:r>
    </w:p>
    <w:p w14:paraId="6449E0B7">
      <w:pPr>
        <w:pStyle w:val="3"/>
        <w:bidi w:val="0"/>
      </w:pPr>
      <w:bookmarkStart w:id="488" w:name="_Toc11952"/>
      <w:r>
        <w:t>4</w:t>
      </w:r>
      <w:r>
        <w:rPr>
          <w:rFonts w:hint="eastAsia"/>
          <w:lang w:val="en-US" w:eastAsia="zh-CN"/>
        </w:rPr>
        <w:t>.8防尘与</w:t>
      </w:r>
      <w:r>
        <w:t>个人安全防护</w:t>
      </w:r>
      <w:bookmarkEnd w:id="485"/>
      <w:bookmarkEnd w:id="487"/>
      <w:bookmarkEnd w:id="488"/>
    </w:p>
    <w:p w14:paraId="013EA80C">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w:t>
      </w:r>
      <w:r>
        <w:rPr>
          <w:rFonts w:ascii="Times New Roman" w:hAnsi="Times New Roman"/>
          <w:color w:val="000000" w:themeColor="text1"/>
          <w14:textFill>
            <w14:solidFill>
              <w14:schemeClr w14:val="tx1"/>
            </w14:solidFill>
          </w14:textFill>
        </w:rPr>
        <w:t>矿山应为运输汽车司机及机械设备等从业人员提供符合国家标准或者行业标准的劳动防护用品，并</w:t>
      </w:r>
      <w:r>
        <w:rPr>
          <w:rFonts w:hint="eastAsia" w:ascii="宋体" w:hAnsi="宋体" w:eastAsia="宋体" w:cs="宋体"/>
          <w:color w:val="auto"/>
          <w:highlight w:val="none"/>
          <w:lang w:val="en-US" w:eastAsia="zh-CN"/>
        </w:rPr>
        <w:t>监督员工正确使用好劳动防护用品。</w:t>
      </w:r>
    </w:p>
    <w:p w14:paraId="5BC1867C">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14:textFill>
            <w14:solidFill>
              <w14:schemeClr w14:val="tx1"/>
            </w14:solidFill>
          </w14:textFill>
        </w:rPr>
        <w:t>建立健全矿山职业卫生管理制度与档案。</w:t>
      </w:r>
    </w:p>
    <w:p w14:paraId="5B629035">
      <w:pPr>
        <w:numPr>
          <w:ilvl w:val="0"/>
          <w:numId w:val="0"/>
        </w:numPr>
        <w:ind w:firstLine="552" w:firstLineChars="200"/>
        <w:rPr>
          <w:rFonts w:hint="eastAsia"/>
          <w:lang w:val="en-US" w:eastAsia="zh-CN"/>
        </w:rPr>
      </w:pPr>
      <w:r>
        <w:rPr>
          <w:rFonts w:hint="eastAsia" w:ascii="Times New Roman" w:hAnsi="Times New Roman"/>
          <w:color w:val="000000" w:themeColor="text1"/>
          <w:lang w:val="en-US" w:eastAsia="zh-CN"/>
          <w14:textFill>
            <w14:solidFill>
              <w14:schemeClr w14:val="tx1"/>
            </w14:solidFill>
          </w14:textFill>
        </w:rPr>
        <w:t>3、</w:t>
      </w:r>
      <w:r>
        <w:rPr>
          <w:rFonts w:hint="eastAsia"/>
          <w:lang w:val="en-US" w:eastAsia="zh-CN"/>
        </w:rPr>
        <w:t>采取洒水、喷雾、密闭生产等有效措施降低粉尘。</w:t>
      </w:r>
    </w:p>
    <w:p w14:paraId="2A5130BF">
      <w:pPr>
        <w:pStyle w:val="3"/>
        <w:bidi w:val="0"/>
      </w:pPr>
      <w:bookmarkStart w:id="489" w:name="_Toc8710"/>
      <w:bookmarkStart w:id="490" w:name="_Toc214284076"/>
      <w:bookmarkStart w:id="491" w:name="_Toc25813"/>
      <w:r>
        <w:t>4.</w:t>
      </w:r>
      <w:r>
        <w:rPr>
          <w:rFonts w:hint="eastAsia"/>
          <w:lang w:val="en-US" w:eastAsia="zh-CN"/>
        </w:rPr>
        <w:t>9</w:t>
      </w:r>
      <w:r>
        <w:t>安全标志</w:t>
      </w:r>
      <w:bookmarkEnd w:id="489"/>
      <w:bookmarkEnd w:id="490"/>
      <w:bookmarkEnd w:id="491"/>
    </w:p>
    <w:p w14:paraId="07C7CB55">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w:t>
      </w:r>
      <w:r>
        <w:rPr>
          <w:rFonts w:ascii="Times New Roman" w:hAnsi="Times New Roman"/>
          <w:color w:val="000000" w:themeColor="text1"/>
          <w14:textFill>
            <w14:solidFill>
              <w14:schemeClr w14:val="tx1"/>
            </w14:solidFill>
          </w14:textFill>
        </w:rPr>
        <w:t>补充完善相关危险区域安全警示标志，加强矿山安全标志管理，定期进行检查，并及时修整或更换，安全标志设置应醒目清晰；</w:t>
      </w:r>
    </w:p>
    <w:p w14:paraId="16D03B59">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2、</w:t>
      </w:r>
      <w:r>
        <w:rPr>
          <w:rFonts w:ascii="Times New Roman" w:hAnsi="Times New Roman"/>
          <w:color w:val="000000" w:themeColor="text1"/>
          <w14:textFill>
            <w14:solidFill>
              <w14:schemeClr w14:val="tx1"/>
            </w14:solidFill>
          </w14:textFill>
        </w:rPr>
        <w:t>建议企业按照《安全标志及其使用导则》（GB2894-2008）要求，充分利用红（禁止、危险）、黄（警告、注意）、蓝（指令、遵守）、绿（通行、安全）四种传递安全信息的安全色，使人员能够迅速发现或分辨安全标志、及时受到提醒，防止事故、危害的发生。设置安全警示标志应满足的要求：（1）标志、符号和文字警告应明确无误</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标志必须符合公认的标准。（2）符号或文字警告应表示危险类别，具体且有针对性，不能笼统写</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危险</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两字。例如，禁火、防爆的文字警告，或简要说明防止危险的措施（例如指示佩戴个人防护用品），或具体说明</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严禁烟火</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小心碰撞</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等。（3）标志牌应设置在醒目且与安全有关的地方，使人们看到后有足够的时间来注意它所表示的内容；不宜设在门、窗、架或可移动的物体上。（4）标志应清晰持久。</w:t>
      </w:r>
    </w:p>
    <w:p w14:paraId="4D81730A">
      <w:pPr>
        <w:pStyle w:val="3"/>
        <w:bidi w:val="0"/>
      </w:pPr>
      <w:bookmarkStart w:id="492" w:name="_Toc1641"/>
      <w:bookmarkStart w:id="493" w:name="_Toc2789"/>
      <w:bookmarkStart w:id="494" w:name="_Toc454614352"/>
      <w:bookmarkStart w:id="495" w:name="_Toc476244196"/>
      <w:bookmarkStart w:id="496" w:name="_Toc24194"/>
      <w:bookmarkStart w:id="497" w:name="_Toc214284077"/>
      <w:bookmarkStart w:id="498" w:name="_Toc28287"/>
      <w:bookmarkStart w:id="499" w:name="_Toc8258"/>
      <w:r>
        <w:t>4.</w:t>
      </w:r>
      <w:r>
        <w:rPr>
          <w:rFonts w:hint="eastAsia"/>
          <w:lang w:val="en-US" w:eastAsia="zh-CN"/>
        </w:rPr>
        <w:t>10</w:t>
      </w:r>
      <w:r>
        <w:t>安全管理</w:t>
      </w:r>
      <w:bookmarkEnd w:id="492"/>
      <w:bookmarkEnd w:id="493"/>
      <w:bookmarkEnd w:id="494"/>
      <w:bookmarkEnd w:id="495"/>
      <w:bookmarkEnd w:id="496"/>
      <w:bookmarkEnd w:id="497"/>
      <w:bookmarkEnd w:id="498"/>
      <w:bookmarkEnd w:id="499"/>
    </w:p>
    <w:p w14:paraId="7A2718D3">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w:t>
      </w:r>
      <w:r>
        <w:rPr>
          <w:rFonts w:ascii="Times New Roman" w:hAnsi="Times New Roman"/>
          <w:color w:val="000000" w:themeColor="text1"/>
          <w14:textFill>
            <w14:solidFill>
              <w14:schemeClr w14:val="tx1"/>
            </w14:solidFill>
          </w14:textFill>
        </w:rPr>
        <w:t>定期组织</w:t>
      </w:r>
      <w:r>
        <w:rPr>
          <w:rFonts w:hint="eastAsia" w:ascii="Times New Roman" w:hAnsi="Times New Roman"/>
          <w:color w:val="000000" w:themeColor="text1"/>
          <w:lang w:val="en-US" w:eastAsia="zh-CN"/>
          <w14:textFill>
            <w14:solidFill>
              <w14:schemeClr w14:val="tx1"/>
            </w14:solidFill>
          </w14:textFill>
        </w:rPr>
        <w:t>开展</w:t>
      </w:r>
      <w:r>
        <w:rPr>
          <w:rFonts w:ascii="Times New Roman" w:hAnsi="Times New Roman"/>
          <w:color w:val="000000" w:themeColor="text1"/>
          <w14:textFill>
            <w14:solidFill>
              <w14:schemeClr w14:val="tx1"/>
            </w14:solidFill>
          </w14:textFill>
        </w:rPr>
        <w:t>安全知识和技能培训，熟悉安全生产规章制度和安全操作规程，掌握本岗位的安全操作技能，提高职工安全生产与危险防范的能力；</w:t>
      </w:r>
    </w:p>
    <w:p w14:paraId="48F060D2">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2、</w:t>
      </w:r>
      <w:r>
        <w:rPr>
          <w:rFonts w:hint="eastAsia" w:ascii="宋体" w:hAnsi="宋体" w:eastAsia="宋体" w:cs="宋体"/>
          <w:color w:val="auto"/>
          <w:sz w:val="28"/>
          <w:szCs w:val="28"/>
          <w:highlight w:val="none"/>
          <w:lang w:val="en-US" w:eastAsia="zh-CN"/>
        </w:rPr>
        <w:t>积极开展“双控”体系建设工作。</w:t>
      </w:r>
      <w:r>
        <w:rPr>
          <w:rFonts w:ascii="Times New Roman" w:hAnsi="Times New Roman"/>
          <w:color w:val="000000" w:themeColor="text1"/>
          <w14:textFill>
            <w14:solidFill>
              <w14:schemeClr w14:val="tx1"/>
            </w14:solidFill>
          </w14:textFill>
        </w:rPr>
        <w:t>加强企业危险点的管理与监控，及时消除事故隐患；</w:t>
      </w:r>
    </w:p>
    <w:p w14:paraId="48BF3008">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3、</w:t>
      </w:r>
      <w:r>
        <w:rPr>
          <w:rFonts w:ascii="Times New Roman" w:hAnsi="Times New Roman"/>
          <w:color w:val="000000" w:themeColor="text1"/>
          <w14:textFill>
            <w14:solidFill>
              <w14:schemeClr w14:val="tx1"/>
            </w14:solidFill>
          </w14:textFill>
        </w:rPr>
        <w:t>企业要建立对采区及边坡定人、定点长期观察制度，防止采区及边坡发生滑坡、坍塌事故；</w:t>
      </w:r>
    </w:p>
    <w:p w14:paraId="69A27147">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4、</w:t>
      </w:r>
      <w:r>
        <w:rPr>
          <w:rFonts w:ascii="Times New Roman" w:hAnsi="Times New Roman"/>
          <w:color w:val="000000" w:themeColor="text1"/>
          <w14:textFill>
            <w14:solidFill>
              <w14:schemeClr w14:val="tx1"/>
            </w14:solidFill>
          </w14:textFill>
        </w:rPr>
        <w:t>加强监督检查作业人员佩戴劳保用品用具，认真做好劳动保护用品的发放、检查、使用、报废记录，对未佩戴安全保护用品用具的人员不得上岗作业；</w:t>
      </w:r>
    </w:p>
    <w:p w14:paraId="17E0B0D9">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5、</w:t>
      </w:r>
      <w:r>
        <w:rPr>
          <w:rFonts w:ascii="Times New Roman" w:hAnsi="Times New Roman"/>
          <w:color w:val="000000" w:themeColor="text1"/>
          <w14:textFill>
            <w14:solidFill>
              <w14:schemeClr w14:val="tx1"/>
            </w14:solidFill>
          </w14:textFill>
        </w:rPr>
        <w:t>建立完善各级安全生产会议记录档案、各类从业人员安全教育培训、考核、持证情况档案、现场安全检查、事故隐患极其整改情况档案、职工违章处罚情况档案、职工劳动防护用品发放管理档案、伤亡事故统计档案、安全生产责任制签订、考核情况档案；</w:t>
      </w:r>
    </w:p>
    <w:p w14:paraId="58BDCD62">
      <w:pPr>
        <w:ind w:firstLine="552"/>
        <w:rPr>
          <w:rFonts w:ascii="Times New Roman" w:hAnsi="Times New Roman"/>
          <w:color w:val="000000" w:themeColor="text1"/>
          <w14:textFill>
            <w14:solidFill>
              <w14:schemeClr w14:val="tx1"/>
            </w14:solidFill>
          </w14:textFill>
        </w:rPr>
      </w:pPr>
      <w:r>
        <w:rPr>
          <w:rFonts w:hint="eastAsia" w:ascii="宋体" w:hAnsi="宋体" w:eastAsia="宋体" w:cs="宋体"/>
          <w:color w:val="auto"/>
          <w:sz w:val="28"/>
          <w:szCs w:val="28"/>
          <w:highlight w:val="none"/>
          <w:lang w:val="en-US" w:eastAsia="zh-CN"/>
        </w:rPr>
        <w:t>6、新进员工应按要求组织体检，为其免费发放劳动防护用品，为其购买工伤保险。对新进露天矿山的生产作业人员应接受不少于</w:t>
      </w:r>
      <w:r>
        <w:rPr>
          <w:rFonts w:hint="eastAsia" w:ascii="Times New Roman" w:hAnsi="Times New Roman" w:eastAsia="宋体" w:cs="宋体"/>
          <w:color w:val="auto"/>
          <w:sz w:val="28"/>
          <w:szCs w:val="28"/>
          <w:highlight w:val="none"/>
          <w:lang w:val="en-US" w:eastAsia="zh-CN"/>
        </w:rPr>
        <w:t>72h</w:t>
      </w:r>
      <w:r>
        <w:rPr>
          <w:rFonts w:hint="eastAsia" w:ascii="宋体" w:hAnsi="宋体" w:eastAsia="宋体" w:cs="宋体"/>
          <w:color w:val="auto"/>
          <w:sz w:val="28"/>
          <w:szCs w:val="28"/>
          <w:highlight w:val="none"/>
          <w:lang w:val="en-US" w:eastAsia="zh-CN"/>
        </w:rPr>
        <w:t>的安全培训，经考试合格后上岗。所有生产作业人员每年至少应接受</w:t>
      </w:r>
      <w:r>
        <w:rPr>
          <w:rFonts w:hint="eastAsia" w:ascii="Times New Roman" w:hAnsi="Times New Roman" w:eastAsia="宋体" w:cs="宋体"/>
          <w:color w:val="auto"/>
          <w:sz w:val="28"/>
          <w:szCs w:val="28"/>
          <w:highlight w:val="none"/>
          <w:lang w:val="en-US" w:eastAsia="zh-CN"/>
        </w:rPr>
        <w:t>20h</w:t>
      </w:r>
      <w:r>
        <w:rPr>
          <w:rFonts w:hint="eastAsia" w:ascii="宋体" w:hAnsi="宋体" w:eastAsia="宋体" w:cs="宋体"/>
          <w:color w:val="auto"/>
          <w:sz w:val="28"/>
          <w:szCs w:val="28"/>
          <w:highlight w:val="none"/>
          <w:lang w:val="en-US" w:eastAsia="zh-CN"/>
        </w:rPr>
        <w:t>的职业安全再培训，并经考试合格。</w:t>
      </w:r>
    </w:p>
    <w:p w14:paraId="16D8437B">
      <w:pPr>
        <w:ind w:firstLine="552"/>
        <w:rPr>
          <w:rFonts w:hint="default" w:ascii="Times New Roman" w:hAnsi="Times New Roman" w:eastAsia="宋体"/>
          <w:color w:val="C00000"/>
          <w:lang w:val="en-US" w:eastAsia="zh-CN"/>
        </w:rPr>
      </w:pPr>
      <w:r>
        <w:rPr>
          <w:rFonts w:hint="eastAsia" w:ascii="Times New Roman" w:hAnsi="Times New Roman"/>
          <w:color w:val="auto"/>
          <w:lang w:val="en-US" w:eastAsia="zh-CN"/>
        </w:rPr>
        <w:t>7、</w:t>
      </w:r>
      <w:r>
        <w:rPr>
          <w:rFonts w:ascii="Times New Roman" w:hAnsi="Times New Roman"/>
          <w:color w:val="auto"/>
        </w:rPr>
        <w:t>按照《安全生产法》相关要求，配备1名注册安全工程师；</w:t>
      </w:r>
      <w:r>
        <w:rPr>
          <w:rFonts w:hint="eastAsia" w:ascii="Times New Roman" w:hAnsi="Times New Roman"/>
          <w:color w:val="auto"/>
          <w:lang w:val="en-US" w:eastAsia="zh-CN"/>
        </w:rPr>
        <w:t>矿山应在2026年底以前，配置</w:t>
      </w:r>
      <w:r>
        <w:rPr>
          <w:rFonts w:ascii="Times New Roman" w:hAnsi="Times New Roman"/>
          <w:color w:val="auto"/>
        </w:rPr>
        <w:t>1名注册安全工程师</w:t>
      </w:r>
      <w:r>
        <w:rPr>
          <w:rFonts w:hint="eastAsia" w:ascii="Times New Roman" w:hAnsi="Times New Roman"/>
          <w:color w:val="auto"/>
          <w:lang w:val="en-US" w:eastAsia="zh-CN"/>
        </w:rPr>
        <w:t>为矿山服务；</w:t>
      </w:r>
    </w:p>
    <w:p w14:paraId="119AEBC0">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8、</w:t>
      </w:r>
      <w:r>
        <w:rPr>
          <w:rFonts w:ascii="Times New Roman" w:hAnsi="Times New Roman"/>
          <w:color w:val="000000" w:themeColor="text1"/>
          <w14:textFill>
            <w14:solidFill>
              <w14:schemeClr w14:val="tx1"/>
            </w14:solidFill>
          </w14:textFill>
        </w:rPr>
        <w:t>矿山生产过程中，企业应按照《国家矿山安全监察局关于印发&lt;关于加强非煤矿山安全生产工作的指导意见&gt;的通知》（矿安〔2022〕4号）配备具有采矿、地质、机电等矿山相关专业中专及以上学历或者中级及以上技术职称的专职技术人员，每个专业至少配备1人。</w:t>
      </w:r>
    </w:p>
    <w:p w14:paraId="5FBC6754">
      <w:pPr>
        <w:ind w:firstLine="552"/>
        <w:rPr>
          <w:rFonts w:hint="eastAsia" w:ascii="宋体" w:hAnsi="宋体" w:eastAsia="宋体" w:cs="宋体"/>
          <w:color w:val="auto"/>
          <w:sz w:val="28"/>
          <w:szCs w:val="28"/>
          <w:highlight w:val="none"/>
          <w:lang w:val="en-US" w:eastAsia="zh-CN"/>
        </w:rPr>
      </w:pPr>
      <w:r>
        <w:rPr>
          <w:rFonts w:hint="eastAsia" w:ascii="Times New Roman" w:hAnsi="Times New Roman"/>
          <w:color w:val="000000" w:themeColor="text1"/>
          <w:lang w:val="en-US" w:eastAsia="zh-CN"/>
          <w14:textFill>
            <w14:solidFill>
              <w14:schemeClr w14:val="tx1"/>
            </w14:solidFill>
          </w14:textFill>
        </w:rPr>
        <w:t>9、</w:t>
      </w:r>
      <w:r>
        <w:rPr>
          <w:rFonts w:ascii="Times New Roman" w:hAnsi="Times New Roman"/>
          <w:color w:val="000000" w:themeColor="text1"/>
          <w14:textFill>
            <w14:solidFill>
              <w14:schemeClr w14:val="tx1"/>
            </w14:solidFill>
          </w14:textFill>
        </w:rPr>
        <w:t>企业应分年度制作安全资金使用计划，保障专款专用；</w:t>
      </w:r>
      <w:r>
        <w:rPr>
          <w:rFonts w:hint="eastAsia" w:ascii="宋体" w:hAnsi="宋体" w:eastAsia="宋体" w:cs="宋体"/>
          <w:color w:val="auto"/>
          <w:sz w:val="28"/>
          <w:szCs w:val="28"/>
          <w:highlight w:val="none"/>
          <w:lang w:val="en-US" w:eastAsia="zh-CN"/>
        </w:rPr>
        <w:t>对所有员工购买工伤保险，并及时续购安全生产责任险。</w:t>
      </w:r>
    </w:p>
    <w:p w14:paraId="687581F8">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sz w:val="28"/>
          <w:szCs w:val="28"/>
          <w:highlight w:val="none"/>
          <w:lang w:val="en-US" w:eastAsia="zh-CN"/>
        </w:rPr>
      </w:pPr>
      <w:r>
        <w:rPr>
          <w:rFonts w:hint="eastAsia" w:ascii="Times New Roman" w:hAnsi="Times New Roman"/>
          <w:color w:val="000000" w:themeColor="text1"/>
          <w:lang w:val="en-US" w:eastAsia="zh-CN"/>
          <w14:textFill>
            <w14:solidFill>
              <w14:schemeClr w14:val="tx1"/>
            </w14:solidFill>
          </w14:textFill>
        </w:rPr>
        <w:t>10、</w:t>
      </w:r>
      <w:r>
        <w:rPr>
          <w:rFonts w:ascii="Times New Roman" w:hAnsi="Times New Roman"/>
          <w:color w:val="000000" w:themeColor="text1"/>
          <w14:textFill>
            <w14:solidFill>
              <w14:schemeClr w14:val="tx1"/>
            </w14:solidFill>
          </w14:textFill>
        </w:rPr>
        <w:t>制定应急预案演练计划，原则上每</w:t>
      </w:r>
      <w:r>
        <w:rPr>
          <w:rFonts w:hint="eastAsia" w:ascii="Times New Roman" w:hAnsi="Times New Roman"/>
          <w:color w:val="000000" w:themeColor="text1"/>
          <w:lang w:val="en-US" w:eastAsia="zh-CN"/>
          <w14:textFill>
            <w14:solidFill>
              <w14:schemeClr w14:val="tx1"/>
            </w14:solidFill>
          </w14:textFill>
        </w:rPr>
        <w:t>半</w:t>
      </w:r>
      <w:r>
        <w:rPr>
          <w:rFonts w:ascii="Times New Roman" w:hAnsi="Times New Roman"/>
          <w:color w:val="000000" w:themeColor="text1"/>
          <w14:textFill>
            <w14:solidFill>
              <w14:schemeClr w14:val="tx1"/>
            </w14:solidFill>
          </w14:textFill>
        </w:rPr>
        <w:t>年组织不少于一次的应急预案演练，做好演练记录、总结和评估；</w:t>
      </w:r>
      <w:r>
        <w:rPr>
          <w:rFonts w:hint="eastAsia" w:ascii="宋体" w:hAnsi="宋体" w:eastAsia="宋体" w:cs="宋体"/>
          <w:color w:val="auto"/>
          <w:sz w:val="28"/>
          <w:szCs w:val="28"/>
          <w:highlight w:val="none"/>
          <w:lang w:val="en-US" w:eastAsia="zh-CN"/>
        </w:rPr>
        <w:t>并应针对演练过程中存在的问题及时修订应急预案。</w:t>
      </w:r>
    </w:p>
    <w:p w14:paraId="75E08F43">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11、</w:t>
      </w:r>
      <w:r>
        <w:rPr>
          <w:rFonts w:ascii="Times New Roman" w:hAnsi="Times New Roman"/>
          <w:color w:val="000000" w:themeColor="text1"/>
          <w14:textFill>
            <w14:solidFill>
              <w14:schemeClr w14:val="tx1"/>
            </w14:solidFill>
          </w14:textFill>
        </w:rPr>
        <w:t>完善矿山应急物资配备，加强应急救援所需物资、技术、设备、抢险物资的储备，一旦发生事故，确保物资和设备及时到位，确保救援工作的顺利进行；</w:t>
      </w:r>
    </w:p>
    <w:p w14:paraId="454CAC8D">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12</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在取</w:t>
      </w:r>
      <w:r>
        <w:rPr>
          <w:rFonts w:hint="eastAsia" w:ascii="Times New Roman" w:hAnsi="Times New Roman"/>
          <w:color w:val="000000" w:themeColor="text1"/>
          <w:lang w:val="en-US" w:eastAsia="zh-CN"/>
          <w14:textFill>
            <w14:solidFill>
              <w14:schemeClr w14:val="tx1"/>
            </w14:solidFill>
          </w14:textFill>
        </w:rPr>
        <w:t>得</w:t>
      </w:r>
      <w:r>
        <w:rPr>
          <w:rFonts w:ascii="Times New Roman" w:hAnsi="Times New Roman"/>
          <w:color w:val="000000" w:themeColor="text1"/>
          <w14:textFill>
            <w14:solidFill>
              <w14:schemeClr w14:val="tx1"/>
            </w14:solidFill>
          </w14:textFill>
        </w:rPr>
        <w:t>安全生产许可证后的生产中，应按《金属非金属矿山在用设备设施安全检测检验目录》（KA/T2075-2019）的要求，对空压机、自卸汽车每年进行一次检测检验。</w:t>
      </w:r>
    </w:p>
    <w:p w14:paraId="6C917D52">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sz w:val="28"/>
          <w:szCs w:val="28"/>
          <w:highlight w:val="none"/>
          <w:lang w:val="en-US" w:eastAsia="zh-CN"/>
        </w:rPr>
      </w:pPr>
      <w:r>
        <w:rPr>
          <w:rFonts w:hint="eastAsia" w:ascii="Times New Roman" w:hAnsi="Times New Roman" w:eastAsia="宋体" w:cs="宋体"/>
          <w:color w:val="auto"/>
          <w:sz w:val="28"/>
          <w:szCs w:val="28"/>
          <w:highlight w:val="none"/>
          <w:lang w:val="en-US" w:eastAsia="zh-CN"/>
        </w:rPr>
        <w:t>2</w:t>
      </w:r>
      <w:r>
        <w:rPr>
          <w:rFonts w:hint="eastAsia" w:ascii="宋体" w:hAnsi="宋体" w:eastAsia="宋体" w:cs="宋体"/>
          <w:color w:val="auto"/>
          <w:sz w:val="28"/>
          <w:szCs w:val="28"/>
          <w:highlight w:val="none"/>
          <w:lang w:val="en-US" w:eastAsia="zh-CN"/>
        </w:rPr>
        <w:t>、管理制度、操作规程应随时进行检查改进，及时更新。</w:t>
      </w:r>
    </w:p>
    <w:p w14:paraId="42E500D7">
      <w:pPr>
        <w:pStyle w:val="3"/>
      </w:pPr>
      <w:bookmarkStart w:id="500" w:name="_Toc27365"/>
      <w:bookmarkStart w:id="501" w:name="_Toc11523"/>
      <w:bookmarkStart w:id="502" w:name="_Toc18462"/>
      <w:bookmarkStart w:id="503" w:name="_Toc454614353"/>
      <w:bookmarkStart w:id="504" w:name="_Toc476244197"/>
      <w:bookmarkStart w:id="505" w:name="_Toc15443"/>
      <w:bookmarkStart w:id="506" w:name="_Toc214284078"/>
      <w:bookmarkStart w:id="507" w:name="_Toc23960"/>
      <w:r>
        <w:t>4.</w:t>
      </w:r>
      <w:bookmarkStart w:id="508" w:name="OLE_LINK69"/>
      <w:r>
        <w:rPr>
          <w:rFonts w:hint="eastAsia"/>
          <w:lang w:val="en-US" w:eastAsia="zh-CN"/>
        </w:rPr>
        <w:t>11</w:t>
      </w:r>
      <w:r>
        <w:t>其他</w:t>
      </w:r>
      <w:bookmarkEnd w:id="500"/>
      <w:bookmarkEnd w:id="501"/>
      <w:bookmarkEnd w:id="502"/>
      <w:bookmarkEnd w:id="503"/>
      <w:r>
        <w:t>建议</w:t>
      </w:r>
      <w:bookmarkEnd w:id="504"/>
      <w:bookmarkEnd w:id="505"/>
      <w:bookmarkEnd w:id="506"/>
      <w:bookmarkEnd w:id="507"/>
      <w:bookmarkEnd w:id="508"/>
    </w:p>
    <w:p w14:paraId="665E1730">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1</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不得使用已经淘汰和禁止使用的机械、设备；</w:t>
      </w:r>
    </w:p>
    <w:p w14:paraId="42AC7989">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2</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电气设备可能被人触及的裸露带电部分，应设置安全防护罩或防护栏及安全警示标志；</w:t>
      </w:r>
    </w:p>
    <w:p w14:paraId="6DBF423A">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3</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电气设备的接地、过流、漏电保护装置应保持完好、有效；</w:t>
      </w:r>
    </w:p>
    <w:p w14:paraId="5D5C9385">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4</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建立完善职业卫生管理制度和操作规程、职业卫生档案和劳动者健康监护档案、工作场所职业病危害因素监测及评价制度；设置职业健康（卫生）管理机构、配备接受过职业危害防治知识培训与教育的人员；</w:t>
      </w:r>
    </w:p>
    <w:p w14:paraId="3D371A52">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5</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对采场工作面及运输道路定时洒水</w:t>
      </w:r>
      <w:r>
        <w:rPr>
          <w:rFonts w:hint="eastAsia" w:ascii="Times New Roman" w:hAnsi="Times New Roman"/>
          <w:color w:val="000000" w:themeColor="text1"/>
          <w:lang w:val="en-US" w:eastAsia="zh-CN"/>
          <w14:textFill>
            <w14:solidFill>
              <w14:schemeClr w14:val="tx1"/>
            </w14:solidFill>
          </w14:textFill>
        </w:rPr>
        <w:t>和喷雾</w:t>
      </w:r>
      <w:r>
        <w:rPr>
          <w:rFonts w:ascii="Times New Roman" w:hAnsi="Times New Roman"/>
          <w:color w:val="000000" w:themeColor="text1"/>
          <w14:textFill>
            <w14:solidFill>
              <w14:schemeClr w14:val="tx1"/>
            </w14:solidFill>
          </w14:textFill>
        </w:rPr>
        <w:t>抑尘；严格落实洒水降尘措施：堆料场采用喷雾洒水抑尘，运输道路喷</w:t>
      </w:r>
      <w:r>
        <w:rPr>
          <w:rFonts w:hint="eastAsia" w:ascii="Times New Roman" w:hAnsi="Times New Roman"/>
          <w:color w:val="000000" w:themeColor="text1"/>
          <w:lang w:val="en-US" w:eastAsia="zh-CN"/>
          <w14:textFill>
            <w14:solidFill>
              <w14:schemeClr w14:val="tx1"/>
            </w14:solidFill>
          </w14:textFill>
        </w:rPr>
        <w:t>雾</w:t>
      </w:r>
      <w:r>
        <w:rPr>
          <w:rFonts w:ascii="Times New Roman" w:hAnsi="Times New Roman"/>
          <w:color w:val="000000" w:themeColor="text1"/>
          <w14:textFill>
            <w14:solidFill>
              <w14:schemeClr w14:val="tx1"/>
            </w14:solidFill>
          </w14:textFill>
        </w:rPr>
        <w:t>降尘；</w:t>
      </w:r>
    </w:p>
    <w:p w14:paraId="2818553D">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6</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为作业人员配备相应的劳动防护用品，如防护耳塞、防尘口罩等，填写发放记录；</w:t>
      </w:r>
    </w:p>
    <w:p w14:paraId="0F133D49">
      <w:pPr>
        <w:ind w:firstLine="552"/>
        <w:rPr>
          <w:rFonts w:ascii="Times New Roman" w:hAnsi="Times New Roman"/>
          <w:color w:val="000000" w:themeColor="text1"/>
          <w14:textFill>
            <w14:solidFill>
              <w14:schemeClr w14:val="tx1"/>
            </w14:solidFill>
          </w14:textFill>
        </w:rPr>
      </w:pPr>
      <w:r>
        <w:rPr>
          <w:rFonts w:ascii="Times New Roman" w:hAnsi="Times New Roman"/>
          <w:color w:val="000000" w:themeColor="text1"/>
          <w14:textFill>
            <w14:solidFill>
              <w14:schemeClr w14:val="tx1"/>
            </w14:solidFill>
          </w14:textFill>
        </w:rPr>
        <w:t>7</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生活、粪便污水要经过化粪池等处理后才能排放；</w:t>
      </w:r>
    </w:p>
    <w:p w14:paraId="46481720">
      <w:pPr>
        <w:ind w:firstLine="552"/>
        <w:rPr>
          <w:rFonts w:ascii="Times New Roman" w:hAnsi="Times New Roman"/>
          <w:color w:val="000000" w:themeColor="text1"/>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8、</w:t>
      </w:r>
      <w:r>
        <w:rPr>
          <w:rFonts w:ascii="Times New Roman" w:hAnsi="Times New Roman"/>
          <w:color w:val="000000" w:themeColor="text1"/>
          <w14:textFill>
            <w14:solidFill>
              <w14:schemeClr w14:val="tx1"/>
            </w14:solidFill>
          </w14:textFill>
        </w:rPr>
        <w:t>矿山企业按国家有关规定：对新入矿山工人应进行职业健康检查，（如胸透、听力测定、血液化验等指标），并建立健康档案，对接尘人员的职业健康检查应有照胸大片，不适合从事矿山作业人不应录取；对接触粉尘的作业人员</w:t>
      </w:r>
      <w:r>
        <w:rPr>
          <w:rFonts w:hint="eastAsia" w:ascii="Times New Roman" w:hAnsi="Times New Roman"/>
          <w:color w:val="000000" w:themeColor="text1"/>
          <w:lang w:eastAsia="zh-CN"/>
          <w14:textFill>
            <w14:solidFill>
              <w14:schemeClr w14:val="tx1"/>
            </w14:solidFill>
          </w14:textFill>
        </w:rPr>
        <w:t>，</w:t>
      </w:r>
      <w:r>
        <w:rPr>
          <w:rFonts w:ascii="Times New Roman" w:hAnsi="Times New Roman"/>
          <w:color w:val="000000" w:themeColor="text1"/>
          <w14:textFill>
            <w14:solidFill>
              <w14:schemeClr w14:val="tx1"/>
            </w14:solidFill>
          </w14:textFill>
        </w:rPr>
        <w:t>定期进行健康检查，应按照卫生部规定的职业病范围和诊断标准，定期对职工进行职业病鉴定和复查，并建立健康档案，体检鉴定患有职业病或职业禁忌症，并确诊不适应工作的应及时调离。</w:t>
      </w:r>
    </w:p>
    <w:p w14:paraId="319FAC30">
      <w:pPr>
        <w:ind w:firstLine="552"/>
        <w:rPr>
          <w:rFonts w:hint="eastAsia" w:ascii="Times New Roman" w:hAnsi="Times New Roman" w:eastAsia="宋体"/>
          <w:color w:val="000000" w:themeColor="text1"/>
          <w:lang w:val="en-US" w:eastAsia="zh-CN"/>
          <w14:textFill>
            <w14:solidFill>
              <w14:schemeClr w14:val="tx1"/>
            </w14:solidFill>
          </w14:textFill>
        </w:rPr>
      </w:pPr>
      <w:r>
        <w:rPr>
          <w:rFonts w:hint="eastAsia" w:ascii="Times New Roman" w:hAnsi="Times New Roman"/>
          <w:color w:val="000000" w:themeColor="text1"/>
          <w:lang w:val="en-US" w:eastAsia="zh-CN"/>
          <w14:textFill>
            <w14:solidFill>
              <w14:schemeClr w14:val="tx1"/>
            </w14:solidFill>
          </w14:textFill>
        </w:rPr>
        <w:t>9、重视重大事故隐患因素及</w:t>
      </w:r>
      <w:r>
        <w:t>隐蔽致灾因素</w:t>
      </w:r>
      <w:r>
        <w:rPr>
          <w:rFonts w:hint="eastAsia"/>
          <w:lang w:eastAsia="zh-CN"/>
        </w:rPr>
        <w:t>的形成和变化。</w:t>
      </w:r>
      <w:r>
        <w:rPr>
          <w:lang w:val="en-US" w:eastAsia="zh-CN"/>
        </w:rPr>
        <w:t>科学评估其对矿山安全生产的威胁程度，依据《金属非金属矿山安全规程》《金属非金属矿山重大事故隐患判定标准》及矿山地质灾害防治相关规范，</w:t>
      </w:r>
      <w:r>
        <w:rPr>
          <w:rFonts w:hint="eastAsia"/>
          <w:lang w:val="en-US" w:eastAsia="zh-CN"/>
        </w:rPr>
        <w:t>定期开展对</w:t>
      </w:r>
      <w:r>
        <w:rPr>
          <w:rFonts w:hint="eastAsia" w:ascii="Times New Roman" w:hAnsi="Times New Roman"/>
          <w:color w:val="000000" w:themeColor="text1"/>
          <w:lang w:val="en-US" w:eastAsia="zh-CN"/>
          <w14:textFill>
            <w14:solidFill>
              <w14:schemeClr w14:val="tx1"/>
            </w14:solidFill>
          </w14:textFill>
        </w:rPr>
        <w:t>重大事故隐患因素及</w:t>
      </w:r>
      <w:r>
        <w:t>隐蔽致灾因素</w:t>
      </w:r>
      <w:r>
        <w:rPr>
          <w:rFonts w:hint="eastAsia"/>
          <w:lang w:eastAsia="zh-CN"/>
        </w:rPr>
        <w:t>的监测和评估。</w:t>
      </w:r>
    </w:p>
    <w:p w14:paraId="69EB285B">
      <w:pPr>
        <w:ind w:firstLine="552"/>
        <w:rPr>
          <w:rFonts w:ascii="Times New Roman" w:hAnsi="Times New Roman"/>
          <w:color w:val="000000" w:themeColor="text1"/>
          <w14:textFill>
            <w14:solidFill>
              <w14:schemeClr w14:val="tx1"/>
            </w14:solidFill>
          </w14:textFill>
        </w:rPr>
      </w:pPr>
    </w:p>
    <w:p w14:paraId="2D02881C">
      <w:pPr>
        <w:keepNext w:val="0"/>
        <w:keepLines w:val="0"/>
        <w:pageBreakBefore w:val="0"/>
        <w:widowControl/>
        <w:kinsoku/>
        <w:wordWrap/>
        <w:overflowPunct/>
        <w:topLinePunct w:val="0"/>
        <w:autoSpaceDE/>
        <w:autoSpaceDN/>
        <w:bidi w:val="0"/>
        <w:adjustRightInd/>
        <w:snapToGrid w:val="0"/>
        <w:ind w:firstLine="632"/>
        <w:jc w:val="center"/>
        <w:textAlignment w:val="auto"/>
        <w:outlineLvl w:val="9"/>
        <w:rPr>
          <w:rFonts w:ascii="Times New Roman" w:hAnsi="Times New Roman"/>
          <w:bCs/>
          <w:color w:val="000000" w:themeColor="text1"/>
          <w:sz w:val="32"/>
          <w:szCs w:val="32"/>
          <w14:textFill>
            <w14:solidFill>
              <w14:schemeClr w14:val="tx1"/>
            </w14:solidFill>
          </w14:textFill>
        </w:rPr>
      </w:pPr>
      <w:r>
        <w:rPr>
          <w:rFonts w:ascii="Times New Roman" w:hAnsi="Times New Roman"/>
          <w:bCs/>
          <w:color w:val="000000" w:themeColor="text1"/>
          <w:sz w:val="32"/>
          <w:szCs w:val="32"/>
          <w14:textFill>
            <w14:solidFill>
              <w14:schemeClr w14:val="tx1"/>
            </w14:solidFill>
          </w14:textFill>
        </w:rPr>
        <w:br w:type="page"/>
      </w:r>
      <w:bookmarkStart w:id="509" w:name="_Toc214284079"/>
      <w:bookmarkStart w:id="510" w:name="_Toc30980"/>
    </w:p>
    <w:p w14:paraId="685F390B">
      <w:pPr>
        <w:keepNext/>
        <w:keepLines/>
        <w:pageBreakBefore w:val="0"/>
        <w:widowControl w:val="0"/>
        <w:kinsoku/>
        <w:wordWrap/>
        <w:overflowPunct/>
        <w:topLinePunct w:val="0"/>
        <w:autoSpaceDE/>
        <w:autoSpaceDN/>
        <w:bidi w:val="0"/>
        <w:adjustRightInd w:val="0"/>
        <w:snapToGrid w:val="0"/>
        <w:spacing w:line="140" w:lineRule="exact"/>
        <w:textAlignment w:val="auto"/>
        <w:outlineLvl w:val="9"/>
        <w:rPr>
          <w:rFonts w:hint="eastAsia"/>
          <w:lang w:val="en-US" w:eastAsia="zh-CN"/>
        </w:rPr>
      </w:pPr>
    </w:p>
    <w:p w14:paraId="56ABFE11">
      <w:pPr>
        <w:pStyle w:val="2"/>
        <w:bidi w:val="0"/>
      </w:pPr>
      <w:bookmarkStart w:id="511" w:name="_Toc19575"/>
      <w:r>
        <w:rPr>
          <w:rFonts w:hint="eastAsia"/>
          <w:lang w:val="en-US" w:eastAsia="zh-CN"/>
        </w:rPr>
        <w:t>5</w:t>
      </w:r>
      <w:r>
        <w:t>评价结论</w:t>
      </w:r>
      <w:bookmarkEnd w:id="509"/>
      <w:bookmarkEnd w:id="510"/>
      <w:bookmarkEnd w:id="511"/>
    </w:p>
    <w:p w14:paraId="688EB4AC">
      <w:pPr>
        <w:pStyle w:val="3"/>
        <w:keepNext/>
        <w:keepLines/>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default" w:ascii="Times New Roman" w:hAnsi="Times New Roman" w:cs="Times New Roman"/>
          <w:b/>
          <w:bCs/>
          <w:color w:val="auto"/>
          <w:sz w:val="30"/>
          <w:szCs w:val="30"/>
          <w:highlight w:val="none"/>
        </w:rPr>
      </w:pPr>
      <w:bookmarkStart w:id="512" w:name="_Toc18845"/>
      <w:bookmarkStart w:id="513" w:name="_Toc162860147"/>
      <w:bookmarkStart w:id="514" w:name="_Toc165011534"/>
      <w:bookmarkStart w:id="515" w:name="_Toc1210"/>
      <w:bookmarkStart w:id="516" w:name="_Toc165271830"/>
      <w:bookmarkStart w:id="517" w:name="_Toc27143"/>
      <w:bookmarkStart w:id="518" w:name="_Toc20583"/>
      <w:bookmarkStart w:id="519" w:name="_Toc193428462"/>
      <w:bookmarkStart w:id="520" w:name="_Toc5603"/>
      <w:bookmarkStart w:id="521" w:name="_Toc18575"/>
      <w:bookmarkStart w:id="522" w:name="_Toc193428463"/>
      <w:bookmarkStart w:id="523" w:name="_Toc30995"/>
      <w:bookmarkStart w:id="524" w:name="_Toc165271831"/>
      <w:bookmarkStart w:id="525" w:name="_Toc165011535"/>
      <w:bookmarkStart w:id="526" w:name="_Toc162860148"/>
      <w:bookmarkStart w:id="527" w:name="_Toc467512344"/>
      <w:bookmarkStart w:id="528" w:name="_Toc23119"/>
      <w:bookmarkStart w:id="529" w:name="_Toc214284082"/>
      <w:bookmarkStart w:id="530" w:name="_Toc470731776"/>
      <w:bookmarkStart w:id="531" w:name="_Toc467512534"/>
      <w:bookmarkStart w:id="532" w:name="_Toc28998"/>
      <w:bookmarkStart w:id="533" w:name="_Toc10150"/>
      <w:bookmarkStart w:id="534" w:name="_Toc5456"/>
      <w:bookmarkStart w:id="535" w:name="_Toc483865770"/>
      <w:bookmarkStart w:id="536" w:name="_Toc468088589"/>
      <w:bookmarkStart w:id="537" w:name="_Toc476516095"/>
      <w:bookmarkStart w:id="538" w:name="_Toc14806"/>
      <w:bookmarkStart w:id="539" w:name="_Toc468092663"/>
      <w:bookmarkStart w:id="540" w:name="_Toc467510955"/>
      <w:bookmarkStart w:id="541" w:name="_Toc24462"/>
      <w:bookmarkStart w:id="542" w:name="_Toc467510634"/>
      <w:r>
        <w:rPr>
          <w:rFonts w:hint="default" w:ascii="Times New Roman" w:hAnsi="Times New Roman" w:cs="Times New Roman"/>
          <w:b/>
          <w:bCs/>
          <w:color w:val="auto"/>
          <w:sz w:val="30"/>
          <w:szCs w:val="30"/>
          <w:highlight w:val="none"/>
        </w:rPr>
        <w:t>5.1建设项目安全状况综合评价</w:t>
      </w:r>
      <w:bookmarkEnd w:id="512"/>
      <w:bookmarkEnd w:id="513"/>
      <w:bookmarkEnd w:id="514"/>
      <w:bookmarkEnd w:id="515"/>
      <w:bookmarkEnd w:id="516"/>
      <w:bookmarkEnd w:id="517"/>
      <w:bookmarkEnd w:id="518"/>
      <w:bookmarkEnd w:id="519"/>
      <w:bookmarkEnd w:id="520"/>
    </w:p>
    <w:p w14:paraId="00A6851C">
      <w:pPr>
        <w:bidi w:val="0"/>
        <w:rPr>
          <w:rFonts w:hint="eastAsia"/>
        </w:rPr>
      </w:pPr>
      <w:r>
        <w:rPr>
          <w:rFonts w:hint="eastAsia"/>
          <w:lang w:val="en-US" w:eastAsia="zh-CN"/>
        </w:rPr>
        <w:t>该矿山</w:t>
      </w:r>
      <w:r>
        <w:rPr>
          <w:rFonts w:hint="eastAsia"/>
        </w:rPr>
        <w:t>安全设施</w:t>
      </w:r>
      <w:r>
        <w:rPr>
          <w:rFonts w:hint="eastAsia"/>
          <w:lang w:eastAsia="zh-CN"/>
        </w:rPr>
        <w:t>“</w:t>
      </w:r>
      <w:r>
        <w:rPr>
          <w:rFonts w:hint="eastAsia"/>
        </w:rPr>
        <w:t>三同时</w:t>
      </w:r>
      <w:r>
        <w:rPr>
          <w:rFonts w:hint="eastAsia"/>
          <w:lang w:eastAsia="zh-CN"/>
        </w:rPr>
        <w:t>”</w:t>
      </w:r>
      <w:r>
        <w:rPr>
          <w:rFonts w:hint="eastAsia"/>
          <w:lang w:val="en-US" w:eastAsia="zh-CN"/>
        </w:rPr>
        <w:t>要求</w:t>
      </w:r>
      <w:r>
        <w:rPr>
          <w:rFonts w:hint="eastAsia"/>
        </w:rPr>
        <w:t>，设计阶段对安全设施进行了详细设计；施工阶段对安全保障设施进行了同步建设；试生产阶段安全设施和主要生产系统正常。</w:t>
      </w:r>
      <w:r>
        <w:rPr>
          <w:rFonts w:hint="eastAsia"/>
          <w:lang w:val="en-US" w:eastAsia="zh-CN"/>
        </w:rPr>
        <w:t>该矿山从10万t/a露天采矿工程生产规模扩建至50万t/a露天采矿工程生产规模</w:t>
      </w:r>
      <w:r>
        <w:rPr>
          <w:rFonts w:hint="eastAsia"/>
          <w:lang w:eastAsia="zh-CN"/>
        </w:rPr>
        <w:t>，</w:t>
      </w:r>
      <w:r>
        <w:rPr>
          <w:rFonts w:hint="eastAsia"/>
        </w:rPr>
        <w:t>安全管理体系机构</w:t>
      </w:r>
      <w:r>
        <w:rPr>
          <w:rFonts w:hint="eastAsia"/>
          <w:lang w:eastAsia="zh-CN"/>
        </w:rPr>
        <w:t>、</w:t>
      </w:r>
      <w:r>
        <w:rPr>
          <w:rFonts w:hint="eastAsia"/>
        </w:rPr>
        <w:t>安全管理制度</w:t>
      </w:r>
      <w:r>
        <w:rPr>
          <w:rFonts w:hint="eastAsia"/>
          <w:lang w:val="en-US" w:eastAsia="zh-CN"/>
        </w:rPr>
        <w:t>形成了完整的管理体系，</w:t>
      </w:r>
      <w:r>
        <w:t>有关法律、法规、规章</w:t>
      </w:r>
      <w:r>
        <w:rPr>
          <w:rFonts w:hint="eastAsia"/>
          <w:lang w:val="en-US" w:eastAsia="zh-CN"/>
        </w:rPr>
        <w:t>和</w:t>
      </w:r>
      <w:r>
        <w:t>标准</w:t>
      </w:r>
      <w:r>
        <w:rPr>
          <w:rFonts w:hint="eastAsia"/>
          <w:lang w:eastAsia="zh-CN"/>
        </w:rPr>
        <w:t>、</w:t>
      </w:r>
      <w:r>
        <w:t>安全生产或环境面临的风险</w:t>
      </w:r>
      <w:r>
        <w:rPr>
          <w:rFonts w:hint="eastAsia"/>
          <w:lang w:val="en-US" w:eastAsia="zh-CN"/>
        </w:rPr>
        <w:t>没有</w:t>
      </w:r>
      <w:r>
        <w:t>发生重大变化</w:t>
      </w:r>
      <w:r>
        <w:rPr>
          <w:rFonts w:hint="eastAsia"/>
          <w:lang w:eastAsia="zh-CN"/>
        </w:rPr>
        <w:t>，</w:t>
      </w:r>
      <w:r>
        <w:rPr>
          <w:rFonts w:hint="eastAsia"/>
          <w:lang w:val="en-US" w:eastAsia="zh-CN"/>
        </w:rPr>
        <w:t>适当修正仍能适应生产安全管理要求，从</w:t>
      </w:r>
      <w:r>
        <w:rPr>
          <w:rFonts w:hint="eastAsia"/>
        </w:rPr>
        <w:t>现场执行情况分析来看，</w:t>
      </w:r>
      <w:r>
        <w:rPr>
          <w:rFonts w:hint="eastAsia"/>
          <w:lang w:val="en-US" w:eastAsia="zh-CN"/>
        </w:rPr>
        <w:t>该矿</w:t>
      </w:r>
      <w:r>
        <w:rPr>
          <w:rFonts w:hint="eastAsia"/>
        </w:rPr>
        <w:t>安全管理体系具备矿山安全生产的条件。</w:t>
      </w:r>
    </w:p>
    <w:p w14:paraId="0DEC6F9B">
      <w:pPr>
        <w:pStyle w:val="3"/>
        <w:keepNext/>
        <w:keepLines/>
        <w:pageBreakBefore w:val="0"/>
        <w:widowControl w:val="0"/>
        <w:kinsoku/>
        <w:wordWrap/>
        <w:overflowPunct/>
        <w:topLinePunct w:val="0"/>
        <w:autoSpaceDE/>
        <w:autoSpaceDN/>
        <w:bidi w:val="0"/>
        <w:adjustRightInd/>
        <w:snapToGrid/>
        <w:spacing w:before="0" w:beforeAutospacing="0" w:after="0" w:afterAutospacing="0" w:line="360" w:lineRule="auto"/>
        <w:textAlignment w:val="auto"/>
        <w:rPr>
          <w:rFonts w:hint="default" w:ascii="Times New Roman" w:hAnsi="Times New Roman" w:cs="Times New Roman"/>
          <w:b/>
          <w:bCs/>
          <w:color w:val="auto"/>
          <w:sz w:val="30"/>
          <w:szCs w:val="30"/>
          <w:highlight w:val="none"/>
        </w:rPr>
      </w:pPr>
      <w:bookmarkStart w:id="543" w:name="_Toc288"/>
      <w:bookmarkStart w:id="544" w:name="_Toc15483"/>
      <w:r>
        <w:rPr>
          <w:rFonts w:hint="default" w:ascii="Times New Roman" w:hAnsi="Times New Roman" w:cs="Times New Roman"/>
          <w:b/>
          <w:bCs/>
          <w:color w:val="auto"/>
          <w:sz w:val="30"/>
          <w:szCs w:val="30"/>
          <w:highlight w:val="none"/>
        </w:rPr>
        <w:t>5.2建设项目安全验收评价结论</w:t>
      </w:r>
      <w:bookmarkEnd w:id="543"/>
      <w:bookmarkEnd w:id="544"/>
    </w:p>
    <w:p w14:paraId="29FE7E86">
      <w:pPr>
        <w:bidi w:val="0"/>
        <w:rPr>
          <w:rFonts w:hint="default"/>
          <w:lang w:val="en-US" w:eastAsia="zh-CN"/>
        </w:rPr>
      </w:pPr>
      <w:r>
        <w:rPr>
          <w:rFonts w:hint="eastAsia"/>
        </w:rPr>
        <w:t>通过</w:t>
      </w:r>
      <w:r>
        <w:rPr>
          <w:rFonts w:hint="eastAsia"/>
          <w:lang w:val="en-US" w:eastAsia="zh-CN"/>
        </w:rPr>
        <w:t>采用安全检查表法</w:t>
      </w:r>
      <w:r>
        <w:rPr>
          <w:rFonts w:hint="eastAsia"/>
        </w:rPr>
        <w:t>对安全设施</w:t>
      </w:r>
      <w:r>
        <w:rPr>
          <w:rFonts w:hint="eastAsia"/>
          <w:lang w:eastAsia="zh-CN"/>
        </w:rPr>
        <w:t>“</w:t>
      </w:r>
      <w:r>
        <w:rPr>
          <w:rFonts w:hint="eastAsia"/>
        </w:rPr>
        <w:t>三同时</w:t>
      </w:r>
      <w:r>
        <w:rPr>
          <w:rFonts w:hint="eastAsia"/>
          <w:lang w:eastAsia="zh-CN"/>
        </w:rPr>
        <w:t>”</w:t>
      </w:r>
      <w:r>
        <w:rPr>
          <w:rFonts w:hint="eastAsia"/>
        </w:rPr>
        <w:t>程序评价单元、露天采场评价单元、</w:t>
      </w:r>
      <w:r>
        <w:rPr>
          <w:rFonts w:hint="eastAsia"/>
          <w:lang w:val="en-US" w:eastAsia="zh-CN"/>
        </w:rPr>
        <w:t>采场</w:t>
      </w:r>
      <w:r>
        <w:rPr>
          <w:rFonts w:hint="eastAsia"/>
        </w:rPr>
        <w:t>防排水评价单元、</w:t>
      </w:r>
      <w:r>
        <w:rPr>
          <w:rFonts w:hint="eastAsia"/>
          <w:lang w:val="en-US" w:eastAsia="zh-CN"/>
        </w:rPr>
        <w:t>矿岩运输系统</w:t>
      </w:r>
      <w:r>
        <w:rPr>
          <w:rFonts w:hint="eastAsia"/>
        </w:rPr>
        <w:t>评价单元</w:t>
      </w:r>
      <w:r>
        <w:rPr>
          <w:rFonts w:hint="eastAsia"/>
          <w:lang w:eastAsia="zh-CN"/>
        </w:rPr>
        <w:t>、</w:t>
      </w:r>
      <w:r>
        <w:rPr>
          <w:rFonts w:hint="eastAsia"/>
        </w:rPr>
        <w:t>供配电</w:t>
      </w:r>
      <w:r>
        <w:rPr>
          <w:rFonts w:hint="eastAsia"/>
          <w:lang w:val="en-US" w:eastAsia="zh-CN"/>
        </w:rPr>
        <w:t>系统</w:t>
      </w:r>
      <w:r>
        <w:rPr>
          <w:rFonts w:hint="eastAsia"/>
        </w:rPr>
        <w:t>评价单元、总平面布置评价单元</w:t>
      </w:r>
      <w:r>
        <w:rPr>
          <w:rFonts w:hint="eastAsia"/>
          <w:lang w:eastAsia="zh-CN"/>
        </w:rPr>
        <w:t>、</w:t>
      </w:r>
      <w:r>
        <w:rPr>
          <w:rFonts w:hint="eastAsia"/>
          <w:lang w:val="en-US" w:eastAsia="zh-CN"/>
        </w:rPr>
        <w:t>通信系统评价单元、排土场单元、破碎系统</w:t>
      </w:r>
      <w:r>
        <w:rPr>
          <w:rFonts w:hint="eastAsia"/>
        </w:rPr>
        <w:t>评价单元、个人安全防护</w:t>
      </w:r>
      <w:r>
        <w:rPr>
          <w:rFonts w:hint="eastAsia"/>
          <w:lang w:eastAsia="zh-CN"/>
        </w:rPr>
        <w:t>与防尘</w:t>
      </w:r>
      <w:r>
        <w:rPr>
          <w:rFonts w:hint="eastAsia"/>
          <w:lang w:val="en-US" w:eastAsia="zh-CN"/>
        </w:rPr>
        <w:t>评价单元、</w:t>
      </w:r>
      <w:r>
        <w:rPr>
          <w:rFonts w:hint="eastAsia"/>
        </w:rPr>
        <w:t>安全标志评价</w:t>
      </w:r>
      <w:r>
        <w:rPr>
          <w:rFonts w:hint="eastAsia"/>
          <w:lang w:val="en-US" w:eastAsia="zh-CN"/>
        </w:rPr>
        <w:t>单元、</w:t>
      </w:r>
      <w:r>
        <w:rPr>
          <w:rFonts w:hint="eastAsia"/>
        </w:rPr>
        <w:t>安全管理单元</w:t>
      </w:r>
      <w:r>
        <w:rPr>
          <w:rFonts w:hint="eastAsia"/>
          <w:lang w:eastAsia="zh-CN"/>
        </w:rPr>
        <w:t>、</w:t>
      </w:r>
      <w:r>
        <w:t>重大事故隐患判定</w:t>
      </w:r>
      <w:r>
        <w:rPr>
          <w:rFonts w:hint="eastAsia"/>
          <w:lang w:val="en-US" w:eastAsia="zh-CN"/>
        </w:rPr>
        <w:t>单元检查</w:t>
      </w:r>
      <w:r>
        <w:rPr>
          <w:rFonts w:hint="eastAsia"/>
        </w:rPr>
        <w:t>。采用评价结论判别分为</w:t>
      </w:r>
      <w:r>
        <w:rPr>
          <w:rFonts w:hint="eastAsia"/>
          <w:lang w:eastAsia="zh-CN"/>
        </w:rPr>
        <w:t>“</w:t>
      </w:r>
      <w:r>
        <w:rPr>
          <w:rFonts w:hint="eastAsia"/>
          <w:lang w:val="en-US" w:eastAsia="zh-CN"/>
        </w:rPr>
        <w:t>符合</w:t>
      </w:r>
      <w:r>
        <w:rPr>
          <w:rFonts w:hint="eastAsia"/>
          <w:lang w:eastAsia="zh-CN"/>
        </w:rPr>
        <w:t>”、“</w:t>
      </w:r>
      <w:r>
        <w:rPr>
          <w:rFonts w:hint="eastAsia"/>
          <w:lang w:val="en-US" w:eastAsia="zh-CN"/>
        </w:rPr>
        <w:t>不符合</w:t>
      </w:r>
      <w:r>
        <w:rPr>
          <w:rFonts w:hint="eastAsia"/>
          <w:lang w:eastAsia="zh-CN"/>
        </w:rPr>
        <w:t>”</w:t>
      </w:r>
      <w:r>
        <w:rPr>
          <w:rFonts w:hint="eastAsia"/>
          <w:lang w:val="en-US" w:eastAsia="zh-CN"/>
        </w:rPr>
        <w:t>和“不涉及”三</w:t>
      </w:r>
      <w:r>
        <w:rPr>
          <w:rFonts w:hint="eastAsia"/>
        </w:rPr>
        <w:t>种。</w:t>
      </w:r>
      <w:r>
        <w:t>重大事故隐患判定</w:t>
      </w:r>
      <w:r>
        <w:rPr>
          <w:rFonts w:hint="eastAsia"/>
          <w:lang w:val="en-US" w:eastAsia="zh-CN"/>
        </w:rPr>
        <w:t>单元</w:t>
      </w:r>
      <w:r>
        <w:rPr>
          <w:rFonts w:hint="eastAsia"/>
        </w:rPr>
        <w:t>判别</w:t>
      </w:r>
      <w:r>
        <w:rPr>
          <w:rFonts w:hint="eastAsia"/>
          <w:lang w:val="en-US" w:eastAsia="zh-CN"/>
        </w:rPr>
        <w:t>结论为“不构成（符合、不涉及）”、“构成（不符合）”项。</w:t>
      </w:r>
    </w:p>
    <w:p w14:paraId="2468E75E">
      <w:pPr>
        <w:bidi w:val="0"/>
        <w:rPr>
          <w:rFonts w:hint="eastAsia"/>
          <w:lang w:val="en-US" w:eastAsia="zh-CN"/>
        </w:rPr>
      </w:pPr>
      <w:r>
        <w:rPr>
          <w:rFonts w:hint="eastAsia"/>
          <w:lang w:val="en-US" w:eastAsia="zh-CN"/>
        </w:rPr>
        <w:t>按照</w:t>
      </w:r>
      <w:r>
        <w:rPr>
          <w:rFonts w:hint="eastAsia"/>
        </w:rPr>
        <w:t>《国家安全监管总局关于规范金属非金属矿山建设项目安全设施竣工验收工作的通知》（</w:t>
      </w:r>
      <w:r>
        <w:rPr>
          <w:rFonts w:hint="eastAsia"/>
          <w:lang w:eastAsia="zh-CN"/>
        </w:rPr>
        <w:t>安监</w:t>
      </w:r>
      <w:r>
        <w:rPr>
          <w:rFonts w:hint="eastAsia"/>
        </w:rPr>
        <w:t>总管一〔2016〕14号）</w:t>
      </w:r>
      <w:r>
        <w:rPr>
          <w:rFonts w:hint="eastAsia"/>
          <w:lang w:eastAsia="zh-CN"/>
        </w:rPr>
        <w:t>和</w:t>
      </w:r>
      <w:r>
        <w:rPr>
          <w:rFonts w:hint="eastAsia"/>
          <w:lang w:val="en-US" w:eastAsia="zh-CN"/>
        </w:rPr>
        <w:t>《国家安全监管总局关于印发金属非金属矿山建设项目安全评价报告编写提纲的通知》（安监总管一〔2016〕49号）进行检查，检查项共计199项，有效项共检查128项，不涉及项71项。有效项中否决项7项且全部符合，一般项118项115项符合，3项不符合，不符合率为3/128=2.34%。</w:t>
      </w:r>
      <w:r>
        <w:rPr>
          <w:rFonts w:hint="eastAsia"/>
          <w:lang w:eastAsia="zh-CN"/>
        </w:rPr>
        <w:t>不</w:t>
      </w:r>
      <w:r>
        <w:rPr>
          <w:rFonts w:hint="eastAsia"/>
          <w:lang w:val="en-US" w:eastAsia="zh-CN"/>
        </w:rPr>
        <w:t>符合</w:t>
      </w:r>
      <w:r>
        <w:rPr>
          <w:rFonts w:hint="eastAsia"/>
        </w:rPr>
        <w:t>项小于5%，已达到建设项目竣工验收标准、具备了安全生产的条件。</w:t>
      </w:r>
    </w:p>
    <w:p w14:paraId="69B3E731">
      <w:pPr>
        <w:numPr>
          <w:ilvl w:val="0"/>
          <w:numId w:val="0"/>
        </w:numPr>
        <w:bidi w:val="0"/>
        <w:ind w:firstLine="552" w:firstLineChars="200"/>
        <w:jc w:val="center"/>
        <w:rPr>
          <w:rFonts w:hint="eastAsia"/>
          <w:lang w:val="en-US" w:eastAsia="zh-CN"/>
        </w:rPr>
      </w:pPr>
      <w:r>
        <w:rPr>
          <w:rFonts w:hint="eastAsia"/>
          <w:lang w:val="en-US" w:eastAsia="zh-CN"/>
        </w:rPr>
        <w:t xml:space="preserve">表5.2-1 </w:t>
      </w:r>
      <w:r>
        <w:rPr>
          <w:rFonts w:hint="eastAsia"/>
        </w:rPr>
        <w:t>评价结论判别</w:t>
      </w:r>
      <w:r>
        <w:rPr>
          <w:rFonts w:hint="eastAsia"/>
          <w:lang w:val="en-US" w:eastAsia="zh-CN"/>
        </w:rPr>
        <w:t>符合</w:t>
      </w:r>
      <w:r>
        <w:rPr>
          <w:rFonts w:hint="eastAsia"/>
          <w:lang w:eastAsia="zh-CN"/>
        </w:rPr>
        <w:t>性评价</w:t>
      </w:r>
      <w:r>
        <w:rPr>
          <w:rFonts w:hint="eastAsia"/>
          <w:lang w:val="en-US" w:eastAsia="zh-CN"/>
        </w:rPr>
        <w:t>统计表</w:t>
      </w:r>
    </w:p>
    <w:tbl>
      <w:tblPr>
        <w:tblStyle w:val="36"/>
        <w:tblW w:w="9540" w:type="dxa"/>
        <w:tblInd w:w="-102"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480"/>
        <w:gridCol w:w="1545"/>
        <w:gridCol w:w="690"/>
        <w:gridCol w:w="705"/>
        <w:gridCol w:w="705"/>
        <w:gridCol w:w="660"/>
        <w:gridCol w:w="733"/>
        <w:gridCol w:w="707"/>
        <w:gridCol w:w="750"/>
        <w:gridCol w:w="855"/>
        <w:gridCol w:w="855"/>
        <w:gridCol w:w="855"/>
      </w:tblGrid>
      <w:tr w14:paraId="3A0B30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trPr>
        <w:tc>
          <w:tcPr>
            <w:tcW w:w="2025" w:type="dxa"/>
            <w:gridSpan w:val="2"/>
            <w:noWrap w:val="0"/>
            <w:vAlign w:val="center"/>
          </w:tcPr>
          <w:p w14:paraId="213455E2">
            <w:pPr>
              <w:pStyle w:val="50"/>
              <w:bidi w:val="0"/>
              <w:jc w:val="center"/>
              <w:rPr>
                <w:rFonts w:hint="default"/>
                <w:b/>
                <w:bCs/>
                <w:lang w:val="en-US" w:eastAsia="zh-CN"/>
              </w:rPr>
            </w:pPr>
            <w:r>
              <w:rPr>
                <w:rFonts w:hint="eastAsia"/>
                <w:b/>
                <w:bCs/>
                <w:lang w:val="en-US" w:eastAsia="zh-CN"/>
              </w:rPr>
              <w:t>检查依据</w:t>
            </w:r>
          </w:p>
        </w:tc>
        <w:tc>
          <w:tcPr>
            <w:tcW w:w="4950" w:type="dxa"/>
            <w:gridSpan w:val="7"/>
            <w:noWrap w:val="0"/>
            <w:vAlign w:val="center"/>
          </w:tcPr>
          <w:p w14:paraId="203A6C7B">
            <w:pPr>
              <w:pStyle w:val="50"/>
              <w:bidi w:val="0"/>
              <w:jc w:val="center"/>
              <w:rPr>
                <w:rFonts w:hint="eastAsia"/>
                <w:b/>
                <w:bCs/>
                <w:lang w:val="en-US" w:eastAsia="zh-CN"/>
              </w:rPr>
            </w:pPr>
            <w:r>
              <w:rPr>
                <w:rFonts w:hint="eastAsia"/>
                <w:b/>
                <w:bCs/>
                <w:lang w:eastAsia="zh-CN"/>
              </w:rPr>
              <w:t>安监</w:t>
            </w:r>
            <w:r>
              <w:rPr>
                <w:rFonts w:hint="eastAsia"/>
                <w:b/>
                <w:bCs/>
              </w:rPr>
              <w:t>总管一〔2016〕14号</w:t>
            </w:r>
          </w:p>
        </w:tc>
        <w:tc>
          <w:tcPr>
            <w:tcW w:w="2565" w:type="dxa"/>
            <w:gridSpan w:val="3"/>
            <w:noWrap w:val="0"/>
            <w:vAlign w:val="center"/>
          </w:tcPr>
          <w:p w14:paraId="195475B9">
            <w:pPr>
              <w:pStyle w:val="50"/>
              <w:bidi w:val="0"/>
              <w:jc w:val="center"/>
              <w:rPr>
                <w:rFonts w:hint="eastAsia"/>
                <w:b/>
                <w:bCs/>
                <w:lang w:val="en-US" w:eastAsia="zh-CN"/>
              </w:rPr>
            </w:pPr>
            <w:r>
              <w:rPr>
                <w:rFonts w:hint="eastAsia"/>
                <w:b/>
                <w:bCs/>
                <w:lang w:eastAsia="zh-CN"/>
              </w:rPr>
              <w:t>安监</w:t>
            </w:r>
            <w:r>
              <w:rPr>
                <w:rFonts w:hint="eastAsia"/>
                <w:b/>
                <w:bCs/>
              </w:rPr>
              <w:t>总管一〔2016〕</w:t>
            </w:r>
            <w:r>
              <w:rPr>
                <w:rFonts w:hint="eastAsia"/>
                <w:b/>
                <w:bCs/>
                <w:lang w:val="en-US" w:eastAsia="zh-CN"/>
              </w:rPr>
              <w:t>49</w:t>
            </w:r>
            <w:r>
              <w:rPr>
                <w:rFonts w:hint="eastAsia"/>
                <w:b/>
                <w:bCs/>
              </w:rPr>
              <w:t>号</w:t>
            </w:r>
          </w:p>
        </w:tc>
      </w:tr>
      <w:tr w14:paraId="0CC5F3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trPr>
        <w:tc>
          <w:tcPr>
            <w:tcW w:w="480" w:type="dxa"/>
            <w:vMerge w:val="restart"/>
            <w:noWrap w:val="0"/>
            <w:vAlign w:val="center"/>
          </w:tcPr>
          <w:p w14:paraId="167F6889">
            <w:pPr>
              <w:pStyle w:val="50"/>
              <w:bidi w:val="0"/>
              <w:jc w:val="center"/>
              <w:rPr>
                <w:rFonts w:hint="eastAsia"/>
                <w:b/>
                <w:bCs/>
                <w:lang w:val="en-US" w:eastAsia="zh-CN"/>
              </w:rPr>
            </w:pPr>
            <w:r>
              <w:rPr>
                <w:rFonts w:hint="eastAsia"/>
                <w:b/>
                <w:bCs/>
                <w:lang w:val="en-US" w:eastAsia="zh-CN"/>
              </w:rPr>
              <w:t>序号</w:t>
            </w:r>
          </w:p>
        </w:tc>
        <w:tc>
          <w:tcPr>
            <w:tcW w:w="1545" w:type="dxa"/>
            <w:vMerge w:val="restart"/>
            <w:noWrap w:val="0"/>
            <w:vAlign w:val="center"/>
          </w:tcPr>
          <w:p w14:paraId="1188F773">
            <w:pPr>
              <w:pStyle w:val="50"/>
              <w:bidi w:val="0"/>
              <w:jc w:val="center"/>
              <w:rPr>
                <w:rFonts w:hint="eastAsia"/>
                <w:b/>
                <w:bCs/>
                <w:lang w:val="en-US" w:eastAsia="zh-CN"/>
              </w:rPr>
            </w:pPr>
            <w:r>
              <w:rPr>
                <w:rFonts w:hint="eastAsia"/>
                <w:b/>
                <w:bCs/>
                <w:lang w:val="en-US" w:eastAsia="zh-CN"/>
              </w:rPr>
              <w:t>评价单元</w:t>
            </w:r>
          </w:p>
        </w:tc>
        <w:tc>
          <w:tcPr>
            <w:tcW w:w="2100" w:type="dxa"/>
            <w:gridSpan w:val="3"/>
            <w:noWrap w:val="0"/>
            <w:vAlign w:val="center"/>
          </w:tcPr>
          <w:p w14:paraId="33F55278">
            <w:pPr>
              <w:pStyle w:val="50"/>
              <w:bidi w:val="0"/>
              <w:jc w:val="center"/>
              <w:rPr>
                <w:rFonts w:hint="eastAsia"/>
                <w:b/>
                <w:bCs/>
                <w:lang w:val="en-US" w:eastAsia="zh-CN"/>
              </w:rPr>
            </w:pPr>
            <w:r>
              <w:rPr>
                <w:rFonts w:hint="eastAsia"/>
                <w:b/>
                <w:bCs/>
                <w:lang w:val="en-US" w:eastAsia="zh-CN"/>
              </w:rPr>
              <w:t>检查项</w:t>
            </w:r>
          </w:p>
        </w:tc>
        <w:tc>
          <w:tcPr>
            <w:tcW w:w="1393" w:type="dxa"/>
            <w:gridSpan w:val="2"/>
            <w:noWrap w:val="0"/>
            <w:vAlign w:val="center"/>
          </w:tcPr>
          <w:p w14:paraId="76D9DE58">
            <w:pPr>
              <w:pStyle w:val="50"/>
              <w:bidi w:val="0"/>
              <w:jc w:val="center"/>
              <w:rPr>
                <w:rFonts w:hint="eastAsia"/>
                <w:b/>
                <w:bCs/>
                <w:lang w:val="en-US" w:eastAsia="zh-CN"/>
              </w:rPr>
            </w:pPr>
            <w:r>
              <w:rPr>
                <w:rFonts w:hint="eastAsia"/>
                <w:b/>
                <w:bCs/>
                <w:lang w:val="en-US" w:eastAsia="zh-CN"/>
              </w:rPr>
              <w:t>否决项</w:t>
            </w:r>
          </w:p>
        </w:tc>
        <w:tc>
          <w:tcPr>
            <w:tcW w:w="1457" w:type="dxa"/>
            <w:gridSpan w:val="2"/>
            <w:noWrap w:val="0"/>
            <w:vAlign w:val="center"/>
          </w:tcPr>
          <w:p w14:paraId="03752188">
            <w:pPr>
              <w:pStyle w:val="50"/>
              <w:bidi w:val="0"/>
              <w:jc w:val="center"/>
              <w:rPr>
                <w:rFonts w:hint="eastAsia"/>
                <w:b/>
                <w:bCs/>
                <w:lang w:val="en-US" w:eastAsia="zh-CN"/>
              </w:rPr>
            </w:pPr>
            <w:r>
              <w:rPr>
                <w:rFonts w:hint="eastAsia"/>
                <w:b/>
                <w:bCs/>
                <w:lang w:val="en-US" w:eastAsia="zh-CN"/>
              </w:rPr>
              <w:t>一般项</w:t>
            </w:r>
          </w:p>
        </w:tc>
        <w:tc>
          <w:tcPr>
            <w:tcW w:w="2565" w:type="dxa"/>
            <w:gridSpan w:val="3"/>
            <w:noWrap w:val="0"/>
            <w:vAlign w:val="center"/>
          </w:tcPr>
          <w:p w14:paraId="78542481">
            <w:pPr>
              <w:pStyle w:val="50"/>
              <w:bidi w:val="0"/>
              <w:jc w:val="center"/>
              <w:rPr>
                <w:rFonts w:hint="eastAsia"/>
                <w:b/>
                <w:bCs/>
                <w:lang w:val="en-US" w:eastAsia="zh-CN"/>
              </w:rPr>
            </w:pPr>
            <w:r>
              <w:rPr>
                <w:rFonts w:hint="eastAsia"/>
                <w:b/>
                <w:bCs/>
                <w:lang w:val="en-US" w:eastAsia="zh-CN"/>
              </w:rPr>
              <w:t>检查项</w:t>
            </w:r>
          </w:p>
        </w:tc>
      </w:tr>
      <w:tr w14:paraId="07446E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blHeader/>
        </w:trPr>
        <w:tc>
          <w:tcPr>
            <w:tcW w:w="480" w:type="dxa"/>
            <w:vMerge w:val="continue"/>
            <w:noWrap w:val="0"/>
            <w:vAlign w:val="center"/>
          </w:tcPr>
          <w:p w14:paraId="3C65798E">
            <w:pPr>
              <w:pStyle w:val="50"/>
              <w:bidi w:val="0"/>
              <w:jc w:val="center"/>
              <w:rPr>
                <w:rFonts w:hint="eastAsia"/>
                <w:b/>
                <w:bCs/>
                <w:lang w:val="en-US" w:eastAsia="zh-CN"/>
              </w:rPr>
            </w:pPr>
          </w:p>
        </w:tc>
        <w:tc>
          <w:tcPr>
            <w:tcW w:w="1545" w:type="dxa"/>
            <w:vMerge w:val="continue"/>
            <w:noWrap w:val="0"/>
            <w:vAlign w:val="center"/>
          </w:tcPr>
          <w:p w14:paraId="676931EF">
            <w:pPr>
              <w:pStyle w:val="50"/>
              <w:bidi w:val="0"/>
              <w:jc w:val="center"/>
              <w:rPr>
                <w:rFonts w:hint="eastAsia"/>
                <w:b/>
                <w:bCs/>
                <w:lang w:val="en-US" w:eastAsia="zh-CN"/>
              </w:rPr>
            </w:pPr>
          </w:p>
        </w:tc>
        <w:tc>
          <w:tcPr>
            <w:tcW w:w="690" w:type="dxa"/>
            <w:noWrap w:val="0"/>
            <w:vAlign w:val="center"/>
          </w:tcPr>
          <w:p w14:paraId="7D9A160A">
            <w:pPr>
              <w:pStyle w:val="50"/>
              <w:bidi w:val="0"/>
              <w:jc w:val="center"/>
              <w:rPr>
                <w:rFonts w:hint="default"/>
                <w:b/>
                <w:bCs/>
                <w:lang w:val="en-US" w:eastAsia="zh-CN"/>
              </w:rPr>
            </w:pPr>
            <w:r>
              <w:rPr>
                <w:rFonts w:hint="eastAsia"/>
                <w:b/>
                <w:bCs/>
                <w:lang w:val="en-US" w:eastAsia="zh-CN"/>
              </w:rPr>
              <w:t>小计</w:t>
            </w:r>
          </w:p>
        </w:tc>
        <w:tc>
          <w:tcPr>
            <w:tcW w:w="705" w:type="dxa"/>
            <w:noWrap w:val="0"/>
            <w:vAlign w:val="center"/>
          </w:tcPr>
          <w:p w14:paraId="43FB2E12">
            <w:pPr>
              <w:pStyle w:val="50"/>
              <w:bidi w:val="0"/>
              <w:jc w:val="center"/>
              <w:rPr>
                <w:rFonts w:hint="eastAsia"/>
                <w:b/>
                <w:bCs/>
                <w:lang w:val="en-US" w:eastAsia="zh-CN"/>
              </w:rPr>
            </w:pPr>
            <w:r>
              <w:rPr>
                <w:rFonts w:hint="eastAsia"/>
                <w:b/>
                <w:bCs/>
                <w:lang w:val="en-US" w:eastAsia="zh-CN"/>
              </w:rPr>
              <w:t>不涉及项</w:t>
            </w:r>
          </w:p>
        </w:tc>
        <w:tc>
          <w:tcPr>
            <w:tcW w:w="705" w:type="dxa"/>
            <w:noWrap w:val="0"/>
            <w:vAlign w:val="center"/>
          </w:tcPr>
          <w:p w14:paraId="5AD9FA60">
            <w:pPr>
              <w:pStyle w:val="50"/>
              <w:bidi w:val="0"/>
              <w:jc w:val="center"/>
              <w:rPr>
                <w:rFonts w:hint="eastAsia"/>
                <w:b/>
                <w:bCs/>
                <w:lang w:val="en-US" w:eastAsia="zh-CN"/>
              </w:rPr>
            </w:pPr>
            <w:r>
              <w:rPr>
                <w:rFonts w:hint="eastAsia"/>
                <w:b/>
                <w:bCs/>
                <w:lang w:val="en-US" w:eastAsia="zh-CN"/>
              </w:rPr>
              <w:t>有效项</w:t>
            </w:r>
          </w:p>
        </w:tc>
        <w:tc>
          <w:tcPr>
            <w:tcW w:w="660" w:type="dxa"/>
            <w:noWrap w:val="0"/>
            <w:vAlign w:val="center"/>
          </w:tcPr>
          <w:p w14:paraId="639F692C">
            <w:pPr>
              <w:pStyle w:val="50"/>
              <w:bidi w:val="0"/>
              <w:jc w:val="center"/>
              <w:rPr>
                <w:rFonts w:hint="eastAsia"/>
                <w:b/>
                <w:bCs/>
                <w:lang w:val="en-US" w:eastAsia="zh-CN"/>
              </w:rPr>
            </w:pPr>
            <w:r>
              <w:rPr>
                <w:rFonts w:hint="eastAsia"/>
                <w:b/>
                <w:bCs/>
                <w:lang w:val="en-US" w:eastAsia="zh-CN"/>
              </w:rPr>
              <w:t>符合</w:t>
            </w:r>
          </w:p>
        </w:tc>
        <w:tc>
          <w:tcPr>
            <w:tcW w:w="733" w:type="dxa"/>
            <w:noWrap w:val="0"/>
            <w:vAlign w:val="center"/>
          </w:tcPr>
          <w:p w14:paraId="276FEF57">
            <w:pPr>
              <w:pStyle w:val="50"/>
              <w:bidi w:val="0"/>
              <w:jc w:val="center"/>
              <w:rPr>
                <w:rFonts w:hint="default"/>
                <w:b/>
                <w:bCs/>
                <w:lang w:val="en-US" w:eastAsia="zh-CN"/>
              </w:rPr>
            </w:pPr>
            <w:r>
              <w:rPr>
                <w:rFonts w:hint="eastAsia"/>
                <w:b/>
                <w:bCs/>
                <w:lang w:val="en-US" w:eastAsia="zh-CN"/>
              </w:rPr>
              <w:t>不符合</w:t>
            </w:r>
          </w:p>
        </w:tc>
        <w:tc>
          <w:tcPr>
            <w:tcW w:w="707" w:type="dxa"/>
            <w:noWrap w:val="0"/>
            <w:vAlign w:val="center"/>
          </w:tcPr>
          <w:p w14:paraId="5C3C03DB">
            <w:pPr>
              <w:pStyle w:val="50"/>
              <w:bidi w:val="0"/>
              <w:jc w:val="center"/>
              <w:rPr>
                <w:rFonts w:hint="eastAsia"/>
                <w:b/>
                <w:bCs/>
                <w:lang w:val="en-US" w:eastAsia="zh-CN"/>
              </w:rPr>
            </w:pPr>
            <w:r>
              <w:rPr>
                <w:rFonts w:hint="eastAsia"/>
                <w:b/>
                <w:bCs/>
                <w:lang w:val="en-US" w:eastAsia="zh-CN"/>
              </w:rPr>
              <w:t>符合</w:t>
            </w:r>
          </w:p>
        </w:tc>
        <w:tc>
          <w:tcPr>
            <w:tcW w:w="750" w:type="dxa"/>
            <w:noWrap w:val="0"/>
            <w:vAlign w:val="center"/>
          </w:tcPr>
          <w:p w14:paraId="61ECF56B">
            <w:pPr>
              <w:pStyle w:val="50"/>
              <w:bidi w:val="0"/>
              <w:jc w:val="center"/>
              <w:rPr>
                <w:rFonts w:hint="eastAsia"/>
                <w:b/>
                <w:bCs/>
                <w:lang w:val="en-US" w:eastAsia="zh-CN"/>
              </w:rPr>
            </w:pPr>
            <w:r>
              <w:rPr>
                <w:rFonts w:hint="eastAsia"/>
                <w:b/>
                <w:bCs/>
                <w:lang w:val="en-US" w:eastAsia="zh-CN"/>
              </w:rPr>
              <w:t>不符合</w:t>
            </w:r>
          </w:p>
        </w:tc>
        <w:tc>
          <w:tcPr>
            <w:tcW w:w="855" w:type="dxa"/>
            <w:noWrap w:val="0"/>
            <w:vAlign w:val="center"/>
          </w:tcPr>
          <w:p w14:paraId="65907269">
            <w:pPr>
              <w:pStyle w:val="50"/>
              <w:bidi w:val="0"/>
              <w:jc w:val="center"/>
              <w:rPr>
                <w:rFonts w:hint="eastAsia"/>
                <w:b/>
                <w:bCs/>
                <w:lang w:val="en-US" w:eastAsia="zh-CN"/>
              </w:rPr>
            </w:pPr>
            <w:r>
              <w:rPr>
                <w:rFonts w:hint="eastAsia"/>
                <w:b/>
                <w:bCs/>
                <w:lang w:val="en-US" w:eastAsia="zh-CN"/>
              </w:rPr>
              <w:t>小计</w:t>
            </w:r>
          </w:p>
        </w:tc>
        <w:tc>
          <w:tcPr>
            <w:tcW w:w="855" w:type="dxa"/>
            <w:noWrap w:val="0"/>
            <w:vAlign w:val="center"/>
          </w:tcPr>
          <w:p w14:paraId="6D4178B5">
            <w:pPr>
              <w:pStyle w:val="50"/>
              <w:bidi w:val="0"/>
              <w:jc w:val="center"/>
              <w:rPr>
                <w:rFonts w:hint="eastAsia"/>
                <w:b/>
                <w:bCs/>
                <w:lang w:val="en-US" w:eastAsia="zh-CN"/>
              </w:rPr>
            </w:pPr>
            <w:r>
              <w:rPr>
                <w:rFonts w:hint="eastAsia"/>
                <w:b/>
                <w:bCs/>
                <w:lang w:val="en-US" w:eastAsia="zh-CN"/>
              </w:rPr>
              <w:t>符合</w:t>
            </w:r>
          </w:p>
        </w:tc>
        <w:tc>
          <w:tcPr>
            <w:tcW w:w="855" w:type="dxa"/>
            <w:noWrap w:val="0"/>
            <w:vAlign w:val="center"/>
          </w:tcPr>
          <w:p w14:paraId="33C2FA4E">
            <w:pPr>
              <w:pStyle w:val="50"/>
              <w:bidi w:val="0"/>
              <w:jc w:val="center"/>
              <w:rPr>
                <w:rFonts w:hint="eastAsia"/>
                <w:b/>
                <w:bCs/>
                <w:lang w:val="en-US" w:eastAsia="zh-CN"/>
              </w:rPr>
            </w:pPr>
            <w:r>
              <w:rPr>
                <w:rFonts w:hint="eastAsia"/>
                <w:b/>
                <w:bCs/>
                <w:lang w:val="en-US" w:eastAsia="zh-CN"/>
              </w:rPr>
              <w:t>不符</w:t>
            </w:r>
          </w:p>
          <w:p w14:paraId="6FE53151">
            <w:pPr>
              <w:pStyle w:val="50"/>
              <w:bidi w:val="0"/>
              <w:jc w:val="center"/>
              <w:rPr>
                <w:rFonts w:hint="eastAsia"/>
                <w:b/>
                <w:bCs/>
                <w:lang w:val="en-US" w:eastAsia="zh-CN"/>
              </w:rPr>
            </w:pPr>
            <w:r>
              <w:rPr>
                <w:rFonts w:hint="eastAsia"/>
                <w:b/>
                <w:bCs/>
                <w:lang w:val="en-US" w:eastAsia="zh-CN"/>
              </w:rPr>
              <w:t>合</w:t>
            </w:r>
          </w:p>
        </w:tc>
      </w:tr>
      <w:tr w14:paraId="350A5D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09D0DF28">
            <w:pPr>
              <w:pStyle w:val="50"/>
              <w:bidi w:val="0"/>
              <w:rPr>
                <w:rFonts w:hint="eastAsia"/>
                <w:lang w:val="en-US" w:eastAsia="zh-CN"/>
              </w:rPr>
            </w:pPr>
            <w:r>
              <w:rPr>
                <w:rFonts w:hint="eastAsia"/>
                <w:lang w:val="en-US" w:eastAsia="zh-CN"/>
              </w:rPr>
              <w:t>1</w:t>
            </w:r>
          </w:p>
        </w:tc>
        <w:tc>
          <w:tcPr>
            <w:tcW w:w="1545" w:type="dxa"/>
            <w:noWrap w:val="0"/>
            <w:vAlign w:val="center"/>
          </w:tcPr>
          <w:p w14:paraId="0133F8F8">
            <w:pPr>
              <w:pStyle w:val="50"/>
              <w:bidi w:val="0"/>
              <w:rPr>
                <w:rFonts w:hint="default"/>
                <w:lang w:val="en-US" w:eastAsia="zh-CN"/>
              </w:rPr>
            </w:pPr>
            <w:r>
              <w:rPr>
                <w:rFonts w:hint="eastAsia"/>
                <w:lang w:val="en-US" w:eastAsia="zh-CN"/>
              </w:rPr>
              <w:t>安全设施“三同时”程序</w:t>
            </w:r>
          </w:p>
        </w:tc>
        <w:tc>
          <w:tcPr>
            <w:tcW w:w="690" w:type="dxa"/>
            <w:noWrap w:val="0"/>
            <w:vAlign w:val="center"/>
          </w:tcPr>
          <w:p w14:paraId="2FA48FAA">
            <w:pPr>
              <w:pStyle w:val="50"/>
              <w:bidi w:val="0"/>
              <w:jc w:val="center"/>
              <w:rPr>
                <w:rFonts w:hint="eastAsia"/>
                <w:lang w:val="en-US" w:eastAsia="zh-CN"/>
              </w:rPr>
            </w:pPr>
            <w:r>
              <w:rPr>
                <w:rFonts w:hint="eastAsia"/>
                <w:lang w:val="en-US" w:eastAsia="zh-CN"/>
              </w:rPr>
              <w:t>5</w:t>
            </w:r>
          </w:p>
        </w:tc>
        <w:tc>
          <w:tcPr>
            <w:tcW w:w="705" w:type="dxa"/>
            <w:noWrap w:val="0"/>
            <w:vAlign w:val="center"/>
          </w:tcPr>
          <w:p w14:paraId="01DFA5DF">
            <w:pPr>
              <w:pStyle w:val="50"/>
              <w:bidi w:val="0"/>
              <w:jc w:val="center"/>
              <w:rPr>
                <w:rFonts w:hint="eastAsia"/>
                <w:lang w:val="en-US" w:eastAsia="zh-CN"/>
              </w:rPr>
            </w:pPr>
          </w:p>
        </w:tc>
        <w:tc>
          <w:tcPr>
            <w:tcW w:w="705" w:type="dxa"/>
            <w:noWrap w:val="0"/>
            <w:vAlign w:val="center"/>
          </w:tcPr>
          <w:p w14:paraId="39369F76">
            <w:pPr>
              <w:pStyle w:val="50"/>
              <w:bidi w:val="0"/>
              <w:jc w:val="center"/>
              <w:rPr>
                <w:rFonts w:hint="eastAsia"/>
                <w:lang w:val="en-US" w:eastAsia="zh-CN"/>
              </w:rPr>
            </w:pPr>
            <w:r>
              <w:rPr>
                <w:rFonts w:hint="eastAsia"/>
                <w:lang w:val="en-US" w:eastAsia="zh-CN"/>
              </w:rPr>
              <w:t>5</w:t>
            </w:r>
          </w:p>
        </w:tc>
        <w:tc>
          <w:tcPr>
            <w:tcW w:w="660" w:type="dxa"/>
            <w:noWrap w:val="0"/>
            <w:vAlign w:val="center"/>
          </w:tcPr>
          <w:p w14:paraId="3D7BE9D8">
            <w:pPr>
              <w:pStyle w:val="50"/>
              <w:bidi w:val="0"/>
              <w:jc w:val="center"/>
              <w:rPr>
                <w:rFonts w:hint="eastAsia"/>
                <w:lang w:val="en-US" w:eastAsia="zh-CN"/>
              </w:rPr>
            </w:pPr>
            <w:r>
              <w:rPr>
                <w:rFonts w:hint="eastAsia"/>
                <w:lang w:val="en-US" w:eastAsia="zh-CN"/>
              </w:rPr>
              <w:t>4</w:t>
            </w:r>
          </w:p>
        </w:tc>
        <w:tc>
          <w:tcPr>
            <w:tcW w:w="733" w:type="dxa"/>
            <w:noWrap w:val="0"/>
            <w:vAlign w:val="center"/>
          </w:tcPr>
          <w:p w14:paraId="49E21591">
            <w:pPr>
              <w:pStyle w:val="50"/>
              <w:bidi w:val="0"/>
              <w:jc w:val="center"/>
              <w:rPr>
                <w:rFonts w:hint="eastAsia"/>
                <w:lang w:val="en-US" w:eastAsia="zh-CN"/>
              </w:rPr>
            </w:pPr>
          </w:p>
        </w:tc>
        <w:tc>
          <w:tcPr>
            <w:tcW w:w="707" w:type="dxa"/>
            <w:noWrap w:val="0"/>
            <w:vAlign w:val="center"/>
          </w:tcPr>
          <w:p w14:paraId="6EEA6136">
            <w:pPr>
              <w:pStyle w:val="50"/>
              <w:bidi w:val="0"/>
              <w:jc w:val="center"/>
              <w:rPr>
                <w:rFonts w:hint="eastAsia"/>
                <w:lang w:val="en-US" w:eastAsia="zh-CN"/>
              </w:rPr>
            </w:pPr>
            <w:r>
              <w:rPr>
                <w:rFonts w:hint="eastAsia"/>
                <w:lang w:val="en-US" w:eastAsia="zh-CN"/>
              </w:rPr>
              <w:t>1</w:t>
            </w:r>
          </w:p>
        </w:tc>
        <w:tc>
          <w:tcPr>
            <w:tcW w:w="750" w:type="dxa"/>
            <w:noWrap w:val="0"/>
            <w:vAlign w:val="center"/>
          </w:tcPr>
          <w:p w14:paraId="4E53ADB5">
            <w:pPr>
              <w:pStyle w:val="50"/>
              <w:bidi w:val="0"/>
              <w:jc w:val="center"/>
              <w:rPr>
                <w:rFonts w:hint="eastAsia"/>
                <w:lang w:val="en-US" w:eastAsia="zh-CN"/>
              </w:rPr>
            </w:pPr>
          </w:p>
        </w:tc>
        <w:tc>
          <w:tcPr>
            <w:tcW w:w="855" w:type="dxa"/>
            <w:noWrap w:val="0"/>
            <w:vAlign w:val="center"/>
          </w:tcPr>
          <w:p w14:paraId="0AF8307A">
            <w:pPr>
              <w:pStyle w:val="50"/>
              <w:bidi w:val="0"/>
              <w:jc w:val="center"/>
              <w:rPr>
                <w:rFonts w:hint="default"/>
                <w:lang w:val="en-US" w:eastAsia="zh-CN"/>
              </w:rPr>
            </w:pPr>
            <w:r>
              <w:rPr>
                <w:rFonts w:hint="eastAsia"/>
                <w:lang w:val="en-US" w:eastAsia="zh-CN"/>
              </w:rPr>
              <w:t>2</w:t>
            </w:r>
          </w:p>
        </w:tc>
        <w:tc>
          <w:tcPr>
            <w:tcW w:w="855" w:type="dxa"/>
            <w:noWrap w:val="0"/>
            <w:vAlign w:val="center"/>
          </w:tcPr>
          <w:p w14:paraId="522D88B9">
            <w:pPr>
              <w:pStyle w:val="50"/>
              <w:bidi w:val="0"/>
              <w:jc w:val="center"/>
              <w:rPr>
                <w:rFonts w:hint="default"/>
                <w:lang w:val="en-US" w:eastAsia="zh-CN"/>
              </w:rPr>
            </w:pPr>
            <w:r>
              <w:rPr>
                <w:rFonts w:hint="eastAsia"/>
                <w:lang w:val="en-US" w:eastAsia="zh-CN"/>
              </w:rPr>
              <w:t>2</w:t>
            </w:r>
          </w:p>
        </w:tc>
        <w:tc>
          <w:tcPr>
            <w:tcW w:w="855" w:type="dxa"/>
            <w:noWrap w:val="0"/>
            <w:vAlign w:val="center"/>
          </w:tcPr>
          <w:p w14:paraId="2282C508">
            <w:pPr>
              <w:pStyle w:val="50"/>
              <w:bidi w:val="0"/>
              <w:jc w:val="center"/>
              <w:rPr>
                <w:rFonts w:hint="eastAsia"/>
                <w:lang w:val="en-US" w:eastAsia="zh-CN"/>
              </w:rPr>
            </w:pPr>
          </w:p>
        </w:tc>
      </w:tr>
      <w:tr w14:paraId="361F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6815FC36">
            <w:pPr>
              <w:pStyle w:val="50"/>
              <w:bidi w:val="0"/>
              <w:rPr>
                <w:rFonts w:hint="eastAsia"/>
                <w:lang w:val="en-US" w:eastAsia="zh-CN"/>
              </w:rPr>
            </w:pPr>
            <w:r>
              <w:rPr>
                <w:rFonts w:hint="eastAsia"/>
                <w:lang w:val="en-US" w:eastAsia="zh-CN"/>
              </w:rPr>
              <w:t>2</w:t>
            </w:r>
          </w:p>
        </w:tc>
        <w:tc>
          <w:tcPr>
            <w:tcW w:w="1545" w:type="dxa"/>
            <w:noWrap w:val="0"/>
            <w:vAlign w:val="center"/>
          </w:tcPr>
          <w:p w14:paraId="3A49FB63">
            <w:pPr>
              <w:pStyle w:val="50"/>
              <w:bidi w:val="0"/>
              <w:rPr>
                <w:rFonts w:hint="eastAsia"/>
                <w:lang w:val="en-US" w:eastAsia="zh-CN"/>
              </w:rPr>
            </w:pPr>
            <w:r>
              <w:rPr>
                <w:rFonts w:hint="eastAsia"/>
                <w:lang w:val="en-US" w:eastAsia="zh-CN"/>
              </w:rPr>
              <w:t>露天采场</w:t>
            </w:r>
          </w:p>
        </w:tc>
        <w:tc>
          <w:tcPr>
            <w:tcW w:w="690" w:type="dxa"/>
            <w:noWrap w:val="0"/>
            <w:vAlign w:val="center"/>
          </w:tcPr>
          <w:p w14:paraId="31DECC86">
            <w:pPr>
              <w:pStyle w:val="50"/>
              <w:bidi w:val="0"/>
              <w:jc w:val="center"/>
              <w:rPr>
                <w:rFonts w:hint="default"/>
                <w:lang w:val="en-US" w:eastAsia="zh-CN"/>
              </w:rPr>
            </w:pPr>
            <w:r>
              <w:rPr>
                <w:rFonts w:hint="eastAsia"/>
                <w:lang w:val="en-US" w:eastAsia="zh-CN"/>
              </w:rPr>
              <w:t>11</w:t>
            </w:r>
          </w:p>
        </w:tc>
        <w:tc>
          <w:tcPr>
            <w:tcW w:w="705" w:type="dxa"/>
            <w:noWrap w:val="0"/>
            <w:vAlign w:val="center"/>
          </w:tcPr>
          <w:p w14:paraId="3668C9AA">
            <w:pPr>
              <w:pStyle w:val="50"/>
              <w:bidi w:val="0"/>
              <w:jc w:val="center"/>
              <w:rPr>
                <w:rFonts w:hint="eastAsia"/>
                <w:lang w:val="en-US" w:eastAsia="zh-CN"/>
              </w:rPr>
            </w:pPr>
            <w:r>
              <w:rPr>
                <w:rFonts w:hint="eastAsia"/>
                <w:lang w:val="en-US" w:eastAsia="zh-CN"/>
              </w:rPr>
              <w:t>7</w:t>
            </w:r>
          </w:p>
        </w:tc>
        <w:tc>
          <w:tcPr>
            <w:tcW w:w="705" w:type="dxa"/>
            <w:noWrap w:val="0"/>
            <w:vAlign w:val="center"/>
          </w:tcPr>
          <w:p w14:paraId="45F56C1E">
            <w:pPr>
              <w:pStyle w:val="50"/>
              <w:bidi w:val="0"/>
              <w:jc w:val="center"/>
              <w:rPr>
                <w:rFonts w:hint="eastAsia"/>
                <w:lang w:val="en-US" w:eastAsia="zh-CN"/>
              </w:rPr>
            </w:pPr>
            <w:r>
              <w:rPr>
                <w:rFonts w:hint="eastAsia"/>
                <w:lang w:val="en-US" w:eastAsia="zh-CN"/>
              </w:rPr>
              <w:t>4</w:t>
            </w:r>
          </w:p>
        </w:tc>
        <w:tc>
          <w:tcPr>
            <w:tcW w:w="660" w:type="dxa"/>
            <w:noWrap w:val="0"/>
            <w:vAlign w:val="center"/>
          </w:tcPr>
          <w:p w14:paraId="27B28FBC">
            <w:pPr>
              <w:pStyle w:val="50"/>
              <w:bidi w:val="0"/>
              <w:jc w:val="center"/>
              <w:rPr>
                <w:rFonts w:hint="eastAsia"/>
                <w:lang w:val="en-US" w:eastAsia="zh-CN"/>
              </w:rPr>
            </w:pPr>
          </w:p>
        </w:tc>
        <w:tc>
          <w:tcPr>
            <w:tcW w:w="733" w:type="dxa"/>
            <w:noWrap w:val="0"/>
            <w:vAlign w:val="center"/>
          </w:tcPr>
          <w:p w14:paraId="0350DB97">
            <w:pPr>
              <w:pStyle w:val="50"/>
              <w:bidi w:val="0"/>
              <w:jc w:val="center"/>
              <w:rPr>
                <w:rFonts w:hint="eastAsia"/>
                <w:lang w:val="en-US" w:eastAsia="zh-CN"/>
              </w:rPr>
            </w:pPr>
          </w:p>
        </w:tc>
        <w:tc>
          <w:tcPr>
            <w:tcW w:w="707" w:type="dxa"/>
            <w:noWrap w:val="0"/>
            <w:vAlign w:val="center"/>
          </w:tcPr>
          <w:p w14:paraId="07BA5EC3">
            <w:pPr>
              <w:pStyle w:val="50"/>
              <w:bidi w:val="0"/>
              <w:jc w:val="center"/>
              <w:rPr>
                <w:rFonts w:hint="default"/>
                <w:lang w:val="en-US" w:eastAsia="zh-CN"/>
              </w:rPr>
            </w:pPr>
            <w:r>
              <w:rPr>
                <w:rFonts w:hint="eastAsia"/>
                <w:lang w:val="en-US" w:eastAsia="zh-CN"/>
              </w:rPr>
              <w:t>4</w:t>
            </w:r>
          </w:p>
        </w:tc>
        <w:tc>
          <w:tcPr>
            <w:tcW w:w="750" w:type="dxa"/>
            <w:noWrap w:val="0"/>
            <w:vAlign w:val="center"/>
          </w:tcPr>
          <w:p w14:paraId="37482A39">
            <w:pPr>
              <w:pStyle w:val="50"/>
              <w:bidi w:val="0"/>
              <w:jc w:val="center"/>
              <w:rPr>
                <w:rFonts w:hint="default"/>
                <w:lang w:val="en-US" w:eastAsia="zh-CN"/>
              </w:rPr>
            </w:pPr>
          </w:p>
        </w:tc>
        <w:tc>
          <w:tcPr>
            <w:tcW w:w="855" w:type="dxa"/>
            <w:noWrap w:val="0"/>
            <w:vAlign w:val="center"/>
          </w:tcPr>
          <w:p w14:paraId="722CF9C4">
            <w:pPr>
              <w:pStyle w:val="50"/>
              <w:bidi w:val="0"/>
              <w:jc w:val="center"/>
              <w:rPr>
                <w:rFonts w:hint="default"/>
                <w:lang w:val="en-US" w:eastAsia="zh-CN"/>
              </w:rPr>
            </w:pPr>
            <w:r>
              <w:rPr>
                <w:rFonts w:hint="eastAsia"/>
                <w:lang w:val="en-US" w:eastAsia="zh-CN"/>
              </w:rPr>
              <w:t>20</w:t>
            </w:r>
          </w:p>
        </w:tc>
        <w:tc>
          <w:tcPr>
            <w:tcW w:w="855" w:type="dxa"/>
            <w:noWrap w:val="0"/>
            <w:vAlign w:val="center"/>
          </w:tcPr>
          <w:p w14:paraId="7D937AF2">
            <w:pPr>
              <w:pStyle w:val="50"/>
              <w:bidi w:val="0"/>
              <w:jc w:val="center"/>
              <w:rPr>
                <w:rFonts w:hint="default"/>
                <w:lang w:val="en-US" w:eastAsia="zh-CN"/>
              </w:rPr>
            </w:pPr>
            <w:r>
              <w:rPr>
                <w:rFonts w:hint="eastAsia"/>
                <w:lang w:val="en-US" w:eastAsia="zh-CN"/>
              </w:rPr>
              <w:t>20</w:t>
            </w:r>
          </w:p>
        </w:tc>
        <w:tc>
          <w:tcPr>
            <w:tcW w:w="855" w:type="dxa"/>
            <w:noWrap w:val="0"/>
            <w:vAlign w:val="center"/>
          </w:tcPr>
          <w:p w14:paraId="2B9EF92D">
            <w:pPr>
              <w:pStyle w:val="50"/>
              <w:bidi w:val="0"/>
              <w:jc w:val="center"/>
              <w:rPr>
                <w:rFonts w:hint="eastAsia"/>
                <w:lang w:val="en-US" w:eastAsia="zh-CN"/>
              </w:rPr>
            </w:pPr>
          </w:p>
        </w:tc>
      </w:tr>
      <w:tr w14:paraId="7AD350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2B3E1C1B">
            <w:pPr>
              <w:pStyle w:val="50"/>
              <w:bidi w:val="0"/>
              <w:rPr>
                <w:rFonts w:hint="default"/>
                <w:lang w:val="en-US" w:eastAsia="zh-CN"/>
              </w:rPr>
            </w:pPr>
            <w:r>
              <w:rPr>
                <w:rFonts w:hint="eastAsia"/>
                <w:lang w:val="en-US" w:eastAsia="zh-CN"/>
              </w:rPr>
              <w:t>3</w:t>
            </w:r>
          </w:p>
        </w:tc>
        <w:tc>
          <w:tcPr>
            <w:tcW w:w="1545" w:type="dxa"/>
            <w:noWrap w:val="0"/>
            <w:vAlign w:val="center"/>
          </w:tcPr>
          <w:p w14:paraId="00175487">
            <w:pPr>
              <w:pStyle w:val="50"/>
              <w:bidi w:val="0"/>
              <w:rPr>
                <w:rFonts w:hint="eastAsia"/>
                <w:lang w:val="en-US" w:eastAsia="zh-CN"/>
              </w:rPr>
            </w:pPr>
            <w:r>
              <w:rPr>
                <w:rFonts w:hint="eastAsia"/>
                <w:lang w:val="en-US" w:eastAsia="zh-CN"/>
              </w:rPr>
              <w:t>采场防排水</w:t>
            </w:r>
          </w:p>
        </w:tc>
        <w:tc>
          <w:tcPr>
            <w:tcW w:w="690" w:type="dxa"/>
            <w:noWrap w:val="0"/>
            <w:vAlign w:val="center"/>
          </w:tcPr>
          <w:p w14:paraId="1B18013F">
            <w:pPr>
              <w:pStyle w:val="50"/>
              <w:bidi w:val="0"/>
              <w:jc w:val="center"/>
              <w:rPr>
                <w:rFonts w:hint="default"/>
                <w:lang w:val="en-US" w:eastAsia="zh-CN"/>
              </w:rPr>
            </w:pPr>
            <w:r>
              <w:rPr>
                <w:rFonts w:hint="eastAsia"/>
                <w:lang w:val="en-US" w:eastAsia="zh-CN"/>
              </w:rPr>
              <w:t>20</w:t>
            </w:r>
          </w:p>
        </w:tc>
        <w:tc>
          <w:tcPr>
            <w:tcW w:w="705" w:type="dxa"/>
            <w:noWrap w:val="0"/>
            <w:vAlign w:val="center"/>
          </w:tcPr>
          <w:p w14:paraId="12D55B0B">
            <w:pPr>
              <w:pStyle w:val="50"/>
              <w:bidi w:val="0"/>
              <w:jc w:val="center"/>
              <w:rPr>
                <w:rFonts w:hint="default"/>
                <w:lang w:val="en-US" w:eastAsia="zh-CN"/>
              </w:rPr>
            </w:pPr>
            <w:r>
              <w:rPr>
                <w:rFonts w:hint="eastAsia"/>
                <w:lang w:val="en-US" w:eastAsia="zh-CN"/>
              </w:rPr>
              <w:t>17</w:t>
            </w:r>
          </w:p>
        </w:tc>
        <w:tc>
          <w:tcPr>
            <w:tcW w:w="705" w:type="dxa"/>
            <w:noWrap w:val="0"/>
            <w:vAlign w:val="center"/>
          </w:tcPr>
          <w:p w14:paraId="386E4D56">
            <w:pPr>
              <w:pStyle w:val="50"/>
              <w:bidi w:val="0"/>
              <w:jc w:val="center"/>
              <w:rPr>
                <w:rFonts w:hint="default"/>
                <w:lang w:val="en-US" w:eastAsia="zh-CN"/>
              </w:rPr>
            </w:pPr>
            <w:r>
              <w:rPr>
                <w:rFonts w:hint="eastAsia"/>
                <w:lang w:val="en-US" w:eastAsia="zh-CN"/>
              </w:rPr>
              <w:t>3</w:t>
            </w:r>
          </w:p>
        </w:tc>
        <w:tc>
          <w:tcPr>
            <w:tcW w:w="660" w:type="dxa"/>
            <w:noWrap w:val="0"/>
            <w:vAlign w:val="center"/>
          </w:tcPr>
          <w:p w14:paraId="314F7F5E">
            <w:pPr>
              <w:pStyle w:val="50"/>
              <w:bidi w:val="0"/>
              <w:jc w:val="center"/>
              <w:rPr>
                <w:rFonts w:hint="default"/>
                <w:lang w:val="en-US" w:eastAsia="zh-CN"/>
              </w:rPr>
            </w:pPr>
            <w:r>
              <w:rPr>
                <w:rFonts w:hint="eastAsia"/>
                <w:lang w:val="en-US" w:eastAsia="zh-CN"/>
              </w:rPr>
              <w:t>1</w:t>
            </w:r>
          </w:p>
        </w:tc>
        <w:tc>
          <w:tcPr>
            <w:tcW w:w="733" w:type="dxa"/>
            <w:noWrap w:val="0"/>
            <w:vAlign w:val="center"/>
          </w:tcPr>
          <w:p w14:paraId="7C24FB12">
            <w:pPr>
              <w:pStyle w:val="50"/>
              <w:bidi w:val="0"/>
              <w:jc w:val="center"/>
              <w:rPr>
                <w:rFonts w:hint="default"/>
                <w:lang w:val="en-US" w:eastAsia="zh-CN"/>
              </w:rPr>
            </w:pPr>
          </w:p>
        </w:tc>
        <w:tc>
          <w:tcPr>
            <w:tcW w:w="707" w:type="dxa"/>
            <w:noWrap w:val="0"/>
            <w:vAlign w:val="center"/>
          </w:tcPr>
          <w:p w14:paraId="69B6513F">
            <w:pPr>
              <w:pStyle w:val="50"/>
              <w:bidi w:val="0"/>
              <w:jc w:val="center"/>
              <w:rPr>
                <w:rFonts w:hint="default"/>
                <w:lang w:val="en-US" w:eastAsia="zh-CN"/>
              </w:rPr>
            </w:pPr>
            <w:r>
              <w:rPr>
                <w:rFonts w:hint="eastAsia"/>
                <w:lang w:val="en-US" w:eastAsia="zh-CN"/>
              </w:rPr>
              <w:t>2</w:t>
            </w:r>
          </w:p>
        </w:tc>
        <w:tc>
          <w:tcPr>
            <w:tcW w:w="750" w:type="dxa"/>
            <w:noWrap w:val="0"/>
            <w:vAlign w:val="center"/>
          </w:tcPr>
          <w:p w14:paraId="362346CE">
            <w:pPr>
              <w:pStyle w:val="50"/>
              <w:bidi w:val="0"/>
              <w:jc w:val="center"/>
              <w:rPr>
                <w:rFonts w:hint="default"/>
                <w:lang w:val="en-US" w:eastAsia="zh-CN"/>
              </w:rPr>
            </w:pPr>
          </w:p>
        </w:tc>
        <w:tc>
          <w:tcPr>
            <w:tcW w:w="855" w:type="dxa"/>
            <w:noWrap w:val="0"/>
            <w:vAlign w:val="center"/>
          </w:tcPr>
          <w:p w14:paraId="38B2491C">
            <w:pPr>
              <w:pStyle w:val="50"/>
              <w:bidi w:val="0"/>
              <w:jc w:val="center"/>
              <w:rPr>
                <w:rFonts w:hint="default"/>
                <w:lang w:val="en-US" w:eastAsia="zh-CN"/>
              </w:rPr>
            </w:pPr>
          </w:p>
        </w:tc>
        <w:tc>
          <w:tcPr>
            <w:tcW w:w="855" w:type="dxa"/>
            <w:noWrap w:val="0"/>
            <w:vAlign w:val="center"/>
          </w:tcPr>
          <w:p w14:paraId="133CFE26">
            <w:pPr>
              <w:pStyle w:val="50"/>
              <w:bidi w:val="0"/>
              <w:jc w:val="center"/>
              <w:rPr>
                <w:rFonts w:hint="default"/>
                <w:lang w:val="en-US" w:eastAsia="zh-CN"/>
              </w:rPr>
            </w:pPr>
          </w:p>
        </w:tc>
        <w:tc>
          <w:tcPr>
            <w:tcW w:w="855" w:type="dxa"/>
            <w:noWrap w:val="0"/>
            <w:vAlign w:val="center"/>
          </w:tcPr>
          <w:p w14:paraId="5092434F">
            <w:pPr>
              <w:pStyle w:val="50"/>
              <w:bidi w:val="0"/>
              <w:jc w:val="center"/>
              <w:rPr>
                <w:rFonts w:hint="eastAsia"/>
                <w:lang w:val="en-US" w:eastAsia="zh-CN"/>
              </w:rPr>
            </w:pPr>
          </w:p>
        </w:tc>
      </w:tr>
      <w:tr w14:paraId="220BAD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05C7FBA9">
            <w:pPr>
              <w:pStyle w:val="50"/>
              <w:bidi w:val="0"/>
              <w:rPr>
                <w:rFonts w:hint="eastAsia"/>
                <w:lang w:val="en-US" w:eastAsia="zh-CN"/>
              </w:rPr>
            </w:pPr>
            <w:r>
              <w:rPr>
                <w:rFonts w:hint="eastAsia"/>
                <w:lang w:val="en-US" w:eastAsia="zh-CN"/>
              </w:rPr>
              <w:t>4</w:t>
            </w:r>
          </w:p>
        </w:tc>
        <w:tc>
          <w:tcPr>
            <w:tcW w:w="1545" w:type="dxa"/>
            <w:noWrap w:val="0"/>
            <w:vAlign w:val="center"/>
          </w:tcPr>
          <w:p w14:paraId="79E90918">
            <w:pPr>
              <w:pStyle w:val="50"/>
              <w:bidi w:val="0"/>
              <w:rPr>
                <w:rFonts w:hint="default"/>
                <w:lang w:val="en-US" w:eastAsia="zh-CN"/>
              </w:rPr>
            </w:pPr>
            <w:r>
              <w:rPr>
                <w:rFonts w:hint="eastAsia"/>
                <w:lang w:val="en-US" w:eastAsia="zh-CN"/>
              </w:rPr>
              <w:t>矿岩运输系统</w:t>
            </w:r>
          </w:p>
        </w:tc>
        <w:tc>
          <w:tcPr>
            <w:tcW w:w="690" w:type="dxa"/>
            <w:noWrap w:val="0"/>
            <w:vAlign w:val="center"/>
          </w:tcPr>
          <w:p w14:paraId="6919D987">
            <w:pPr>
              <w:pStyle w:val="50"/>
              <w:bidi w:val="0"/>
              <w:jc w:val="center"/>
              <w:rPr>
                <w:rFonts w:hint="default"/>
                <w:lang w:val="en-US" w:eastAsia="zh-CN"/>
              </w:rPr>
            </w:pPr>
            <w:r>
              <w:rPr>
                <w:rFonts w:hint="eastAsia"/>
                <w:lang w:val="en-US" w:eastAsia="zh-CN"/>
              </w:rPr>
              <w:t>39</w:t>
            </w:r>
          </w:p>
        </w:tc>
        <w:tc>
          <w:tcPr>
            <w:tcW w:w="705" w:type="dxa"/>
            <w:noWrap w:val="0"/>
            <w:vAlign w:val="center"/>
          </w:tcPr>
          <w:p w14:paraId="1984636B">
            <w:pPr>
              <w:pStyle w:val="50"/>
              <w:bidi w:val="0"/>
              <w:jc w:val="center"/>
              <w:rPr>
                <w:rFonts w:hint="default"/>
                <w:lang w:val="en-US" w:eastAsia="zh-CN"/>
              </w:rPr>
            </w:pPr>
            <w:r>
              <w:rPr>
                <w:rFonts w:hint="eastAsia"/>
                <w:lang w:val="en-US" w:eastAsia="zh-CN"/>
              </w:rPr>
              <w:t>32</w:t>
            </w:r>
          </w:p>
        </w:tc>
        <w:tc>
          <w:tcPr>
            <w:tcW w:w="705" w:type="dxa"/>
            <w:noWrap w:val="0"/>
            <w:vAlign w:val="center"/>
          </w:tcPr>
          <w:p w14:paraId="59267E31">
            <w:pPr>
              <w:pStyle w:val="50"/>
              <w:bidi w:val="0"/>
              <w:jc w:val="center"/>
              <w:rPr>
                <w:rFonts w:hint="default"/>
                <w:lang w:val="en-US" w:eastAsia="zh-CN"/>
              </w:rPr>
            </w:pPr>
            <w:r>
              <w:rPr>
                <w:rFonts w:hint="eastAsia"/>
                <w:lang w:val="en-US" w:eastAsia="zh-CN"/>
              </w:rPr>
              <w:t>7</w:t>
            </w:r>
          </w:p>
        </w:tc>
        <w:tc>
          <w:tcPr>
            <w:tcW w:w="660" w:type="dxa"/>
            <w:noWrap w:val="0"/>
            <w:vAlign w:val="center"/>
          </w:tcPr>
          <w:p w14:paraId="00C3783A">
            <w:pPr>
              <w:pStyle w:val="50"/>
              <w:bidi w:val="0"/>
              <w:jc w:val="center"/>
              <w:rPr>
                <w:rFonts w:hint="eastAsia"/>
                <w:lang w:val="en-US" w:eastAsia="zh-CN"/>
              </w:rPr>
            </w:pPr>
          </w:p>
        </w:tc>
        <w:tc>
          <w:tcPr>
            <w:tcW w:w="733" w:type="dxa"/>
            <w:noWrap w:val="0"/>
            <w:vAlign w:val="center"/>
          </w:tcPr>
          <w:p w14:paraId="4792F899">
            <w:pPr>
              <w:pStyle w:val="50"/>
              <w:bidi w:val="0"/>
              <w:jc w:val="center"/>
              <w:rPr>
                <w:rFonts w:hint="eastAsia"/>
                <w:lang w:val="en-US" w:eastAsia="zh-CN"/>
              </w:rPr>
            </w:pPr>
          </w:p>
        </w:tc>
        <w:tc>
          <w:tcPr>
            <w:tcW w:w="707" w:type="dxa"/>
            <w:noWrap w:val="0"/>
            <w:vAlign w:val="center"/>
          </w:tcPr>
          <w:p w14:paraId="44F59E0B">
            <w:pPr>
              <w:pStyle w:val="50"/>
              <w:bidi w:val="0"/>
              <w:jc w:val="center"/>
              <w:rPr>
                <w:rFonts w:hint="eastAsia"/>
                <w:lang w:val="en-US" w:eastAsia="zh-CN"/>
              </w:rPr>
            </w:pPr>
            <w:r>
              <w:rPr>
                <w:rFonts w:hint="eastAsia"/>
                <w:lang w:val="en-US" w:eastAsia="zh-CN"/>
              </w:rPr>
              <w:t>7</w:t>
            </w:r>
          </w:p>
        </w:tc>
        <w:tc>
          <w:tcPr>
            <w:tcW w:w="750" w:type="dxa"/>
            <w:noWrap w:val="0"/>
            <w:vAlign w:val="center"/>
          </w:tcPr>
          <w:p w14:paraId="7AF0A2FA">
            <w:pPr>
              <w:pStyle w:val="50"/>
              <w:bidi w:val="0"/>
              <w:jc w:val="center"/>
              <w:rPr>
                <w:rFonts w:hint="eastAsia"/>
                <w:lang w:val="en-US" w:eastAsia="zh-CN"/>
              </w:rPr>
            </w:pPr>
          </w:p>
        </w:tc>
        <w:tc>
          <w:tcPr>
            <w:tcW w:w="855" w:type="dxa"/>
            <w:noWrap w:val="0"/>
            <w:vAlign w:val="center"/>
          </w:tcPr>
          <w:p w14:paraId="09808916">
            <w:pPr>
              <w:pStyle w:val="50"/>
              <w:bidi w:val="0"/>
              <w:jc w:val="center"/>
              <w:rPr>
                <w:rFonts w:hint="default"/>
                <w:lang w:val="en-US" w:eastAsia="zh-CN"/>
              </w:rPr>
            </w:pPr>
          </w:p>
        </w:tc>
        <w:tc>
          <w:tcPr>
            <w:tcW w:w="855" w:type="dxa"/>
            <w:noWrap w:val="0"/>
            <w:vAlign w:val="center"/>
          </w:tcPr>
          <w:p w14:paraId="5D61BCD6">
            <w:pPr>
              <w:pStyle w:val="50"/>
              <w:bidi w:val="0"/>
              <w:jc w:val="center"/>
              <w:rPr>
                <w:rFonts w:hint="default"/>
                <w:lang w:val="en-US" w:eastAsia="zh-CN"/>
              </w:rPr>
            </w:pPr>
          </w:p>
        </w:tc>
        <w:tc>
          <w:tcPr>
            <w:tcW w:w="855" w:type="dxa"/>
            <w:noWrap w:val="0"/>
            <w:vAlign w:val="center"/>
          </w:tcPr>
          <w:p w14:paraId="03D3EDCA">
            <w:pPr>
              <w:pStyle w:val="50"/>
              <w:bidi w:val="0"/>
              <w:jc w:val="center"/>
              <w:rPr>
                <w:rFonts w:hint="eastAsia"/>
                <w:lang w:val="en-US" w:eastAsia="zh-CN"/>
              </w:rPr>
            </w:pPr>
          </w:p>
        </w:tc>
      </w:tr>
      <w:tr w14:paraId="399B79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0B533D04">
            <w:pPr>
              <w:pStyle w:val="50"/>
              <w:bidi w:val="0"/>
              <w:rPr>
                <w:rFonts w:hint="default"/>
                <w:lang w:val="en-US" w:eastAsia="zh-CN"/>
              </w:rPr>
            </w:pPr>
            <w:r>
              <w:rPr>
                <w:rFonts w:hint="eastAsia"/>
                <w:lang w:val="en-US" w:eastAsia="zh-CN"/>
              </w:rPr>
              <w:t>5</w:t>
            </w:r>
          </w:p>
        </w:tc>
        <w:tc>
          <w:tcPr>
            <w:tcW w:w="1545" w:type="dxa"/>
            <w:shd w:val="clear" w:color="auto" w:fill="auto"/>
            <w:noWrap w:val="0"/>
            <w:vAlign w:val="center"/>
          </w:tcPr>
          <w:p w14:paraId="1BA35040">
            <w:pPr>
              <w:pStyle w:val="50"/>
              <w:bidi w:val="0"/>
              <w:rPr>
                <w:rFonts w:hint="eastAsia"/>
                <w:lang w:val="en-US" w:eastAsia="zh-CN"/>
              </w:rPr>
            </w:pPr>
            <w:r>
              <w:t xml:space="preserve">供配电 </w:t>
            </w:r>
          </w:p>
        </w:tc>
        <w:tc>
          <w:tcPr>
            <w:tcW w:w="690" w:type="dxa"/>
            <w:shd w:val="clear" w:color="auto" w:fill="auto"/>
            <w:noWrap w:val="0"/>
            <w:vAlign w:val="center"/>
          </w:tcPr>
          <w:p w14:paraId="67455452">
            <w:pPr>
              <w:pStyle w:val="50"/>
              <w:bidi w:val="0"/>
              <w:jc w:val="center"/>
              <w:rPr>
                <w:rFonts w:hint="eastAsia"/>
                <w:lang w:val="en-US" w:eastAsia="zh-CN"/>
              </w:rPr>
            </w:pPr>
            <w:r>
              <w:rPr>
                <w:rFonts w:hint="eastAsia"/>
                <w:lang w:val="en-US" w:eastAsia="zh-CN"/>
              </w:rPr>
              <w:t>22</w:t>
            </w:r>
          </w:p>
        </w:tc>
        <w:tc>
          <w:tcPr>
            <w:tcW w:w="705" w:type="dxa"/>
            <w:shd w:val="clear" w:color="auto" w:fill="auto"/>
            <w:noWrap w:val="0"/>
            <w:vAlign w:val="center"/>
          </w:tcPr>
          <w:p w14:paraId="1B50FEA3">
            <w:pPr>
              <w:pStyle w:val="50"/>
              <w:bidi w:val="0"/>
              <w:jc w:val="center"/>
              <w:rPr>
                <w:rFonts w:hint="eastAsia"/>
                <w:lang w:val="en-US" w:eastAsia="zh-CN"/>
              </w:rPr>
            </w:pPr>
            <w:r>
              <w:rPr>
                <w:rFonts w:hint="eastAsia"/>
                <w:lang w:val="en-US" w:eastAsia="zh-CN"/>
              </w:rPr>
              <w:t>6</w:t>
            </w:r>
          </w:p>
        </w:tc>
        <w:tc>
          <w:tcPr>
            <w:tcW w:w="705" w:type="dxa"/>
            <w:shd w:val="clear" w:color="auto" w:fill="auto"/>
            <w:noWrap w:val="0"/>
            <w:vAlign w:val="center"/>
          </w:tcPr>
          <w:p w14:paraId="1AFA7FB9">
            <w:pPr>
              <w:pStyle w:val="50"/>
              <w:bidi w:val="0"/>
              <w:jc w:val="center"/>
              <w:rPr>
                <w:rFonts w:hint="default"/>
                <w:lang w:val="en-US" w:eastAsia="zh-CN"/>
              </w:rPr>
            </w:pPr>
            <w:r>
              <w:rPr>
                <w:rFonts w:hint="eastAsia"/>
                <w:lang w:val="en-US" w:eastAsia="zh-CN"/>
              </w:rPr>
              <w:t>16</w:t>
            </w:r>
          </w:p>
        </w:tc>
        <w:tc>
          <w:tcPr>
            <w:tcW w:w="660" w:type="dxa"/>
            <w:shd w:val="clear" w:color="auto" w:fill="auto"/>
            <w:noWrap w:val="0"/>
            <w:vAlign w:val="center"/>
          </w:tcPr>
          <w:p w14:paraId="60277209">
            <w:pPr>
              <w:pStyle w:val="50"/>
              <w:bidi w:val="0"/>
              <w:jc w:val="center"/>
              <w:rPr>
                <w:rFonts w:hint="eastAsia"/>
                <w:lang w:val="en-US" w:eastAsia="zh-CN"/>
              </w:rPr>
            </w:pPr>
            <w:r>
              <w:rPr>
                <w:rFonts w:hint="eastAsia"/>
                <w:lang w:val="en-US" w:eastAsia="zh-CN"/>
              </w:rPr>
              <w:t>1</w:t>
            </w:r>
          </w:p>
        </w:tc>
        <w:tc>
          <w:tcPr>
            <w:tcW w:w="733" w:type="dxa"/>
            <w:shd w:val="clear" w:color="auto" w:fill="auto"/>
            <w:noWrap w:val="0"/>
            <w:vAlign w:val="center"/>
          </w:tcPr>
          <w:p w14:paraId="4E22C74A">
            <w:pPr>
              <w:pStyle w:val="50"/>
              <w:bidi w:val="0"/>
              <w:jc w:val="center"/>
              <w:rPr>
                <w:rFonts w:hint="eastAsia"/>
                <w:lang w:val="en-US" w:eastAsia="zh-CN"/>
              </w:rPr>
            </w:pPr>
          </w:p>
        </w:tc>
        <w:tc>
          <w:tcPr>
            <w:tcW w:w="707" w:type="dxa"/>
            <w:shd w:val="clear" w:color="auto" w:fill="auto"/>
            <w:noWrap w:val="0"/>
            <w:vAlign w:val="center"/>
          </w:tcPr>
          <w:p w14:paraId="78B867C5">
            <w:pPr>
              <w:pStyle w:val="50"/>
              <w:bidi w:val="0"/>
              <w:jc w:val="center"/>
              <w:rPr>
                <w:rFonts w:hint="default"/>
                <w:lang w:val="en-US" w:eastAsia="zh-CN"/>
              </w:rPr>
            </w:pPr>
            <w:r>
              <w:rPr>
                <w:rFonts w:hint="eastAsia"/>
                <w:lang w:val="en-US" w:eastAsia="zh-CN"/>
              </w:rPr>
              <w:t>15</w:t>
            </w:r>
          </w:p>
        </w:tc>
        <w:tc>
          <w:tcPr>
            <w:tcW w:w="750" w:type="dxa"/>
            <w:shd w:val="clear" w:color="auto" w:fill="auto"/>
            <w:noWrap w:val="0"/>
            <w:vAlign w:val="center"/>
          </w:tcPr>
          <w:p w14:paraId="10CC438E">
            <w:pPr>
              <w:pStyle w:val="50"/>
              <w:bidi w:val="0"/>
              <w:jc w:val="center"/>
              <w:rPr>
                <w:rFonts w:hint="eastAsia"/>
                <w:lang w:val="en-US" w:eastAsia="zh-CN"/>
              </w:rPr>
            </w:pPr>
          </w:p>
        </w:tc>
        <w:tc>
          <w:tcPr>
            <w:tcW w:w="855" w:type="dxa"/>
            <w:shd w:val="clear" w:color="auto" w:fill="auto"/>
            <w:noWrap w:val="0"/>
            <w:vAlign w:val="center"/>
          </w:tcPr>
          <w:p w14:paraId="51D71443">
            <w:pPr>
              <w:pStyle w:val="50"/>
              <w:bidi w:val="0"/>
              <w:jc w:val="center"/>
              <w:rPr>
                <w:rFonts w:hint="eastAsia"/>
                <w:lang w:val="en-US" w:eastAsia="zh-CN"/>
              </w:rPr>
            </w:pPr>
          </w:p>
        </w:tc>
        <w:tc>
          <w:tcPr>
            <w:tcW w:w="855" w:type="dxa"/>
            <w:shd w:val="clear" w:color="auto" w:fill="auto"/>
            <w:noWrap w:val="0"/>
            <w:vAlign w:val="center"/>
          </w:tcPr>
          <w:p w14:paraId="31B626E4">
            <w:pPr>
              <w:pStyle w:val="50"/>
              <w:bidi w:val="0"/>
              <w:jc w:val="center"/>
              <w:rPr>
                <w:rFonts w:hint="eastAsia"/>
                <w:lang w:val="en-US" w:eastAsia="zh-CN"/>
              </w:rPr>
            </w:pPr>
          </w:p>
        </w:tc>
        <w:tc>
          <w:tcPr>
            <w:tcW w:w="855" w:type="dxa"/>
            <w:noWrap w:val="0"/>
            <w:vAlign w:val="center"/>
          </w:tcPr>
          <w:p w14:paraId="40A59C2F">
            <w:pPr>
              <w:pStyle w:val="50"/>
              <w:bidi w:val="0"/>
              <w:jc w:val="center"/>
              <w:rPr>
                <w:rFonts w:hint="eastAsia"/>
                <w:lang w:val="en-US" w:eastAsia="zh-CN"/>
              </w:rPr>
            </w:pPr>
          </w:p>
        </w:tc>
      </w:tr>
      <w:tr w14:paraId="3C47CA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0CC23964">
            <w:pPr>
              <w:pStyle w:val="50"/>
              <w:bidi w:val="0"/>
              <w:rPr>
                <w:rFonts w:hint="default"/>
                <w:lang w:val="en-US" w:eastAsia="zh-CN"/>
              </w:rPr>
            </w:pPr>
            <w:r>
              <w:rPr>
                <w:rFonts w:hint="eastAsia"/>
                <w:lang w:val="en-US" w:eastAsia="zh-CN"/>
              </w:rPr>
              <w:t>6</w:t>
            </w:r>
          </w:p>
        </w:tc>
        <w:tc>
          <w:tcPr>
            <w:tcW w:w="1545" w:type="dxa"/>
            <w:noWrap w:val="0"/>
            <w:vAlign w:val="center"/>
          </w:tcPr>
          <w:p w14:paraId="598BAFD5">
            <w:pPr>
              <w:pStyle w:val="50"/>
              <w:bidi w:val="0"/>
              <w:rPr>
                <w:rFonts w:hint="eastAsia"/>
                <w:lang w:val="en-US" w:eastAsia="zh-CN"/>
              </w:rPr>
            </w:pPr>
            <w:r>
              <w:rPr>
                <w:rFonts w:hint="eastAsia"/>
                <w:lang w:val="en-US" w:eastAsia="zh-CN"/>
              </w:rPr>
              <w:t>总平面布置</w:t>
            </w:r>
          </w:p>
        </w:tc>
        <w:tc>
          <w:tcPr>
            <w:tcW w:w="690" w:type="dxa"/>
            <w:noWrap w:val="0"/>
            <w:vAlign w:val="center"/>
          </w:tcPr>
          <w:p w14:paraId="2BE271EA">
            <w:pPr>
              <w:pStyle w:val="50"/>
              <w:bidi w:val="0"/>
              <w:jc w:val="center"/>
              <w:rPr>
                <w:rFonts w:hint="default"/>
                <w:lang w:val="en-US" w:eastAsia="zh-CN"/>
              </w:rPr>
            </w:pPr>
          </w:p>
        </w:tc>
        <w:tc>
          <w:tcPr>
            <w:tcW w:w="705" w:type="dxa"/>
            <w:noWrap w:val="0"/>
            <w:vAlign w:val="center"/>
          </w:tcPr>
          <w:p w14:paraId="4F46619C">
            <w:pPr>
              <w:pStyle w:val="50"/>
              <w:bidi w:val="0"/>
              <w:jc w:val="center"/>
              <w:rPr>
                <w:rFonts w:hint="default"/>
                <w:lang w:val="en-US" w:eastAsia="zh-CN"/>
              </w:rPr>
            </w:pPr>
          </w:p>
        </w:tc>
        <w:tc>
          <w:tcPr>
            <w:tcW w:w="705" w:type="dxa"/>
            <w:noWrap w:val="0"/>
            <w:vAlign w:val="center"/>
          </w:tcPr>
          <w:p w14:paraId="013E3DF0">
            <w:pPr>
              <w:pStyle w:val="50"/>
              <w:bidi w:val="0"/>
              <w:jc w:val="center"/>
              <w:rPr>
                <w:rFonts w:hint="default"/>
                <w:lang w:val="en-US" w:eastAsia="zh-CN"/>
              </w:rPr>
            </w:pPr>
          </w:p>
        </w:tc>
        <w:tc>
          <w:tcPr>
            <w:tcW w:w="660" w:type="dxa"/>
            <w:noWrap w:val="0"/>
            <w:vAlign w:val="center"/>
          </w:tcPr>
          <w:p w14:paraId="7569DA21">
            <w:pPr>
              <w:pStyle w:val="50"/>
              <w:bidi w:val="0"/>
              <w:jc w:val="center"/>
              <w:rPr>
                <w:rFonts w:hint="default"/>
                <w:lang w:val="en-US" w:eastAsia="zh-CN"/>
              </w:rPr>
            </w:pPr>
          </w:p>
        </w:tc>
        <w:tc>
          <w:tcPr>
            <w:tcW w:w="733" w:type="dxa"/>
            <w:noWrap w:val="0"/>
            <w:vAlign w:val="center"/>
          </w:tcPr>
          <w:p w14:paraId="23ECBC95">
            <w:pPr>
              <w:pStyle w:val="50"/>
              <w:bidi w:val="0"/>
              <w:jc w:val="center"/>
              <w:rPr>
                <w:rFonts w:hint="default"/>
                <w:lang w:val="en-US" w:eastAsia="zh-CN"/>
              </w:rPr>
            </w:pPr>
          </w:p>
        </w:tc>
        <w:tc>
          <w:tcPr>
            <w:tcW w:w="707" w:type="dxa"/>
            <w:noWrap w:val="0"/>
            <w:vAlign w:val="center"/>
          </w:tcPr>
          <w:p w14:paraId="669E05FD">
            <w:pPr>
              <w:pStyle w:val="50"/>
              <w:bidi w:val="0"/>
              <w:jc w:val="center"/>
              <w:rPr>
                <w:rFonts w:hint="default"/>
                <w:lang w:val="en-US" w:eastAsia="zh-CN"/>
              </w:rPr>
            </w:pPr>
          </w:p>
        </w:tc>
        <w:tc>
          <w:tcPr>
            <w:tcW w:w="750" w:type="dxa"/>
            <w:noWrap w:val="0"/>
            <w:vAlign w:val="center"/>
          </w:tcPr>
          <w:p w14:paraId="10940CE0">
            <w:pPr>
              <w:pStyle w:val="50"/>
              <w:bidi w:val="0"/>
              <w:jc w:val="center"/>
              <w:rPr>
                <w:rFonts w:hint="default"/>
                <w:lang w:val="en-US" w:eastAsia="zh-CN"/>
              </w:rPr>
            </w:pPr>
          </w:p>
        </w:tc>
        <w:tc>
          <w:tcPr>
            <w:tcW w:w="855" w:type="dxa"/>
            <w:noWrap w:val="0"/>
            <w:vAlign w:val="center"/>
          </w:tcPr>
          <w:p w14:paraId="0C5B5411">
            <w:pPr>
              <w:pStyle w:val="50"/>
              <w:bidi w:val="0"/>
              <w:jc w:val="center"/>
              <w:rPr>
                <w:rFonts w:hint="default"/>
                <w:lang w:val="en-US" w:eastAsia="zh-CN"/>
              </w:rPr>
            </w:pPr>
            <w:r>
              <w:rPr>
                <w:rFonts w:hint="eastAsia"/>
                <w:lang w:val="en-US" w:eastAsia="zh-CN"/>
              </w:rPr>
              <w:t>22</w:t>
            </w:r>
          </w:p>
        </w:tc>
        <w:tc>
          <w:tcPr>
            <w:tcW w:w="855" w:type="dxa"/>
            <w:noWrap w:val="0"/>
            <w:vAlign w:val="center"/>
          </w:tcPr>
          <w:p w14:paraId="6D84409C">
            <w:pPr>
              <w:pStyle w:val="50"/>
              <w:bidi w:val="0"/>
              <w:jc w:val="center"/>
              <w:rPr>
                <w:rFonts w:hint="default"/>
                <w:lang w:val="en-US" w:eastAsia="zh-CN"/>
              </w:rPr>
            </w:pPr>
            <w:r>
              <w:rPr>
                <w:rFonts w:hint="eastAsia"/>
                <w:lang w:val="en-US" w:eastAsia="zh-CN"/>
              </w:rPr>
              <w:t>21</w:t>
            </w:r>
          </w:p>
        </w:tc>
        <w:tc>
          <w:tcPr>
            <w:tcW w:w="855" w:type="dxa"/>
            <w:noWrap w:val="0"/>
            <w:vAlign w:val="center"/>
          </w:tcPr>
          <w:p w14:paraId="1DF87029">
            <w:pPr>
              <w:pStyle w:val="50"/>
              <w:bidi w:val="0"/>
              <w:jc w:val="center"/>
              <w:rPr>
                <w:rFonts w:hint="default"/>
                <w:lang w:val="en-US" w:eastAsia="zh-CN"/>
              </w:rPr>
            </w:pPr>
            <w:r>
              <w:rPr>
                <w:rFonts w:hint="eastAsia"/>
                <w:lang w:val="en-US" w:eastAsia="zh-CN"/>
              </w:rPr>
              <w:t>1</w:t>
            </w:r>
          </w:p>
        </w:tc>
      </w:tr>
      <w:tr w14:paraId="73BDC2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6C35B014">
            <w:pPr>
              <w:pStyle w:val="50"/>
              <w:bidi w:val="0"/>
              <w:rPr>
                <w:rFonts w:hint="default"/>
                <w:lang w:val="en-US" w:eastAsia="zh-CN"/>
              </w:rPr>
            </w:pPr>
            <w:r>
              <w:rPr>
                <w:rFonts w:hint="eastAsia"/>
                <w:lang w:val="en-US" w:eastAsia="zh-CN"/>
              </w:rPr>
              <w:t>7</w:t>
            </w:r>
          </w:p>
        </w:tc>
        <w:tc>
          <w:tcPr>
            <w:tcW w:w="1545" w:type="dxa"/>
            <w:shd w:val="clear" w:color="auto" w:fill="auto"/>
            <w:noWrap w:val="0"/>
            <w:vAlign w:val="center"/>
          </w:tcPr>
          <w:p w14:paraId="43A69C90">
            <w:pPr>
              <w:pStyle w:val="50"/>
              <w:bidi w:val="0"/>
              <w:rPr>
                <w:rFonts w:hint="eastAsia"/>
                <w:lang w:val="en-US" w:eastAsia="zh-CN"/>
              </w:rPr>
            </w:pPr>
            <w:r>
              <w:rPr>
                <w:rFonts w:hint="eastAsia"/>
              </w:rPr>
              <w:t>通信系统</w:t>
            </w:r>
            <w:r>
              <w:t xml:space="preserve"> </w:t>
            </w:r>
          </w:p>
        </w:tc>
        <w:tc>
          <w:tcPr>
            <w:tcW w:w="690" w:type="dxa"/>
            <w:shd w:val="clear" w:color="auto" w:fill="auto"/>
            <w:noWrap w:val="0"/>
            <w:vAlign w:val="center"/>
          </w:tcPr>
          <w:p w14:paraId="1BF7943F">
            <w:pPr>
              <w:pStyle w:val="50"/>
              <w:bidi w:val="0"/>
              <w:jc w:val="center"/>
              <w:rPr>
                <w:rFonts w:hint="eastAsia"/>
                <w:lang w:val="en-US" w:eastAsia="zh-CN"/>
              </w:rPr>
            </w:pPr>
            <w:r>
              <w:rPr>
                <w:rFonts w:hint="eastAsia"/>
                <w:lang w:val="en-US" w:eastAsia="zh-CN"/>
              </w:rPr>
              <w:t>3</w:t>
            </w:r>
          </w:p>
        </w:tc>
        <w:tc>
          <w:tcPr>
            <w:tcW w:w="705" w:type="dxa"/>
            <w:shd w:val="clear" w:color="auto" w:fill="auto"/>
            <w:noWrap w:val="0"/>
            <w:vAlign w:val="center"/>
          </w:tcPr>
          <w:p w14:paraId="7A7A9000">
            <w:pPr>
              <w:pStyle w:val="50"/>
              <w:bidi w:val="0"/>
              <w:jc w:val="center"/>
              <w:rPr>
                <w:rFonts w:hint="eastAsia"/>
                <w:lang w:val="en-US" w:eastAsia="zh-CN"/>
              </w:rPr>
            </w:pPr>
          </w:p>
        </w:tc>
        <w:tc>
          <w:tcPr>
            <w:tcW w:w="705" w:type="dxa"/>
            <w:shd w:val="clear" w:color="auto" w:fill="auto"/>
            <w:noWrap w:val="0"/>
            <w:vAlign w:val="center"/>
          </w:tcPr>
          <w:p w14:paraId="081DF636">
            <w:pPr>
              <w:pStyle w:val="50"/>
              <w:bidi w:val="0"/>
              <w:jc w:val="center"/>
              <w:rPr>
                <w:rFonts w:hint="default"/>
                <w:lang w:val="en-US" w:eastAsia="zh-CN"/>
              </w:rPr>
            </w:pPr>
            <w:r>
              <w:rPr>
                <w:rFonts w:hint="eastAsia"/>
                <w:lang w:val="en-US" w:eastAsia="zh-CN"/>
              </w:rPr>
              <w:t>3</w:t>
            </w:r>
          </w:p>
        </w:tc>
        <w:tc>
          <w:tcPr>
            <w:tcW w:w="660" w:type="dxa"/>
            <w:shd w:val="clear" w:color="auto" w:fill="auto"/>
            <w:noWrap w:val="0"/>
            <w:vAlign w:val="center"/>
          </w:tcPr>
          <w:p w14:paraId="0D3B8A6B">
            <w:pPr>
              <w:pStyle w:val="50"/>
              <w:bidi w:val="0"/>
              <w:jc w:val="center"/>
              <w:rPr>
                <w:rFonts w:hint="default"/>
                <w:lang w:val="en-US" w:eastAsia="zh-CN"/>
              </w:rPr>
            </w:pPr>
          </w:p>
        </w:tc>
        <w:tc>
          <w:tcPr>
            <w:tcW w:w="733" w:type="dxa"/>
            <w:shd w:val="clear" w:color="auto" w:fill="auto"/>
            <w:noWrap w:val="0"/>
            <w:vAlign w:val="center"/>
          </w:tcPr>
          <w:p w14:paraId="48666B71">
            <w:pPr>
              <w:pStyle w:val="50"/>
              <w:bidi w:val="0"/>
              <w:jc w:val="center"/>
              <w:rPr>
                <w:rFonts w:hint="eastAsia"/>
                <w:lang w:val="en-US" w:eastAsia="zh-CN"/>
              </w:rPr>
            </w:pPr>
          </w:p>
        </w:tc>
        <w:tc>
          <w:tcPr>
            <w:tcW w:w="707" w:type="dxa"/>
            <w:shd w:val="clear" w:color="auto" w:fill="auto"/>
            <w:noWrap w:val="0"/>
            <w:vAlign w:val="center"/>
          </w:tcPr>
          <w:p w14:paraId="6AA809F2">
            <w:pPr>
              <w:pStyle w:val="50"/>
              <w:bidi w:val="0"/>
              <w:jc w:val="center"/>
              <w:rPr>
                <w:rFonts w:hint="eastAsia"/>
                <w:lang w:val="en-US" w:eastAsia="zh-CN"/>
              </w:rPr>
            </w:pPr>
            <w:r>
              <w:rPr>
                <w:rFonts w:hint="eastAsia"/>
                <w:lang w:val="en-US" w:eastAsia="zh-CN"/>
              </w:rPr>
              <w:t>2</w:t>
            </w:r>
          </w:p>
        </w:tc>
        <w:tc>
          <w:tcPr>
            <w:tcW w:w="750" w:type="dxa"/>
            <w:noWrap w:val="0"/>
            <w:vAlign w:val="center"/>
          </w:tcPr>
          <w:p w14:paraId="355A89B2">
            <w:pPr>
              <w:pStyle w:val="50"/>
              <w:bidi w:val="0"/>
              <w:jc w:val="center"/>
              <w:rPr>
                <w:rFonts w:hint="default"/>
                <w:lang w:val="en-US" w:eastAsia="zh-CN"/>
              </w:rPr>
            </w:pPr>
            <w:r>
              <w:rPr>
                <w:rFonts w:hint="eastAsia"/>
                <w:lang w:val="en-US" w:eastAsia="zh-CN"/>
              </w:rPr>
              <w:t>1</w:t>
            </w:r>
          </w:p>
        </w:tc>
        <w:tc>
          <w:tcPr>
            <w:tcW w:w="855" w:type="dxa"/>
            <w:noWrap w:val="0"/>
            <w:vAlign w:val="center"/>
          </w:tcPr>
          <w:p w14:paraId="1D471596">
            <w:pPr>
              <w:pStyle w:val="50"/>
              <w:bidi w:val="0"/>
              <w:jc w:val="center"/>
              <w:rPr>
                <w:rFonts w:hint="eastAsia"/>
                <w:lang w:val="en-US" w:eastAsia="zh-CN"/>
              </w:rPr>
            </w:pPr>
          </w:p>
        </w:tc>
        <w:tc>
          <w:tcPr>
            <w:tcW w:w="855" w:type="dxa"/>
            <w:noWrap w:val="0"/>
            <w:vAlign w:val="center"/>
          </w:tcPr>
          <w:p w14:paraId="358E4145">
            <w:pPr>
              <w:pStyle w:val="50"/>
              <w:bidi w:val="0"/>
              <w:jc w:val="center"/>
              <w:rPr>
                <w:rFonts w:hint="eastAsia"/>
                <w:lang w:val="en-US" w:eastAsia="zh-CN"/>
              </w:rPr>
            </w:pPr>
          </w:p>
        </w:tc>
        <w:tc>
          <w:tcPr>
            <w:tcW w:w="855" w:type="dxa"/>
            <w:noWrap w:val="0"/>
            <w:vAlign w:val="center"/>
          </w:tcPr>
          <w:p w14:paraId="15ABE240">
            <w:pPr>
              <w:pStyle w:val="50"/>
              <w:bidi w:val="0"/>
              <w:jc w:val="center"/>
              <w:rPr>
                <w:rFonts w:hint="eastAsia"/>
                <w:lang w:val="en-US" w:eastAsia="zh-CN"/>
              </w:rPr>
            </w:pPr>
          </w:p>
        </w:tc>
      </w:tr>
      <w:tr w14:paraId="28B05B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5F0CD254">
            <w:pPr>
              <w:pStyle w:val="50"/>
              <w:bidi w:val="0"/>
              <w:rPr>
                <w:rFonts w:hint="default"/>
                <w:lang w:val="en-US" w:eastAsia="zh-CN"/>
              </w:rPr>
            </w:pPr>
            <w:r>
              <w:rPr>
                <w:rFonts w:hint="eastAsia"/>
                <w:lang w:val="en-US" w:eastAsia="zh-CN"/>
              </w:rPr>
              <w:t>8</w:t>
            </w:r>
          </w:p>
        </w:tc>
        <w:tc>
          <w:tcPr>
            <w:tcW w:w="1545" w:type="dxa"/>
            <w:noWrap w:val="0"/>
            <w:vAlign w:val="center"/>
          </w:tcPr>
          <w:p w14:paraId="06BA4DB5">
            <w:pPr>
              <w:pStyle w:val="50"/>
              <w:bidi w:val="0"/>
              <w:rPr>
                <w:rFonts w:hint="default"/>
                <w:lang w:val="en-US" w:eastAsia="zh-CN"/>
              </w:rPr>
            </w:pPr>
            <w:r>
              <w:rPr>
                <w:rFonts w:hint="eastAsia"/>
                <w:lang w:val="en-US" w:eastAsia="zh-CN"/>
              </w:rPr>
              <w:t>排土场</w:t>
            </w:r>
          </w:p>
        </w:tc>
        <w:tc>
          <w:tcPr>
            <w:tcW w:w="690" w:type="dxa"/>
            <w:noWrap w:val="0"/>
            <w:vAlign w:val="center"/>
          </w:tcPr>
          <w:p w14:paraId="4ED11DFD">
            <w:pPr>
              <w:pStyle w:val="50"/>
              <w:bidi w:val="0"/>
              <w:jc w:val="center"/>
              <w:rPr>
                <w:rFonts w:hint="default"/>
                <w:lang w:val="en-US" w:eastAsia="zh-CN"/>
              </w:rPr>
            </w:pPr>
            <w:r>
              <w:rPr>
                <w:rFonts w:hint="eastAsia"/>
                <w:lang w:val="en-US" w:eastAsia="zh-CN"/>
              </w:rPr>
              <w:t>12</w:t>
            </w:r>
          </w:p>
        </w:tc>
        <w:tc>
          <w:tcPr>
            <w:tcW w:w="705" w:type="dxa"/>
            <w:noWrap w:val="0"/>
            <w:vAlign w:val="center"/>
          </w:tcPr>
          <w:p w14:paraId="5F8DDCE1">
            <w:pPr>
              <w:pStyle w:val="50"/>
              <w:bidi w:val="0"/>
              <w:jc w:val="center"/>
              <w:rPr>
                <w:rFonts w:hint="default"/>
                <w:lang w:val="en-US" w:eastAsia="zh-CN"/>
              </w:rPr>
            </w:pPr>
            <w:r>
              <w:rPr>
                <w:rFonts w:hint="eastAsia"/>
                <w:lang w:val="en-US" w:eastAsia="zh-CN"/>
              </w:rPr>
              <w:t>12</w:t>
            </w:r>
          </w:p>
        </w:tc>
        <w:tc>
          <w:tcPr>
            <w:tcW w:w="705" w:type="dxa"/>
            <w:noWrap w:val="0"/>
            <w:vAlign w:val="center"/>
          </w:tcPr>
          <w:p w14:paraId="3AC5F6ED">
            <w:pPr>
              <w:pStyle w:val="50"/>
              <w:bidi w:val="0"/>
              <w:jc w:val="center"/>
              <w:rPr>
                <w:rFonts w:hint="default"/>
                <w:lang w:val="en-US" w:eastAsia="zh-CN"/>
              </w:rPr>
            </w:pPr>
          </w:p>
        </w:tc>
        <w:tc>
          <w:tcPr>
            <w:tcW w:w="660" w:type="dxa"/>
            <w:noWrap w:val="0"/>
            <w:vAlign w:val="center"/>
          </w:tcPr>
          <w:p w14:paraId="071A8032">
            <w:pPr>
              <w:pStyle w:val="50"/>
              <w:bidi w:val="0"/>
              <w:jc w:val="center"/>
              <w:rPr>
                <w:rFonts w:hint="default"/>
                <w:lang w:val="en-US" w:eastAsia="zh-CN"/>
              </w:rPr>
            </w:pPr>
          </w:p>
        </w:tc>
        <w:tc>
          <w:tcPr>
            <w:tcW w:w="733" w:type="dxa"/>
            <w:noWrap w:val="0"/>
            <w:vAlign w:val="center"/>
          </w:tcPr>
          <w:p w14:paraId="21F8A564">
            <w:pPr>
              <w:pStyle w:val="50"/>
              <w:bidi w:val="0"/>
              <w:jc w:val="center"/>
              <w:rPr>
                <w:rFonts w:hint="eastAsia"/>
                <w:lang w:val="en-US" w:eastAsia="zh-CN"/>
              </w:rPr>
            </w:pPr>
          </w:p>
        </w:tc>
        <w:tc>
          <w:tcPr>
            <w:tcW w:w="707" w:type="dxa"/>
            <w:noWrap w:val="0"/>
            <w:vAlign w:val="center"/>
          </w:tcPr>
          <w:p w14:paraId="0036A5F7">
            <w:pPr>
              <w:pStyle w:val="50"/>
              <w:bidi w:val="0"/>
              <w:jc w:val="center"/>
              <w:rPr>
                <w:rFonts w:hint="eastAsia"/>
                <w:lang w:val="en-US" w:eastAsia="zh-CN"/>
              </w:rPr>
            </w:pPr>
          </w:p>
        </w:tc>
        <w:tc>
          <w:tcPr>
            <w:tcW w:w="750" w:type="dxa"/>
            <w:noWrap w:val="0"/>
            <w:vAlign w:val="center"/>
          </w:tcPr>
          <w:p w14:paraId="1442E08A">
            <w:pPr>
              <w:pStyle w:val="50"/>
              <w:bidi w:val="0"/>
              <w:jc w:val="center"/>
              <w:rPr>
                <w:rFonts w:hint="eastAsia"/>
                <w:lang w:val="en-US" w:eastAsia="zh-CN"/>
              </w:rPr>
            </w:pPr>
          </w:p>
        </w:tc>
        <w:tc>
          <w:tcPr>
            <w:tcW w:w="855" w:type="dxa"/>
            <w:noWrap w:val="0"/>
            <w:vAlign w:val="center"/>
          </w:tcPr>
          <w:p w14:paraId="02E9462F">
            <w:pPr>
              <w:pStyle w:val="50"/>
              <w:bidi w:val="0"/>
              <w:jc w:val="center"/>
              <w:rPr>
                <w:rFonts w:hint="eastAsia"/>
                <w:lang w:val="en-US" w:eastAsia="zh-CN"/>
              </w:rPr>
            </w:pPr>
          </w:p>
        </w:tc>
        <w:tc>
          <w:tcPr>
            <w:tcW w:w="855" w:type="dxa"/>
            <w:noWrap w:val="0"/>
            <w:vAlign w:val="center"/>
          </w:tcPr>
          <w:p w14:paraId="21B1546C">
            <w:pPr>
              <w:pStyle w:val="50"/>
              <w:bidi w:val="0"/>
              <w:jc w:val="center"/>
              <w:rPr>
                <w:rFonts w:hint="eastAsia"/>
                <w:lang w:val="en-US" w:eastAsia="zh-CN"/>
              </w:rPr>
            </w:pPr>
          </w:p>
        </w:tc>
        <w:tc>
          <w:tcPr>
            <w:tcW w:w="855" w:type="dxa"/>
            <w:noWrap w:val="0"/>
            <w:vAlign w:val="center"/>
          </w:tcPr>
          <w:p w14:paraId="5722BAC3">
            <w:pPr>
              <w:pStyle w:val="50"/>
              <w:bidi w:val="0"/>
              <w:jc w:val="center"/>
              <w:rPr>
                <w:rFonts w:hint="eastAsia"/>
                <w:lang w:val="en-US" w:eastAsia="zh-CN"/>
              </w:rPr>
            </w:pPr>
          </w:p>
        </w:tc>
      </w:tr>
      <w:tr w14:paraId="6FA93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34CF3EA8">
            <w:pPr>
              <w:pStyle w:val="50"/>
              <w:bidi w:val="0"/>
              <w:rPr>
                <w:rFonts w:hint="default"/>
                <w:lang w:val="en-US" w:eastAsia="zh-CN"/>
              </w:rPr>
            </w:pPr>
            <w:r>
              <w:rPr>
                <w:rFonts w:hint="eastAsia"/>
                <w:lang w:val="en-US" w:eastAsia="zh-CN"/>
              </w:rPr>
              <w:t>9</w:t>
            </w:r>
          </w:p>
        </w:tc>
        <w:tc>
          <w:tcPr>
            <w:tcW w:w="1545" w:type="dxa"/>
            <w:noWrap w:val="0"/>
            <w:vAlign w:val="center"/>
          </w:tcPr>
          <w:p w14:paraId="48E6EE38">
            <w:pPr>
              <w:pStyle w:val="50"/>
              <w:bidi w:val="0"/>
              <w:rPr>
                <w:rFonts w:hint="eastAsia"/>
                <w:lang w:val="en-US" w:eastAsia="zh-CN"/>
              </w:rPr>
            </w:pPr>
            <w:r>
              <w:rPr>
                <w:rFonts w:hint="eastAsia"/>
                <w:lang w:val="en-US" w:eastAsia="zh-CN"/>
              </w:rPr>
              <w:t>破碎站</w:t>
            </w:r>
          </w:p>
        </w:tc>
        <w:tc>
          <w:tcPr>
            <w:tcW w:w="690" w:type="dxa"/>
            <w:noWrap w:val="0"/>
            <w:vAlign w:val="center"/>
          </w:tcPr>
          <w:p w14:paraId="60E26A19">
            <w:pPr>
              <w:pStyle w:val="50"/>
              <w:bidi w:val="0"/>
              <w:jc w:val="center"/>
              <w:rPr>
                <w:rFonts w:hint="eastAsia"/>
                <w:lang w:val="en-US" w:eastAsia="zh-CN"/>
              </w:rPr>
            </w:pPr>
          </w:p>
        </w:tc>
        <w:tc>
          <w:tcPr>
            <w:tcW w:w="705" w:type="dxa"/>
            <w:noWrap w:val="0"/>
            <w:vAlign w:val="center"/>
          </w:tcPr>
          <w:p w14:paraId="68D1D111">
            <w:pPr>
              <w:pStyle w:val="50"/>
              <w:bidi w:val="0"/>
              <w:jc w:val="center"/>
              <w:rPr>
                <w:rFonts w:hint="eastAsia"/>
                <w:lang w:val="en-US" w:eastAsia="zh-CN"/>
              </w:rPr>
            </w:pPr>
          </w:p>
        </w:tc>
        <w:tc>
          <w:tcPr>
            <w:tcW w:w="705" w:type="dxa"/>
            <w:noWrap w:val="0"/>
            <w:vAlign w:val="center"/>
          </w:tcPr>
          <w:p w14:paraId="19EE2D37">
            <w:pPr>
              <w:pStyle w:val="50"/>
              <w:bidi w:val="0"/>
              <w:jc w:val="center"/>
              <w:rPr>
                <w:rFonts w:hint="eastAsia"/>
                <w:lang w:val="en-US" w:eastAsia="zh-CN"/>
              </w:rPr>
            </w:pPr>
          </w:p>
        </w:tc>
        <w:tc>
          <w:tcPr>
            <w:tcW w:w="660" w:type="dxa"/>
            <w:noWrap w:val="0"/>
            <w:vAlign w:val="center"/>
          </w:tcPr>
          <w:p w14:paraId="48E18097">
            <w:pPr>
              <w:pStyle w:val="50"/>
              <w:bidi w:val="0"/>
              <w:jc w:val="center"/>
              <w:rPr>
                <w:rFonts w:hint="eastAsia"/>
                <w:lang w:val="en-US" w:eastAsia="zh-CN"/>
              </w:rPr>
            </w:pPr>
          </w:p>
        </w:tc>
        <w:tc>
          <w:tcPr>
            <w:tcW w:w="733" w:type="dxa"/>
            <w:noWrap w:val="0"/>
            <w:vAlign w:val="center"/>
          </w:tcPr>
          <w:p w14:paraId="0C56AE3D">
            <w:pPr>
              <w:pStyle w:val="50"/>
              <w:bidi w:val="0"/>
              <w:jc w:val="center"/>
              <w:rPr>
                <w:rFonts w:hint="eastAsia"/>
                <w:lang w:val="en-US" w:eastAsia="zh-CN"/>
              </w:rPr>
            </w:pPr>
          </w:p>
        </w:tc>
        <w:tc>
          <w:tcPr>
            <w:tcW w:w="707" w:type="dxa"/>
            <w:noWrap w:val="0"/>
            <w:vAlign w:val="center"/>
          </w:tcPr>
          <w:p w14:paraId="29221834">
            <w:pPr>
              <w:pStyle w:val="50"/>
              <w:bidi w:val="0"/>
              <w:jc w:val="center"/>
              <w:rPr>
                <w:rFonts w:hint="eastAsia"/>
                <w:lang w:val="en-US" w:eastAsia="zh-CN"/>
              </w:rPr>
            </w:pPr>
          </w:p>
        </w:tc>
        <w:tc>
          <w:tcPr>
            <w:tcW w:w="750" w:type="dxa"/>
            <w:noWrap w:val="0"/>
            <w:vAlign w:val="center"/>
          </w:tcPr>
          <w:p w14:paraId="32162EF2">
            <w:pPr>
              <w:pStyle w:val="50"/>
              <w:bidi w:val="0"/>
              <w:jc w:val="center"/>
              <w:rPr>
                <w:rFonts w:hint="default"/>
                <w:lang w:val="en-US" w:eastAsia="zh-CN"/>
              </w:rPr>
            </w:pPr>
          </w:p>
        </w:tc>
        <w:tc>
          <w:tcPr>
            <w:tcW w:w="855" w:type="dxa"/>
            <w:noWrap w:val="0"/>
            <w:vAlign w:val="center"/>
          </w:tcPr>
          <w:p w14:paraId="00432735">
            <w:pPr>
              <w:pStyle w:val="50"/>
              <w:bidi w:val="0"/>
              <w:jc w:val="center"/>
              <w:rPr>
                <w:rFonts w:hint="eastAsia"/>
                <w:lang w:val="en-US" w:eastAsia="zh-CN"/>
              </w:rPr>
            </w:pPr>
            <w:r>
              <w:rPr>
                <w:rFonts w:hint="eastAsia"/>
                <w:lang w:val="en-US" w:eastAsia="zh-CN"/>
              </w:rPr>
              <w:t>4</w:t>
            </w:r>
          </w:p>
        </w:tc>
        <w:tc>
          <w:tcPr>
            <w:tcW w:w="855" w:type="dxa"/>
            <w:noWrap w:val="0"/>
            <w:vAlign w:val="center"/>
          </w:tcPr>
          <w:p w14:paraId="27CF5075">
            <w:pPr>
              <w:pStyle w:val="50"/>
              <w:bidi w:val="0"/>
              <w:jc w:val="center"/>
              <w:rPr>
                <w:rFonts w:hint="eastAsia"/>
                <w:lang w:val="en-US" w:eastAsia="zh-CN"/>
              </w:rPr>
            </w:pPr>
            <w:r>
              <w:rPr>
                <w:rFonts w:hint="eastAsia"/>
                <w:lang w:val="en-US" w:eastAsia="zh-CN"/>
              </w:rPr>
              <w:t>4</w:t>
            </w:r>
          </w:p>
        </w:tc>
        <w:tc>
          <w:tcPr>
            <w:tcW w:w="855" w:type="dxa"/>
            <w:noWrap w:val="0"/>
            <w:vAlign w:val="center"/>
          </w:tcPr>
          <w:p w14:paraId="426F67CD">
            <w:pPr>
              <w:pStyle w:val="50"/>
              <w:bidi w:val="0"/>
              <w:jc w:val="center"/>
              <w:rPr>
                <w:rFonts w:hint="eastAsia"/>
                <w:lang w:val="en-US" w:eastAsia="zh-CN"/>
              </w:rPr>
            </w:pPr>
          </w:p>
        </w:tc>
      </w:tr>
      <w:tr w14:paraId="7E9936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415E0A92">
            <w:pPr>
              <w:pStyle w:val="50"/>
              <w:bidi w:val="0"/>
              <w:rPr>
                <w:rFonts w:hint="default"/>
                <w:lang w:val="en-US" w:eastAsia="zh-CN"/>
              </w:rPr>
            </w:pPr>
            <w:r>
              <w:rPr>
                <w:rFonts w:hint="eastAsia"/>
                <w:lang w:val="en-US" w:eastAsia="zh-CN"/>
              </w:rPr>
              <w:t>10</w:t>
            </w:r>
          </w:p>
        </w:tc>
        <w:tc>
          <w:tcPr>
            <w:tcW w:w="1545" w:type="dxa"/>
            <w:noWrap w:val="0"/>
            <w:vAlign w:val="center"/>
          </w:tcPr>
          <w:p w14:paraId="02A2693F">
            <w:pPr>
              <w:pStyle w:val="50"/>
              <w:bidi w:val="0"/>
              <w:rPr>
                <w:rFonts w:hint="eastAsia"/>
                <w:lang w:val="en-US" w:eastAsia="zh-CN"/>
              </w:rPr>
            </w:pPr>
            <w:r>
              <w:rPr>
                <w:rFonts w:hint="eastAsia"/>
                <w:lang w:val="en-US" w:eastAsia="zh-CN"/>
              </w:rPr>
              <w:t>个人安全防护与防尘</w:t>
            </w:r>
          </w:p>
        </w:tc>
        <w:tc>
          <w:tcPr>
            <w:tcW w:w="690" w:type="dxa"/>
            <w:noWrap w:val="0"/>
            <w:vAlign w:val="center"/>
          </w:tcPr>
          <w:p w14:paraId="15B48127">
            <w:pPr>
              <w:pStyle w:val="50"/>
              <w:bidi w:val="0"/>
              <w:jc w:val="center"/>
              <w:rPr>
                <w:rFonts w:hint="default"/>
                <w:lang w:val="en-US" w:eastAsia="zh-CN"/>
              </w:rPr>
            </w:pPr>
            <w:r>
              <w:rPr>
                <w:rFonts w:hint="eastAsia"/>
                <w:lang w:val="en-US" w:eastAsia="zh-CN"/>
              </w:rPr>
              <w:t>4</w:t>
            </w:r>
          </w:p>
        </w:tc>
        <w:tc>
          <w:tcPr>
            <w:tcW w:w="705" w:type="dxa"/>
            <w:noWrap w:val="0"/>
            <w:vAlign w:val="center"/>
          </w:tcPr>
          <w:p w14:paraId="7DD309E7">
            <w:pPr>
              <w:pStyle w:val="50"/>
              <w:bidi w:val="0"/>
              <w:jc w:val="center"/>
              <w:rPr>
                <w:rFonts w:hint="default"/>
                <w:lang w:val="en-US" w:eastAsia="zh-CN"/>
              </w:rPr>
            </w:pPr>
          </w:p>
        </w:tc>
        <w:tc>
          <w:tcPr>
            <w:tcW w:w="705" w:type="dxa"/>
            <w:noWrap w:val="0"/>
            <w:vAlign w:val="center"/>
          </w:tcPr>
          <w:p w14:paraId="3DD900D6">
            <w:pPr>
              <w:pStyle w:val="50"/>
              <w:bidi w:val="0"/>
              <w:jc w:val="center"/>
              <w:rPr>
                <w:rFonts w:hint="default"/>
                <w:lang w:val="en-US" w:eastAsia="zh-CN"/>
              </w:rPr>
            </w:pPr>
            <w:r>
              <w:rPr>
                <w:rFonts w:hint="eastAsia"/>
                <w:lang w:val="en-US" w:eastAsia="zh-CN"/>
              </w:rPr>
              <w:t>4</w:t>
            </w:r>
          </w:p>
        </w:tc>
        <w:tc>
          <w:tcPr>
            <w:tcW w:w="660" w:type="dxa"/>
            <w:noWrap w:val="0"/>
            <w:vAlign w:val="center"/>
          </w:tcPr>
          <w:p w14:paraId="0CF3169E">
            <w:pPr>
              <w:pStyle w:val="50"/>
              <w:bidi w:val="0"/>
              <w:jc w:val="center"/>
              <w:rPr>
                <w:rFonts w:hint="default"/>
                <w:lang w:val="en-US" w:eastAsia="zh-CN"/>
              </w:rPr>
            </w:pPr>
          </w:p>
        </w:tc>
        <w:tc>
          <w:tcPr>
            <w:tcW w:w="733" w:type="dxa"/>
            <w:noWrap w:val="0"/>
            <w:vAlign w:val="center"/>
          </w:tcPr>
          <w:p w14:paraId="09484B15">
            <w:pPr>
              <w:pStyle w:val="50"/>
              <w:bidi w:val="0"/>
              <w:jc w:val="center"/>
              <w:rPr>
                <w:rFonts w:hint="default"/>
                <w:lang w:val="en-US" w:eastAsia="zh-CN"/>
              </w:rPr>
            </w:pPr>
          </w:p>
        </w:tc>
        <w:tc>
          <w:tcPr>
            <w:tcW w:w="707" w:type="dxa"/>
            <w:noWrap w:val="0"/>
            <w:vAlign w:val="center"/>
          </w:tcPr>
          <w:p w14:paraId="1212DB0F">
            <w:pPr>
              <w:pStyle w:val="50"/>
              <w:bidi w:val="0"/>
              <w:jc w:val="center"/>
              <w:rPr>
                <w:rFonts w:hint="default"/>
                <w:lang w:val="en-US" w:eastAsia="zh-CN"/>
              </w:rPr>
            </w:pPr>
            <w:r>
              <w:rPr>
                <w:rFonts w:hint="eastAsia"/>
                <w:lang w:val="en-US" w:eastAsia="zh-CN"/>
              </w:rPr>
              <w:t>4</w:t>
            </w:r>
          </w:p>
        </w:tc>
        <w:tc>
          <w:tcPr>
            <w:tcW w:w="750" w:type="dxa"/>
            <w:noWrap w:val="0"/>
            <w:vAlign w:val="center"/>
          </w:tcPr>
          <w:p w14:paraId="38897C03">
            <w:pPr>
              <w:pStyle w:val="50"/>
              <w:bidi w:val="0"/>
              <w:jc w:val="center"/>
              <w:rPr>
                <w:rFonts w:hint="default"/>
                <w:lang w:val="en-US" w:eastAsia="zh-CN"/>
              </w:rPr>
            </w:pPr>
          </w:p>
        </w:tc>
        <w:tc>
          <w:tcPr>
            <w:tcW w:w="855" w:type="dxa"/>
            <w:noWrap w:val="0"/>
            <w:vAlign w:val="center"/>
          </w:tcPr>
          <w:p w14:paraId="49F7038C">
            <w:pPr>
              <w:pStyle w:val="50"/>
              <w:bidi w:val="0"/>
              <w:jc w:val="center"/>
              <w:rPr>
                <w:rFonts w:hint="eastAsia"/>
                <w:lang w:val="en-US" w:eastAsia="zh-CN"/>
              </w:rPr>
            </w:pPr>
            <w:r>
              <w:rPr>
                <w:rFonts w:hint="eastAsia"/>
                <w:lang w:val="en-US" w:eastAsia="zh-CN"/>
              </w:rPr>
              <w:t>3</w:t>
            </w:r>
          </w:p>
        </w:tc>
        <w:tc>
          <w:tcPr>
            <w:tcW w:w="855" w:type="dxa"/>
            <w:noWrap w:val="0"/>
            <w:vAlign w:val="center"/>
          </w:tcPr>
          <w:p w14:paraId="615FA16B">
            <w:pPr>
              <w:pStyle w:val="50"/>
              <w:bidi w:val="0"/>
              <w:jc w:val="center"/>
              <w:rPr>
                <w:rFonts w:hint="eastAsia"/>
                <w:lang w:val="en-US" w:eastAsia="zh-CN"/>
              </w:rPr>
            </w:pPr>
            <w:r>
              <w:rPr>
                <w:rFonts w:hint="eastAsia"/>
                <w:lang w:val="en-US" w:eastAsia="zh-CN"/>
              </w:rPr>
              <w:t>2</w:t>
            </w:r>
          </w:p>
        </w:tc>
        <w:tc>
          <w:tcPr>
            <w:tcW w:w="855" w:type="dxa"/>
            <w:noWrap w:val="0"/>
            <w:vAlign w:val="center"/>
          </w:tcPr>
          <w:p w14:paraId="6369BA86">
            <w:pPr>
              <w:pStyle w:val="50"/>
              <w:bidi w:val="0"/>
              <w:jc w:val="center"/>
              <w:rPr>
                <w:rFonts w:hint="default"/>
                <w:lang w:val="en-US" w:eastAsia="zh-CN"/>
              </w:rPr>
            </w:pPr>
            <w:r>
              <w:rPr>
                <w:rFonts w:hint="eastAsia"/>
                <w:lang w:val="en-US" w:eastAsia="zh-CN"/>
              </w:rPr>
              <w:t>1</w:t>
            </w:r>
          </w:p>
        </w:tc>
      </w:tr>
      <w:tr w14:paraId="2EC6A3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409E65E3">
            <w:pPr>
              <w:pStyle w:val="50"/>
              <w:bidi w:val="0"/>
              <w:rPr>
                <w:rFonts w:hint="default"/>
                <w:lang w:val="en-US" w:eastAsia="zh-CN"/>
              </w:rPr>
            </w:pPr>
            <w:r>
              <w:rPr>
                <w:rFonts w:hint="eastAsia"/>
                <w:lang w:val="en-US" w:eastAsia="zh-CN"/>
              </w:rPr>
              <w:t>11</w:t>
            </w:r>
          </w:p>
        </w:tc>
        <w:tc>
          <w:tcPr>
            <w:tcW w:w="1545" w:type="dxa"/>
            <w:noWrap w:val="0"/>
            <w:vAlign w:val="center"/>
          </w:tcPr>
          <w:p w14:paraId="7EF99AC7">
            <w:pPr>
              <w:pStyle w:val="50"/>
              <w:bidi w:val="0"/>
              <w:rPr>
                <w:rFonts w:hint="default"/>
                <w:lang w:val="en-US" w:eastAsia="zh-CN"/>
              </w:rPr>
            </w:pPr>
            <w:r>
              <w:rPr>
                <w:rFonts w:hint="eastAsia"/>
                <w:lang w:val="en-US" w:eastAsia="zh-CN"/>
              </w:rPr>
              <w:t>安全标志与安全围栏</w:t>
            </w:r>
          </w:p>
        </w:tc>
        <w:tc>
          <w:tcPr>
            <w:tcW w:w="690" w:type="dxa"/>
            <w:noWrap w:val="0"/>
            <w:vAlign w:val="center"/>
          </w:tcPr>
          <w:p w14:paraId="2A0AD807">
            <w:pPr>
              <w:pStyle w:val="50"/>
              <w:bidi w:val="0"/>
              <w:jc w:val="center"/>
              <w:rPr>
                <w:rFonts w:hint="eastAsia"/>
                <w:lang w:val="en-US" w:eastAsia="zh-CN"/>
              </w:rPr>
            </w:pPr>
          </w:p>
        </w:tc>
        <w:tc>
          <w:tcPr>
            <w:tcW w:w="705" w:type="dxa"/>
            <w:noWrap w:val="0"/>
            <w:vAlign w:val="center"/>
          </w:tcPr>
          <w:p w14:paraId="3D7A2532">
            <w:pPr>
              <w:pStyle w:val="50"/>
              <w:bidi w:val="0"/>
              <w:jc w:val="center"/>
              <w:rPr>
                <w:rFonts w:hint="eastAsia"/>
                <w:lang w:val="en-US" w:eastAsia="zh-CN"/>
              </w:rPr>
            </w:pPr>
          </w:p>
        </w:tc>
        <w:tc>
          <w:tcPr>
            <w:tcW w:w="705" w:type="dxa"/>
            <w:noWrap w:val="0"/>
            <w:vAlign w:val="center"/>
          </w:tcPr>
          <w:p w14:paraId="0CF4BD0A">
            <w:pPr>
              <w:pStyle w:val="50"/>
              <w:bidi w:val="0"/>
              <w:jc w:val="center"/>
              <w:rPr>
                <w:rFonts w:hint="eastAsia"/>
                <w:lang w:val="en-US" w:eastAsia="zh-CN"/>
              </w:rPr>
            </w:pPr>
          </w:p>
        </w:tc>
        <w:tc>
          <w:tcPr>
            <w:tcW w:w="660" w:type="dxa"/>
            <w:noWrap w:val="0"/>
            <w:vAlign w:val="center"/>
          </w:tcPr>
          <w:p w14:paraId="0FEDC7FA">
            <w:pPr>
              <w:pStyle w:val="50"/>
              <w:bidi w:val="0"/>
              <w:jc w:val="center"/>
              <w:rPr>
                <w:rFonts w:hint="eastAsia"/>
                <w:lang w:val="en-US" w:eastAsia="zh-CN"/>
              </w:rPr>
            </w:pPr>
          </w:p>
        </w:tc>
        <w:tc>
          <w:tcPr>
            <w:tcW w:w="733" w:type="dxa"/>
            <w:noWrap w:val="0"/>
            <w:vAlign w:val="center"/>
          </w:tcPr>
          <w:p w14:paraId="2EEF3F18">
            <w:pPr>
              <w:pStyle w:val="50"/>
              <w:bidi w:val="0"/>
              <w:jc w:val="center"/>
              <w:rPr>
                <w:rFonts w:hint="default"/>
                <w:lang w:val="en-US" w:eastAsia="zh-CN"/>
              </w:rPr>
            </w:pPr>
          </w:p>
        </w:tc>
        <w:tc>
          <w:tcPr>
            <w:tcW w:w="707" w:type="dxa"/>
            <w:noWrap w:val="0"/>
            <w:vAlign w:val="center"/>
          </w:tcPr>
          <w:p w14:paraId="51D5E3A4">
            <w:pPr>
              <w:pStyle w:val="50"/>
              <w:bidi w:val="0"/>
              <w:jc w:val="center"/>
              <w:rPr>
                <w:rFonts w:hint="eastAsia"/>
                <w:lang w:val="en-US" w:eastAsia="zh-CN"/>
              </w:rPr>
            </w:pPr>
          </w:p>
        </w:tc>
        <w:tc>
          <w:tcPr>
            <w:tcW w:w="750" w:type="dxa"/>
            <w:noWrap w:val="0"/>
            <w:vAlign w:val="center"/>
          </w:tcPr>
          <w:p w14:paraId="1F51B12C">
            <w:pPr>
              <w:pStyle w:val="50"/>
              <w:bidi w:val="0"/>
              <w:jc w:val="center"/>
              <w:rPr>
                <w:rFonts w:hint="default"/>
                <w:lang w:val="en-US" w:eastAsia="zh-CN"/>
              </w:rPr>
            </w:pPr>
          </w:p>
        </w:tc>
        <w:tc>
          <w:tcPr>
            <w:tcW w:w="855" w:type="dxa"/>
            <w:noWrap w:val="0"/>
            <w:vAlign w:val="center"/>
          </w:tcPr>
          <w:p w14:paraId="1E731C86">
            <w:pPr>
              <w:pStyle w:val="50"/>
              <w:bidi w:val="0"/>
              <w:jc w:val="center"/>
              <w:rPr>
                <w:rFonts w:hint="eastAsia"/>
                <w:lang w:val="en-US" w:eastAsia="zh-CN"/>
              </w:rPr>
            </w:pPr>
            <w:r>
              <w:rPr>
                <w:rFonts w:hint="eastAsia"/>
                <w:lang w:val="en-US" w:eastAsia="zh-CN"/>
              </w:rPr>
              <w:t>5</w:t>
            </w:r>
          </w:p>
        </w:tc>
        <w:tc>
          <w:tcPr>
            <w:tcW w:w="855" w:type="dxa"/>
            <w:noWrap w:val="0"/>
            <w:vAlign w:val="center"/>
          </w:tcPr>
          <w:p w14:paraId="4F9A83AB">
            <w:pPr>
              <w:pStyle w:val="50"/>
              <w:bidi w:val="0"/>
              <w:jc w:val="center"/>
              <w:rPr>
                <w:rFonts w:hint="eastAsia"/>
                <w:lang w:val="en-US" w:eastAsia="zh-CN"/>
              </w:rPr>
            </w:pPr>
            <w:r>
              <w:rPr>
                <w:rFonts w:hint="eastAsia"/>
                <w:lang w:val="en-US" w:eastAsia="zh-CN"/>
              </w:rPr>
              <w:t>5</w:t>
            </w:r>
          </w:p>
        </w:tc>
        <w:tc>
          <w:tcPr>
            <w:tcW w:w="855" w:type="dxa"/>
            <w:noWrap w:val="0"/>
            <w:vAlign w:val="center"/>
          </w:tcPr>
          <w:p w14:paraId="357103C6">
            <w:pPr>
              <w:pStyle w:val="50"/>
              <w:bidi w:val="0"/>
              <w:jc w:val="center"/>
              <w:rPr>
                <w:rFonts w:hint="eastAsia"/>
                <w:lang w:val="en-US" w:eastAsia="zh-CN"/>
              </w:rPr>
            </w:pPr>
          </w:p>
        </w:tc>
      </w:tr>
      <w:tr w14:paraId="583EF5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2858F01B">
            <w:pPr>
              <w:pStyle w:val="50"/>
              <w:bidi w:val="0"/>
              <w:rPr>
                <w:rFonts w:hint="default"/>
                <w:lang w:val="en-US" w:eastAsia="zh-CN"/>
              </w:rPr>
            </w:pPr>
            <w:r>
              <w:rPr>
                <w:rFonts w:hint="eastAsia"/>
                <w:lang w:val="en-US" w:eastAsia="zh-CN"/>
              </w:rPr>
              <w:t>12</w:t>
            </w:r>
          </w:p>
        </w:tc>
        <w:tc>
          <w:tcPr>
            <w:tcW w:w="1545" w:type="dxa"/>
            <w:noWrap w:val="0"/>
            <w:vAlign w:val="center"/>
          </w:tcPr>
          <w:p w14:paraId="5A0BAB91">
            <w:pPr>
              <w:pStyle w:val="50"/>
              <w:bidi w:val="0"/>
              <w:rPr>
                <w:rFonts w:hint="eastAsia"/>
                <w:lang w:val="en-US" w:eastAsia="zh-CN"/>
              </w:rPr>
            </w:pPr>
            <w:r>
              <w:rPr>
                <w:rFonts w:hint="eastAsia"/>
                <w:lang w:val="en-US" w:eastAsia="zh-CN"/>
              </w:rPr>
              <w:t>安全管理</w:t>
            </w:r>
          </w:p>
        </w:tc>
        <w:tc>
          <w:tcPr>
            <w:tcW w:w="690" w:type="dxa"/>
            <w:noWrap w:val="0"/>
            <w:vAlign w:val="center"/>
          </w:tcPr>
          <w:p w14:paraId="5248E7DA">
            <w:pPr>
              <w:pStyle w:val="50"/>
              <w:bidi w:val="0"/>
              <w:jc w:val="center"/>
              <w:rPr>
                <w:rFonts w:hint="eastAsia"/>
                <w:lang w:val="en-US" w:eastAsia="zh-CN"/>
              </w:rPr>
            </w:pPr>
            <w:r>
              <w:rPr>
                <w:rFonts w:hint="eastAsia"/>
                <w:lang w:val="en-US" w:eastAsia="zh-CN"/>
              </w:rPr>
              <w:t>12</w:t>
            </w:r>
          </w:p>
        </w:tc>
        <w:tc>
          <w:tcPr>
            <w:tcW w:w="705" w:type="dxa"/>
            <w:noWrap w:val="0"/>
            <w:vAlign w:val="center"/>
          </w:tcPr>
          <w:p w14:paraId="2009B8C9">
            <w:pPr>
              <w:pStyle w:val="50"/>
              <w:bidi w:val="0"/>
              <w:jc w:val="center"/>
              <w:rPr>
                <w:rFonts w:hint="eastAsia"/>
                <w:lang w:val="en-US" w:eastAsia="zh-CN"/>
              </w:rPr>
            </w:pPr>
          </w:p>
        </w:tc>
        <w:tc>
          <w:tcPr>
            <w:tcW w:w="705" w:type="dxa"/>
            <w:noWrap w:val="0"/>
            <w:vAlign w:val="center"/>
          </w:tcPr>
          <w:p w14:paraId="148CDA0B">
            <w:pPr>
              <w:pStyle w:val="50"/>
              <w:bidi w:val="0"/>
              <w:jc w:val="center"/>
              <w:rPr>
                <w:rFonts w:hint="eastAsia"/>
                <w:lang w:val="en-US" w:eastAsia="zh-CN"/>
              </w:rPr>
            </w:pPr>
            <w:r>
              <w:rPr>
                <w:rFonts w:hint="eastAsia"/>
                <w:lang w:val="en-US" w:eastAsia="zh-CN"/>
              </w:rPr>
              <w:t>12</w:t>
            </w:r>
          </w:p>
        </w:tc>
        <w:tc>
          <w:tcPr>
            <w:tcW w:w="660" w:type="dxa"/>
            <w:noWrap w:val="0"/>
            <w:vAlign w:val="center"/>
          </w:tcPr>
          <w:p w14:paraId="748F31D7">
            <w:pPr>
              <w:pStyle w:val="50"/>
              <w:bidi w:val="0"/>
              <w:jc w:val="center"/>
              <w:rPr>
                <w:rFonts w:hint="eastAsia"/>
                <w:lang w:val="en-US" w:eastAsia="zh-CN"/>
              </w:rPr>
            </w:pPr>
            <w:r>
              <w:rPr>
                <w:rFonts w:hint="eastAsia"/>
                <w:lang w:val="en-US" w:eastAsia="zh-CN"/>
              </w:rPr>
              <w:t>1</w:t>
            </w:r>
          </w:p>
        </w:tc>
        <w:tc>
          <w:tcPr>
            <w:tcW w:w="733" w:type="dxa"/>
            <w:noWrap w:val="0"/>
            <w:vAlign w:val="center"/>
          </w:tcPr>
          <w:p w14:paraId="63EAFAC8">
            <w:pPr>
              <w:pStyle w:val="50"/>
              <w:bidi w:val="0"/>
              <w:jc w:val="center"/>
              <w:rPr>
                <w:rFonts w:hint="default"/>
                <w:lang w:val="en-US" w:eastAsia="zh-CN"/>
              </w:rPr>
            </w:pPr>
          </w:p>
        </w:tc>
        <w:tc>
          <w:tcPr>
            <w:tcW w:w="707" w:type="dxa"/>
            <w:noWrap w:val="0"/>
            <w:vAlign w:val="center"/>
          </w:tcPr>
          <w:p w14:paraId="28C03779">
            <w:pPr>
              <w:pStyle w:val="50"/>
              <w:bidi w:val="0"/>
              <w:jc w:val="center"/>
              <w:rPr>
                <w:rFonts w:hint="eastAsia"/>
                <w:lang w:val="en-US" w:eastAsia="zh-CN"/>
              </w:rPr>
            </w:pPr>
            <w:r>
              <w:rPr>
                <w:rFonts w:hint="eastAsia"/>
                <w:lang w:val="en-US" w:eastAsia="zh-CN"/>
              </w:rPr>
              <w:t>11</w:t>
            </w:r>
          </w:p>
        </w:tc>
        <w:tc>
          <w:tcPr>
            <w:tcW w:w="750" w:type="dxa"/>
            <w:noWrap w:val="0"/>
            <w:vAlign w:val="center"/>
          </w:tcPr>
          <w:p w14:paraId="6CDDDA7D">
            <w:pPr>
              <w:pStyle w:val="50"/>
              <w:bidi w:val="0"/>
              <w:jc w:val="center"/>
              <w:rPr>
                <w:rFonts w:hint="default"/>
                <w:lang w:val="en-US" w:eastAsia="zh-CN"/>
              </w:rPr>
            </w:pPr>
          </w:p>
        </w:tc>
        <w:tc>
          <w:tcPr>
            <w:tcW w:w="855" w:type="dxa"/>
            <w:noWrap w:val="0"/>
            <w:vAlign w:val="center"/>
          </w:tcPr>
          <w:p w14:paraId="0FB5CE2B">
            <w:pPr>
              <w:pStyle w:val="50"/>
              <w:bidi w:val="0"/>
              <w:jc w:val="center"/>
              <w:rPr>
                <w:rFonts w:hint="eastAsia"/>
                <w:lang w:val="en-US" w:eastAsia="zh-CN"/>
              </w:rPr>
            </w:pPr>
          </w:p>
        </w:tc>
        <w:tc>
          <w:tcPr>
            <w:tcW w:w="855" w:type="dxa"/>
            <w:noWrap w:val="0"/>
            <w:vAlign w:val="center"/>
          </w:tcPr>
          <w:p w14:paraId="2B632911">
            <w:pPr>
              <w:pStyle w:val="50"/>
              <w:bidi w:val="0"/>
              <w:jc w:val="center"/>
              <w:rPr>
                <w:rFonts w:hint="eastAsia"/>
                <w:lang w:val="en-US" w:eastAsia="zh-CN"/>
              </w:rPr>
            </w:pPr>
          </w:p>
        </w:tc>
        <w:tc>
          <w:tcPr>
            <w:tcW w:w="855" w:type="dxa"/>
            <w:noWrap w:val="0"/>
            <w:vAlign w:val="center"/>
          </w:tcPr>
          <w:p w14:paraId="3476587E">
            <w:pPr>
              <w:pStyle w:val="50"/>
              <w:bidi w:val="0"/>
              <w:jc w:val="center"/>
              <w:rPr>
                <w:rFonts w:hint="eastAsia"/>
                <w:lang w:val="en-US" w:eastAsia="zh-CN"/>
              </w:rPr>
            </w:pPr>
          </w:p>
        </w:tc>
      </w:tr>
      <w:tr w14:paraId="1B4661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480" w:type="dxa"/>
            <w:noWrap w:val="0"/>
            <w:vAlign w:val="center"/>
          </w:tcPr>
          <w:p w14:paraId="48409886">
            <w:pPr>
              <w:pStyle w:val="50"/>
              <w:bidi w:val="0"/>
              <w:rPr>
                <w:rFonts w:hint="default"/>
                <w:lang w:val="en-US" w:eastAsia="zh-CN"/>
              </w:rPr>
            </w:pPr>
            <w:r>
              <w:rPr>
                <w:rFonts w:hint="eastAsia"/>
                <w:lang w:val="en-US" w:eastAsia="zh-CN"/>
              </w:rPr>
              <w:t>13</w:t>
            </w:r>
          </w:p>
        </w:tc>
        <w:tc>
          <w:tcPr>
            <w:tcW w:w="1545" w:type="dxa"/>
            <w:noWrap w:val="0"/>
            <w:vAlign w:val="center"/>
          </w:tcPr>
          <w:p w14:paraId="14F97C0D">
            <w:pPr>
              <w:pStyle w:val="50"/>
              <w:bidi w:val="0"/>
              <w:rPr>
                <w:rFonts w:hint="eastAsia"/>
                <w:color w:val="auto"/>
                <w:lang w:val="en-US" w:eastAsia="zh-CN"/>
              </w:rPr>
            </w:pPr>
            <w:r>
              <w:rPr>
                <w:color w:val="auto"/>
              </w:rPr>
              <w:t>重大事故隐患判定</w:t>
            </w:r>
          </w:p>
        </w:tc>
        <w:tc>
          <w:tcPr>
            <w:tcW w:w="690" w:type="dxa"/>
            <w:noWrap w:val="0"/>
            <w:vAlign w:val="center"/>
          </w:tcPr>
          <w:p w14:paraId="5A44DC10">
            <w:pPr>
              <w:pStyle w:val="50"/>
              <w:bidi w:val="0"/>
              <w:jc w:val="center"/>
              <w:rPr>
                <w:rFonts w:hint="eastAsia"/>
                <w:color w:val="auto"/>
                <w:lang w:val="en-US" w:eastAsia="zh-CN"/>
              </w:rPr>
            </w:pPr>
          </w:p>
        </w:tc>
        <w:tc>
          <w:tcPr>
            <w:tcW w:w="705" w:type="dxa"/>
            <w:noWrap w:val="0"/>
            <w:vAlign w:val="center"/>
          </w:tcPr>
          <w:p w14:paraId="53C008D0">
            <w:pPr>
              <w:pStyle w:val="50"/>
              <w:bidi w:val="0"/>
              <w:jc w:val="center"/>
              <w:rPr>
                <w:rFonts w:hint="eastAsia"/>
                <w:color w:val="auto"/>
                <w:lang w:val="en-US" w:eastAsia="zh-CN"/>
              </w:rPr>
            </w:pPr>
          </w:p>
        </w:tc>
        <w:tc>
          <w:tcPr>
            <w:tcW w:w="705" w:type="dxa"/>
            <w:noWrap w:val="0"/>
            <w:vAlign w:val="center"/>
          </w:tcPr>
          <w:p w14:paraId="5BD464F0">
            <w:pPr>
              <w:pStyle w:val="50"/>
              <w:bidi w:val="0"/>
              <w:jc w:val="center"/>
              <w:rPr>
                <w:rFonts w:hint="eastAsia"/>
                <w:color w:val="auto"/>
                <w:lang w:val="en-US" w:eastAsia="zh-CN"/>
              </w:rPr>
            </w:pPr>
          </w:p>
        </w:tc>
        <w:tc>
          <w:tcPr>
            <w:tcW w:w="660" w:type="dxa"/>
            <w:noWrap w:val="0"/>
            <w:vAlign w:val="center"/>
          </w:tcPr>
          <w:p w14:paraId="732A21FF">
            <w:pPr>
              <w:pStyle w:val="50"/>
              <w:bidi w:val="0"/>
              <w:jc w:val="center"/>
              <w:rPr>
                <w:rFonts w:hint="eastAsia"/>
                <w:color w:val="auto"/>
                <w:lang w:val="en-US" w:eastAsia="zh-CN"/>
              </w:rPr>
            </w:pPr>
          </w:p>
        </w:tc>
        <w:tc>
          <w:tcPr>
            <w:tcW w:w="733" w:type="dxa"/>
            <w:noWrap w:val="0"/>
            <w:vAlign w:val="center"/>
          </w:tcPr>
          <w:p w14:paraId="2E75A619">
            <w:pPr>
              <w:pStyle w:val="50"/>
              <w:bidi w:val="0"/>
              <w:jc w:val="center"/>
              <w:rPr>
                <w:rFonts w:hint="default"/>
                <w:color w:val="auto"/>
                <w:lang w:val="en-US" w:eastAsia="zh-CN"/>
              </w:rPr>
            </w:pPr>
          </w:p>
        </w:tc>
        <w:tc>
          <w:tcPr>
            <w:tcW w:w="707" w:type="dxa"/>
            <w:noWrap w:val="0"/>
            <w:vAlign w:val="center"/>
          </w:tcPr>
          <w:p w14:paraId="0989B8AD">
            <w:pPr>
              <w:pStyle w:val="50"/>
              <w:bidi w:val="0"/>
              <w:jc w:val="center"/>
              <w:rPr>
                <w:rFonts w:hint="eastAsia"/>
                <w:color w:val="auto"/>
                <w:lang w:val="en-US" w:eastAsia="zh-CN"/>
              </w:rPr>
            </w:pPr>
          </w:p>
        </w:tc>
        <w:tc>
          <w:tcPr>
            <w:tcW w:w="750" w:type="dxa"/>
            <w:noWrap w:val="0"/>
            <w:vAlign w:val="center"/>
          </w:tcPr>
          <w:p w14:paraId="014D7C95">
            <w:pPr>
              <w:pStyle w:val="50"/>
              <w:bidi w:val="0"/>
              <w:jc w:val="center"/>
              <w:rPr>
                <w:rFonts w:hint="default"/>
                <w:color w:val="auto"/>
                <w:lang w:val="en-US" w:eastAsia="zh-CN"/>
              </w:rPr>
            </w:pPr>
          </w:p>
        </w:tc>
        <w:tc>
          <w:tcPr>
            <w:tcW w:w="855" w:type="dxa"/>
            <w:noWrap w:val="0"/>
            <w:vAlign w:val="center"/>
          </w:tcPr>
          <w:p w14:paraId="3E82A219">
            <w:pPr>
              <w:pStyle w:val="50"/>
              <w:bidi w:val="0"/>
              <w:jc w:val="center"/>
              <w:rPr>
                <w:rFonts w:hint="default"/>
                <w:color w:val="auto"/>
                <w:lang w:val="en-US" w:eastAsia="zh-CN"/>
              </w:rPr>
            </w:pPr>
            <w:r>
              <w:rPr>
                <w:rFonts w:hint="eastAsia"/>
                <w:color w:val="auto"/>
                <w:lang w:val="en-US" w:eastAsia="zh-CN"/>
              </w:rPr>
              <w:t>15</w:t>
            </w:r>
          </w:p>
        </w:tc>
        <w:tc>
          <w:tcPr>
            <w:tcW w:w="855" w:type="dxa"/>
            <w:noWrap w:val="0"/>
            <w:vAlign w:val="center"/>
          </w:tcPr>
          <w:p w14:paraId="05CEDE8B">
            <w:pPr>
              <w:pStyle w:val="50"/>
              <w:bidi w:val="0"/>
              <w:jc w:val="center"/>
              <w:rPr>
                <w:rFonts w:hint="default"/>
                <w:color w:val="auto"/>
                <w:lang w:val="en-US" w:eastAsia="zh-CN"/>
              </w:rPr>
            </w:pPr>
            <w:r>
              <w:rPr>
                <w:rFonts w:hint="eastAsia"/>
                <w:color w:val="auto"/>
                <w:lang w:val="en-US" w:eastAsia="zh-CN"/>
              </w:rPr>
              <w:t>15</w:t>
            </w:r>
          </w:p>
        </w:tc>
        <w:tc>
          <w:tcPr>
            <w:tcW w:w="855" w:type="dxa"/>
            <w:noWrap w:val="0"/>
            <w:vAlign w:val="center"/>
          </w:tcPr>
          <w:p w14:paraId="533BB1B7">
            <w:pPr>
              <w:pStyle w:val="50"/>
              <w:bidi w:val="0"/>
              <w:jc w:val="center"/>
              <w:rPr>
                <w:rFonts w:hint="eastAsia"/>
                <w:color w:val="C00000"/>
                <w:lang w:val="en-US" w:eastAsia="zh-CN"/>
              </w:rPr>
            </w:pPr>
          </w:p>
        </w:tc>
      </w:tr>
      <w:tr w14:paraId="16B579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025" w:type="dxa"/>
            <w:gridSpan w:val="2"/>
            <w:vMerge w:val="restart"/>
            <w:noWrap w:val="0"/>
            <w:vAlign w:val="center"/>
          </w:tcPr>
          <w:p w14:paraId="1551FD88">
            <w:pPr>
              <w:pStyle w:val="50"/>
              <w:bidi w:val="0"/>
              <w:jc w:val="center"/>
              <w:rPr>
                <w:rFonts w:hint="eastAsia"/>
                <w:lang w:val="en-US" w:eastAsia="zh-CN"/>
              </w:rPr>
            </w:pPr>
            <w:r>
              <w:rPr>
                <w:rFonts w:hint="eastAsia"/>
                <w:lang w:val="en-US" w:eastAsia="zh-CN"/>
              </w:rPr>
              <w:t>合计</w:t>
            </w:r>
          </w:p>
        </w:tc>
        <w:tc>
          <w:tcPr>
            <w:tcW w:w="690" w:type="dxa"/>
            <w:noWrap w:val="0"/>
            <w:vAlign w:val="center"/>
          </w:tcPr>
          <w:p w14:paraId="6E433B48">
            <w:pPr>
              <w:pStyle w:val="50"/>
              <w:bidi w:val="0"/>
              <w:jc w:val="center"/>
              <w:rPr>
                <w:rFonts w:hint="eastAsia"/>
                <w:lang w:val="en-US" w:eastAsia="zh-CN"/>
              </w:rPr>
            </w:pPr>
            <w:r>
              <w:rPr>
                <w:rFonts w:hint="eastAsia"/>
                <w:lang w:val="en-US" w:eastAsia="zh-CN"/>
              </w:rPr>
              <w:t>128</w:t>
            </w:r>
          </w:p>
        </w:tc>
        <w:tc>
          <w:tcPr>
            <w:tcW w:w="705" w:type="dxa"/>
            <w:noWrap w:val="0"/>
            <w:vAlign w:val="center"/>
          </w:tcPr>
          <w:p w14:paraId="2270C3B4">
            <w:pPr>
              <w:pStyle w:val="50"/>
              <w:bidi w:val="0"/>
              <w:jc w:val="center"/>
              <w:rPr>
                <w:rFonts w:hint="default"/>
                <w:lang w:val="en-US" w:eastAsia="zh-CN"/>
              </w:rPr>
            </w:pPr>
            <w:r>
              <w:rPr>
                <w:rFonts w:hint="eastAsia"/>
                <w:lang w:val="en-US" w:eastAsia="zh-CN"/>
              </w:rPr>
              <w:t>74</w:t>
            </w:r>
          </w:p>
        </w:tc>
        <w:tc>
          <w:tcPr>
            <w:tcW w:w="705" w:type="dxa"/>
            <w:noWrap w:val="0"/>
            <w:vAlign w:val="center"/>
          </w:tcPr>
          <w:p w14:paraId="24592BEB">
            <w:pPr>
              <w:pStyle w:val="50"/>
              <w:bidi w:val="0"/>
              <w:jc w:val="center"/>
              <w:rPr>
                <w:rFonts w:hint="default"/>
                <w:lang w:val="en-US" w:eastAsia="zh-CN"/>
              </w:rPr>
            </w:pPr>
            <w:r>
              <w:rPr>
                <w:rFonts w:hint="eastAsia"/>
                <w:lang w:val="en-US" w:eastAsia="zh-CN"/>
              </w:rPr>
              <w:t>54</w:t>
            </w:r>
          </w:p>
        </w:tc>
        <w:tc>
          <w:tcPr>
            <w:tcW w:w="660" w:type="dxa"/>
            <w:noWrap w:val="0"/>
            <w:vAlign w:val="center"/>
          </w:tcPr>
          <w:p w14:paraId="2CA59396">
            <w:pPr>
              <w:pStyle w:val="50"/>
              <w:bidi w:val="0"/>
              <w:jc w:val="center"/>
              <w:rPr>
                <w:rFonts w:hint="eastAsia"/>
                <w:lang w:val="en-US" w:eastAsia="zh-CN"/>
              </w:rPr>
            </w:pPr>
            <w:r>
              <w:rPr>
                <w:rFonts w:hint="eastAsia"/>
                <w:lang w:val="en-US" w:eastAsia="zh-CN"/>
              </w:rPr>
              <w:t>7</w:t>
            </w:r>
          </w:p>
        </w:tc>
        <w:tc>
          <w:tcPr>
            <w:tcW w:w="733" w:type="dxa"/>
            <w:noWrap w:val="0"/>
            <w:vAlign w:val="center"/>
          </w:tcPr>
          <w:p w14:paraId="64EB9A61">
            <w:pPr>
              <w:pStyle w:val="50"/>
              <w:bidi w:val="0"/>
              <w:jc w:val="center"/>
              <w:rPr>
                <w:rFonts w:hint="default"/>
                <w:lang w:val="en-US" w:eastAsia="zh-CN"/>
              </w:rPr>
            </w:pPr>
          </w:p>
        </w:tc>
        <w:tc>
          <w:tcPr>
            <w:tcW w:w="707" w:type="dxa"/>
            <w:noWrap w:val="0"/>
            <w:vAlign w:val="center"/>
          </w:tcPr>
          <w:p w14:paraId="35589A26">
            <w:pPr>
              <w:pStyle w:val="50"/>
              <w:bidi w:val="0"/>
              <w:jc w:val="center"/>
              <w:rPr>
                <w:rFonts w:hint="default"/>
                <w:lang w:val="en-US" w:eastAsia="zh-CN"/>
              </w:rPr>
            </w:pPr>
            <w:r>
              <w:rPr>
                <w:rFonts w:hint="eastAsia"/>
                <w:lang w:val="en-US" w:eastAsia="zh-CN"/>
              </w:rPr>
              <w:t>46</w:t>
            </w:r>
          </w:p>
        </w:tc>
        <w:tc>
          <w:tcPr>
            <w:tcW w:w="750" w:type="dxa"/>
            <w:noWrap w:val="0"/>
            <w:vAlign w:val="center"/>
          </w:tcPr>
          <w:p w14:paraId="03395A77">
            <w:pPr>
              <w:pStyle w:val="50"/>
              <w:bidi w:val="0"/>
              <w:jc w:val="center"/>
              <w:rPr>
                <w:rFonts w:hint="default"/>
                <w:lang w:val="en-US" w:eastAsia="zh-CN"/>
              </w:rPr>
            </w:pPr>
            <w:r>
              <w:rPr>
                <w:rFonts w:hint="eastAsia"/>
                <w:lang w:val="en-US" w:eastAsia="zh-CN"/>
              </w:rPr>
              <w:t>1</w:t>
            </w:r>
          </w:p>
        </w:tc>
        <w:tc>
          <w:tcPr>
            <w:tcW w:w="855" w:type="dxa"/>
            <w:noWrap w:val="0"/>
            <w:vAlign w:val="center"/>
          </w:tcPr>
          <w:p w14:paraId="4860B812">
            <w:pPr>
              <w:pStyle w:val="50"/>
              <w:bidi w:val="0"/>
              <w:jc w:val="center"/>
              <w:rPr>
                <w:rFonts w:hint="default"/>
                <w:lang w:val="en-US" w:eastAsia="zh-CN"/>
              </w:rPr>
            </w:pPr>
            <w:r>
              <w:rPr>
                <w:rFonts w:hint="eastAsia"/>
                <w:lang w:val="en-US" w:eastAsia="zh-CN"/>
              </w:rPr>
              <w:t>71</w:t>
            </w:r>
          </w:p>
        </w:tc>
        <w:tc>
          <w:tcPr>
            <w:tcW w:w="855" w:type="dxa"/>
            <w:noWrap w:val="0"/>
            <w:vAlign w:val="center"/>
          </w:tcPr>
          <w:p w14:paraId="5A4F1F22">
            <w:pPr>
              <w:pStyle w:val="50"/>
              <w:bidi w:val="0"/>
              <w:jc w:val="center"/>
              <w:rPr>
                <w:rFonts w:hint="default"/>
                <w:lang w:val="en-US" w:eastAsia="zh-CN"/>
              </w:rPr>
            </w:pPr>
            <w:r>
              <w:rPr>
                <w:rFonts w:hint="eastAsia"/>
                <w:lang w:val="en-US" w:eastAsia="zh-CN"/>
              </w:rPr>
              <w:t>69</w:t>
            </w:r>
          </w:p>
        </w:tc>
        <w:tc>
          <w:tcPr>
            <w:tcW w:w="855" w:type="dxa"/>
            <w:noWrap w:val="0"/>
            <w:vAlign w:val="center"/>
          </w:tcPr>
          <w:p w14:paraId="413111DD">
            <w:pPr>
              <w:pStyle w:val="50"/>
              <w:bidi w:val="0"/>
              <w:jc w:val="center"/>
              <w:rPr>
                <w:rFonts w:hint="eastAsia"/>
                <w:lang w:val="en-US" w:eastAsia="zh-CN"/>
              </w:rPr>
            </w:pPr>
            <w:r>
              <w:rPr>
                <w:rFonts w:hint="eastAsia"/>
                <w:lang w:val="en-US" w:eastAsia="zh-CN"/>
              </w:rPr>
              <w:t>2</w:t>
            </w:r>
          </w:p>
        </w:tc>
      </w:tr>
      <w:tr w14:paraId="56B38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20" w:hRule="atLeast"/>
        </w:trPr>
        <w:tc>
          <w:tcPr>
            <w:tcW w:w="2025" w:type="dxa"/>
            <w:gridSpan w:val="2"/>
            <w:vMerge w:val="continue"/>
            <w:noWrap w:val="0"/>
            <w:vAlign w:val="center"/>
          </w:tcPr>
          <w:p w14:paraId="2F531F5E">
            <w:pPr>
              <w:pStyle w:val="50"/>
              <w:bidi w:val="0"/>
              <w:rPr>
                <w:rFonts w:hint="eastAsia"/>
                <w:lang w:val="en-US" w:eastAsia="zh-CN"/>
              </w:rPr>
            </w:pPr>
          </w:p>
        </w:tc>
        <w:tc>
          <w:tcPr>
            <w:tcW w:w="7515" w:type="dxa"/>
            <w:gridSpan w:val="10"/>
            <w:noWrap w:val="0"/>
            <w:vAlign w:val="center"/>
          </w:tcPr>
          <w:p w14:paraId="1EC08037">
            <w:pPr>
              <w:pStyle w:val="50"/>
              <w:bidi w:val="0"/>
              <w:jc w:val="left"/>
              <w:rPr>
                <w:rFonts w:hint="eastAsia"/>
                <w:lang w:val="en-US" w:eastAsia="zh-CN"/>
              </w:rPr>
            </w:pPr>
            <w:r>
              <w:rPr>
                <w:rFonts w:hint="eastAsia"/>
                <w:lang w:val="en-US" w:eastAsia="zh-CN"/>
              </w:rPr>
              <w:t>1、检查项共计199项，有效项共检查128项，不涉及项74项。</w:t>
            </w:r>
          </w:p>
          <w:p w14:paraId="33365C34">
            <w:pPr>
              <w:pStyle w:val="50"/>
              <w:bidi w:val="0"/>
              <w:jc w:val="left"/>
              <w:rPr>
                <w:rFonts w:hint="eastAsia"/>
                <w:lang w:val="en-US" w:eastAsia="zh-CN"/>
              </w:rPr>
            </w:pPr>
            <w:r>
              <w:rPr>
                <w:rFonts w:hint="eastAsia"/>
                <w:lang w:val="en-US" w:eastAsia="zh-CN"/>
              </w:rPr>
              <w:t>2、否决项7项且全部符合，一般项118项115项符合，3项不符合。</w:t>
            </w:r>
          </w:p>
        </w:tc>
      </w:tr>
    </w:tbl>
    <w:p w14:paraId="0C2F75B1">
      <w:pPr>
        <w:pStyle w:val="4"/>
        <w:bidi w:val="0"/>
        <w:rPr>
          <w:rFonts w:hint="default" w:eastAsia="宋体"/>
          <w:lang w:val="en-US" w:eastAsia="zh-CN"/>
        </w:rPr>
      </w:pPr>
      <w:bookmarkStart w:id="545" w:name="_Toc18084"/>
      <w:bookmarkStart w:id="546" w:name="_Toc3219"/>
      <w:r>
        <w:rPr>
          <w:rFonts w:hint="eastAsia"/>
          <w:lang w:val="en-US" w:eastAsia="zh-CN"/>
        </w:rPr>
        <w:t>5.2.2</w:t>
      </w:r>
      <w:r>
        <w:t>重大事故隐患检查</w:t>
      </w:r>
      <w:r>
        <w:rPr>
          <w:rFonts w:hint="eastAsia"/>
          <w:lang w:eastAsia="zh-CN"/>
        </w:rPr>
        <w:t>评价</w:t>
      </w:r>
      <w:bookmarkEnd w:id="545"/>
      <w:bookmarkEnd w:id="546"/>
    </w:p>
    <w:p w14:paraId="1581D818">
      <w:pPr>
        <w:ind w:firstLine="552"/>
        <w:rPr>
          <w:rFonts w:ascii="Times New Roman" w:hAnsi="Times New Roman"/>
          <w:color w:val="000000" w:themeColor="text1"/>
          <w:szCs w:val="28"/>
          <w14:textFill>
            <w14:solidFill>
              <w14:schemeClr w14:val="tx1"/>
            </w14:solidFill>
          </w14:textFill>
        </w:rPr>
      </w:pPr>
      <w:r>
        <w:rPr>
          <w:rFonts w:hint="eastAsia"/>
        </w:rPr>
        <w:t>通过</w:t>
      </w:r>
      <w:r>
        <w:rPr>
          <w:rFonts w:hint="eastAsia"/>
          <w:lang w:val="en-US" w:eastAsia="zh-CN"/>
        </w:rPr>
        <w:t>采用安全检查表法</w:t>
      </w:r>
      <w:r>
        <w:rPr>
          <w:rFonts w:hint="eastAsia"/>
        </w:rPr>
        <w:t>对</w:t>
      </w:r>
      <w:r>
        <w:rPr>
          <w:rFonts w:ascii="Times New Roman" w:hAnsi="Times New Roman"/>
          <w:color w:val="000000" w:themeColor="text1"/>
          <w14:textFill>
            <w14:solidFill>
              <w14:schemeClr w14:val="tx1"/>
            </w14:solidFill>
          </w14:textFill>
        </w:rPr>
        <w:t>重大事故隐患检查</w:t>
      </w:r>
      <w:r>
        <w:rPr>
          <w:rFonts w:hint="eastAsia" w:ascii="Times New Roman" w:hAnsi="Times New Roman"/>
          <w:color w:val="000000" w:themeColor="text1"/>
          <w:szCs w:val="28"/>
          <w:lang w:eastAsia="zh-CN"/>
          <w14:textFill>
            <w14:solidFill>
              <w14:schemeClr w14:val="tx1"/>
            </w14:solidFill>
          </w14:textFill>
        </w:rPr>
        <w:t>评价</w:t>
      </w:r>
      <w:r>
        <w:rPr>
          <w:rFonts w:hint="eastAsia"/>
          <w:lang w:val="en-US" w:eastAsia="zh-CN"/>
        </w:rPr>
        <w:t>检查</w:t>
      </w:r>
      <w:r>
        <w:rPr>
          <w:rFonts w:hint="eastAsia"/>
          <w:lang w:eastAsia="zh-CN"/>
        </w:rPr>
        <w:t>，</w:t>
      </w:r>
      <w:r>
        <w:rPr>
          <w:rFonts w:hint="eastAsia"/>
        </w:rPr>
        <w:t>评价结论判别分为</w:t>
      </w:r>
      <w:r>
        <w:rPr>
          <w:rFonts w:hint="eastAsia"/>
          <w:lang w:eastAsia="zh-CN"/>
        </w:rPr>
        <w:t>“</w:t>
      </w:r>
      <w:r>
        <w:rPr>
          <w:rFonts w:hint="eastAsia"/>
          <w:lang w:val="en-US" w:eastAsia="zh-CN"/>
        </w:rPr>
        <w:t>构成</w:t>
      </w:r>
      <w:r>
        <w:rPr>
          <w:rFonts w:hint="eastAsia"/>
          <w:lang w:eastAsia="zh-CN"/>
        </w:rPr>
        <w:t>”、“</w:t>
      </w:r>
      <w:r>
        <w:rPr>
          <w:rFonts w:hint="eastAsia"/>
          <w:lang w:val="en-US" w:eastAsia="zh-CN"/>
        </w:rPr>
        <w:t>不构成</w:t>
      </w:r>
      <w:r>
        <w:rPr>
          <w:rFonts w:hint="eastAsia"/>
          <w:lang w:eastAsia="zh-CN"/>
        </w:rPr>
        <w:t>”</w:t>
      </w:r>
      <w:r>
        <w:rPr>
          <w:rFonts w:hint="eastAsia"/>
          <w:lang w:val="en-US" w:eastAsia="zh-CN"/>
        </w:rPr>
        <w:t>和“不涉及”三</w:t>
      </w:r>
      <w:r>
        <w:rPr>
          <w:rFonts w:hint="eastAsia"/>
        </w:rPr>
        <w:t>种。</w:t>
      </w:r>
      <w:r>
        <w:rPr>
          <w:rFonts w:ascii="Times New Roman" w:hAnsi="Times New Roman"/>
          <w:color w:val="000000" w:themeColor="text1"/>
          <w14:textFill>
            <w14:solidFill>
              <w14:schemeClr w14:val="tx1"/>
            </w14:solidFill>
          </w14:textFill>
        </w:rPr>
        <w:t>依据《国家矿山安全监察局关于印发&lt;金属非金属矿山重大事故隐患判定标准&gt;的通知》（矿安〔2022〕88号）、《国家矿山安全监察局关于印发&lt;金属非金属矿山重大事故隐患判定标准补充情形&gt;的通知》（矿安〔2024〕41号）进行本矿山进行重大事故隐患检查</w:t>
      </w:r>
      <w:r>
        <w:rPr>
          <w:rFonts w:hint="eastAsia" w:ascii="Times New Roman" w:hAnsi="Times New Roman"/>
          <w:color w:val="000000" w:themeColor="text1"/>
          <w:szCs w:val="28"/>
          <w:lang w:eastAsia="zh-CN"/>
          <w14:textFill>
            <w14:solidFill>
              <w14:schemeClr w14:val="tx1"/>
            </w14:solidFill>
          </w14:textFill>
        </w:rPr>
        <w:t>评价</w:t>
      </w:r>
      <w:r>
        <w:rPr>
          <w:rFonts w:ascii="Times New Roman" w:hAnsi="Times New Roman"/>
          <w:color w:val="000000" w:themeColor="text1"/>
          <w:szCs w:val="28"/>
          <w14:textFill>
            <w14:solidFill>
              <w14:schemeClr w14:val="tx1"/>
            </w14:solidFill>
          </w14:textFill>
        </w:rPr>
        <w:t>，矿山</w:t>
      </w:r>
      <w:r>
        <w:rPr>
          <w:rFonts w:hint="eastAsia" w:ascii="Times New Roman" w:hAnsi="Times New Roman"/>
          <w:color w:val="000000" w:themeColor="text1"/>
          <w:szCs w:val="28"/>
          <w:lang w:val="en-US" w:eastAsia="zh-CN"/>
          <w14:textFill>
            <w14:solidFill>
              <w14:schemeClr w14:val="tx1"/>
            </w14:solidFill>
          </w14:textFill>
        </w:rPr>
        <w:t>不</w:t>
      </w:r>
      <w:r>
        <w:rPr>
          <w:rFonts w:hint="eastAsia" w:ascii="Times New Roman" w:hAnsi="Times New Roman"/>
          <w:color w:val="000000" w:themeColor="text1"/>
          <w:szCs w:val="28"/>
          <w:lang w:eastAsia="zh-CN"/>
          <w14:textFill>
            <w14:solidFill>
              <w14:schemeClr w14:val="tx1"/>
            </w14:solidFill>
          </w14:textFill>
        </w:rPr>
        <w:t>构成</w:t>
      </w:r>
      <w:r>
        <w:rPr>
          <w:rFonts w:ascii="Times New Roman" w:hAnsi="Times New Roman"/>
          <w:color w:val="000000" w:themeColor="text1"/>
          <w:szCs w:val="28"/>
          <w14:textFill>
            <w14:solidFill>
              <w14:schemeClr w14:val="tx1"/>
            </w14:solidFill>
          </w14:textFill>
        </w:rPr>
        <w:t>重大事故隐患</w:t>
      </w:r>
      <w:r>
        <w:rPr>
          <w:rFonts w:hint="eastAsia" w:ascii="Times New Roman" w:hAnsi="Times New Roman"/>
          <w:color w:val="000000" w:themeColor="text1"/>
          <w:szCs w:val="28"/>
          <w:lang w:val="en-US" w:eastAsia="zh-CN"/>
          <w14:textFill>
            <w14:solidFill>
              <w14:schemeClr w14:val="tx1"/>
            </w14:solidFill>
          </w14:textFill>
        </w:rPr>
        <w:t>15项</w:t>
      </w:r>
      <w:r>
        <w:rPr>
          <w:rFonts w:ascii="Times New Roman" w:hAnsi="Times New Roman"/>
          <w:color w:val="000000" w:themeColor="text1"/>
          <w:szCs w:val="28"/>
          <w14:textFill>
            <w14:solidFill>
              <w14:schemeClr w14:val="tx1"/>
            </w14:solidFill>
          </w14:textFill>
        </w:rPr>
        <w:t>。</w:t>
      </w:r>
    </w:p>
    <w:p w14:paraId="3AF5B473">
      <w:pPr>
        <w:pStyle w:val="4"/>
        <w:bidi w:val="0"/>
        <w:rPr>
          <w:lang w:val="en-US" w:eastAsia="zh-CN"/>
        </w:rPr>
      </w:pPr>
      <w:bookmarkStart w:id="547" w:name="_Toc23244"/>
      <w:bookmarkStart w:id="548" w:name="_Toc6331"/>
      <w:r>
        <w:rPr>
          <w:rFonts w:hint="eastAsia"/>
          <w:lang w:val="en-US" w:eastAsia="zh-CN"/>
        </w:rPr>
        <w:t>5.2.3</w:t>
      </w:r>
      <w:r>
        <w:rPr>
          <w:lang w:val="en-US" w:eastAsia="zh-CN"/>
        </w:rPr>
        <w:t>隐蔽致灾因素</w:t>
      </w:r>
      <w:bookmarkEnd w:id="547"/>
      <w:bookmarkEnd w:id="548"/>
    </w:p>
    <w:p w14:paraId="37D2650D">
      <w:pPr>
        <w:bidi w:val="0"/>
        <w:rPr>
          <w:rFonts w:hint="eastAsia"/>
          <w:lang w:eastAsia="zh-CN"/>
        </w:rPr>
      </w:pPr>
      <w:r>
        <w:rPr>
          <w:lang w:val="en-US" w:eastAsia="zh-CN"/>
        </w:rPr>
        <w:t>依据矿山地质灾害防治相关规范，金属非金属露天矿山</w:t>
      </w:r>
      <w:r>
        <w:rPr>
          <w:rFonts w:hint="eastAsia"/>
          <w:lang w:val="en-US" w:eastAsia="zh-CN"/>
        </w:rPr>
        <w:t>主要</w:t>
      </w:r>
      <w:r>
        <w:rPr>
          <w:lang w:val="en-US" w:eastAsia="zh-CN"/>
        </w:rPr>
        <w:t>隐蔽致灾因素具有潜伏性强、探测难度大、致灾后果严重的特点，其中以隐伏断层与破碎带、历史遗留采空区、爆破累积损伤为主要风险源。结合露天矿山地形地貌、水文地质、开采工艺等特征，</w:t>
      </w:r>
      <w:r>
        <w:rPr>
          <w:rFonts w:hint="eastAsia"/>
          <w:lang w:val="en-US" w:eastAsia="zh-CN"/>
        </w:rPr>
        <w:t>经检查分析，</w:t>
      </w:r>
      <w:r>
        <w:t>矿山存在</w:t>
      </w:r>
      <w:r>
        <w:rPr>
          <w:rFonts w:hint="eastAsia"/>
          <w:lang w:val="en-US" w:eastAsia="zh-CN"/>
        </w:rPr>
        <w:t>以下</w:t>
      </w:r>
      <w:r>
        <w:rPr>
          <w:lang w:val="en-US" w:eastAsia="zh-CN"/>
        </w:rPr>
        <w:t>隐蔽致灾因素</w:t>
      </w:r>
      <w:r>
        <w:rPr>
          <w:rFonts w:hint="eastAsia"/>
          <w:lang w:eastAsia="zh-CN"/>
        </w:rPr>
        <w:t>：</w:t>
      </w:r>
    </w:p>
    <w:p w14:paraId="3801A634">
      <w:pPr>
        <w:numPr>
          <w:ilvl w:val="0"/>
          <w:numId w:val="0"/>
        </w:numPr>
        <w:bidi w:val="0"/>
        <w:ind w:firstLine="552" w:firstLineChars="200"/>
        <w:rPr>
          <w:rFonts w:hint="default"/>
          <w:lang w:val="en-US" w:eastAsia="zh-CN"/>
        </w:rPr>
      </w:pPr>
      <w:r>
        <w:rPr>
          <w:rFonts w:hint="eastAsia"/>
          <w:lang w:val="en-US" w:eastAsia="zh-CN"/>
        </w:rPr>
        <w:t>1、历史采空区</w:t>
      </w:r>
      <w:r>
        <w:rPr>
          <w:rFonts w:hint="eastAsia"/>
          <w:color w:val="auto"/>
          <w:lang w:val="en-US" w:eastAsia="zh-CN"/>
        </w:rPr>
        <w:t>构成隐蔽致灾因素。</w:t>
      </w:r>
      <w:r>
        <w:rPr>
          <w:rFonts w:hint="default"/>
          <w:lang w:val="en-US" w:eastAsia="zh-CN"/>
        </w:rPr>
        <w:t>矿区</w:t>
      </w:r>
      <w:r>
        <w:rPr>
          <w:rFonts w:hint="eastAsia"/>
          <w:lang w:val="en-US" w:eastAsia="zh-CN"/>
        </w:rPr>
        <w:t>西</w:t>
      </w:r>
      <w:r>
        <w:rPr>
          <w:rFonts w:hint="default"/>
          <w:lang w:val="en-US" w:eastAsia="zh-CN"/>
        </w:rPr>
        <w:t>北部</w:t>
      </w:r>
      <w:r>
        <w:rPr>
          <w:rFonts w:hint="default"/>
        </w:rPr>
        <w:t>形成</w:t>
      </w:r>
      <w:r>
        <w:rPr>
          <w:rFonts w:hint="default"/>
          <w:lang w:eastAsia="zh-CN"/>
        </w:rPr>
        <w:t>三</w:t>
      </w:r>
      <w:r>
        <w:rPr>
          <w:rFonts w:hint="default"/>
        </w:rPr>
        <w:t>个</w:t>
      </w:r>
      <w:r>
        <w:rPr>
          <w:rFonts w:hint="default"/>
          <w:lang w:eastAsia="zh-CN"/>
        </w:rPr>
        <w:t>不规则</w:t>
      </w:r>
      <w:r>
        <w:rPr>
          <w:rFonts w:hint="default"/>
          <w:lang w:val="en-US" w:eastAsia="zh-CN"/>
        </w:rPr>
        <w:t>平台</w:t>
      </w:r>
      <w:r>
        <w:rPr>
          <w:rFonts w:hint="default"/>
        </w:rPr>
        <w:t>，标高自上而下分别为</w:t>
      </w:r>
      <w:r>
        <w:rPr>
          <w:rFonts w:hint="default"/>
          <w:lang w:val="en-US" w:eastAsia="zh-CN"/>
        </w:rPr>
        <w:t>：172</w:t>
      </w:r>
      <w:r>
        <w:rPr>
          <w:rFonts w:hint="eastAsia"/>
          <w:lang w:val="en-US" w:eastAsia="zh-CN"/>
        </w:rPr>
        <w:t>0m</w:t>
      </w:r>
      <w:r>
        <w:rPr>
          <w:rFonts w:hint="default"/>
        </w:rPr>
        <w:t>～</w:t>
      </w:r>
      <w:r>
        <w:rPr>
          <w:rFonts w:hint="default"/>
          <w:lang w:val="en-US" w:eastAsia="zh-CN"/>
        </w:rPr>
        <w:t>170</w:t>
      </w:r>
      <w:r>
        <w:rPr>
          <w:rFonts w:hint="eastAsia"/>
          <w:lang w:val="en-US" w:eastAsia="zh-CN"/>
        </w:rPr>
        <w:t>5</w:t>
      </w:r>
      <w:r>
        <w:rPr>
          <w:rFonts w:hint="default"/>
        </w:rPr>
        <w:t>m</w:t>
      </w:r>
      <w:r>
        <w:rPr>
          <w:rFonts w:hint="default"/>
          <w:lang w:val="en-US" w:eastAsia="zh-CN"/>
        </w:rPr>
        <w:t>台阶，台阶高</w:t>
      </w:r>
      <w:r>
        <w:rPr>
          <w:rFonts w:hint="eastAsia"/>
          <w:lang w:val="en-US" w:eastAsia="zh-CN"/>
        </w:rPr>
        <w:t>15</w:t>
      </w:r>
      <w:r>
        <w:rPr>
          <w:rFonts w:hint="default"/>
          <w:lang w:val="en-US" w:eastAsia="zh-CN"/>
        </w:rPr>
        <w:t>m</w:t>
      </w:r>
      <w:r>
        <w:rPr>
          <w:rFonts w:hint="eastAsia"/>
          <w:lang w:val="en-US" w:eastAsia="zh-CN"/>
        </w:rPr>
        <w:t>，</w:t>
      </w:r>
      <w:r>
        <w:rPr>
          <w:rFonts w:hint="default"/>
          <w:lang w:val="en-US" w:eastAsia="zh-CN"/>
        </w:rPr>
        <w:t>安全平台宽5</w:t>
      </w:r>
      <w:r>
        <w:rPr>
          <w:rFonts w:hint="eastAsia"/>
          <w:lang w:val="en-US" w:eastAsia="zh-CN"/>
        </w:rPr>
        <w:t>m</w:t>
      </w:r>
      <w:r>
        <w:rPr>
          <w:rFonts w:hint="default"/>
        </w:rPr>
        <w:t>～</w:t>
      </w:r>
      <w:r>
        <w:rPr>
          <w:rFonts w:hint="default"/>
          <w:lang w:val="en-US" w:eastAsia="zh-CN"/>
        </w:rPr>
        <w:t>6m</w:t>
      </w:r>
      <w:r>
        <w:rPr>
          <w:rFonts w:hint="eastAsia"/>
          <w:lang w:val="en-US" w:eastAsia="zh-CN"/>
        </w:rPr>
        <w:t>；</w:t>
      </w:r>
      <w:r>
        <w:rPr>
          <w:rFonts w:hint="default"/>
          <w:lang w:val="en-US" w:eastAsia="zh-CN"/>
        </w:rPr>
        <w:t>170</w:t>
      </w:r>
      <w:r>
        <w:rPr>
          <w:rFonts w:hint="eastAsia"/>
          <w:lang w:val="en-US" w:eastAsia="zh-CN"/>
        </w:rPr>
        <w:t>5m</w:t>
      </w:r>
      <w:r>
        <w:rPr>
          <w:rFonts w:hint="default"/>
        </w:rPr>
        <w:t>～</w:t>
      </w:r>
      <w:r>
        <w:rPr>
          <w:rFonts w:hint="default"/>
          <w:lang w:val="en-US" w:eastAsia="zh-CN"/>
        </w:rPr>
        <w:t>16</w:t>
      </w:r>
      <w:r>
        <w:rPr>
          <w:rFonts w:hint="eastAsia"/>
          <w:lang w:val="en-US" w:eastAsia="zh-CN"/>
        </w:rPr>
        <w:t>89</w:t>
      </w:r>
      <w:r>
        <w:rPr>
          <w:rFonts w:hint="default"/>
        </w:rPr>
        <w:t>m</w:t>
      </w:r>
      <w:r>
        <w:rPr>
          <w:rFonts w:hint="default"/>
          <w:lang w:val="en-US" w:eastAsia="zh-CN"/>
        </w:rPr>
        <w:t>台阶</w:t>
      </w:r>
      <w:r>
        <w:rPr>
          <w:rFonts w:hint="default"/>
          <w:lang w:eastAsia="zh-CN"/>
        </w:rPr>
        <w:t>，</w:t>
      </w:r>
      <w:r>
        <w:rPr>
          <w:rFonts w:hint="default"/>
          <w:lang w:val="en-US" w:eastAsia="zh-CN"/>
        </w:rPr>
        <w:t>台阶高</w:t>
      </w:r>
      <w:r>
        <w:rPr>
          <w:rFonts w:hint="eastAsia"/>
          <w:lang w:val="en-US" w:eastAsia="zh-CN"/>
        </w:rPr>
        <w:t>16</w:t>
      </w:r>
      <w:r>
        <w:rPr>
          <w:rFonts w:hint="default"/>
          <w:lang w:val="en-US" w:eastAsia="zh-CN"/>
        </w:rPr>
        <w:t>m</w:t>
      </w:r>
      <w:r>
        <w:rPr>
          <w:rFonts w:hint="eastAsia"/>
          <w:lang w:val="en-US" w:eastAsia="zh-CN"/>
        </w:rPr>
        <w:t>，</w:t>
      </w:r>
      <w:r>
        <w:rPr>
          <w:rFonts w:hint="default"/>
          <w:lang w:val="en-US" w:eastAsia="zh-CN"/>
        </w:rPr>
        <w:t>安全平台宽2.5</w:t>
      </w:r>
      <w:r>
        <w:rPr>
          <w:rFonts w:hint="eastAsia"/>
          <w:lang w:val="en-US" w:eastAsia="zh-CN"/>
        </w:rPr>
        <w:t>m</w:t>
      </w:r>
      <w:r>
        <w:rPr>
          <w:rFonts w:hint="default"/>
        </w:rPr>
        <w:t>～</w:t>
      </w:r>
      <w:r>
        <w:rPr>
          <w:rFonts w:hint="default"/>
          <w:lang w:val="en-US" w:eastAsia="zh-CN"/>
        </w:rPr>
        <w:t>4m</w:t>
      </w:r>
      <w:r>
        <w:rPr>
          <w:rFonts w:hint="eastAsia"/>
          <w:lang w:val="en-US" w:eastAsia="zh-CN"/>
        </w:rPr>
        <w:t>；</w:t>
      </w:r>
      <w:r>
        <w:rPr>
          <w:rFonts w:hint="default"/>
          <w:lang w:val="en-US" w:eastAsia="zh-CN"/>
        </w:rPr>
        <w:t>底部平台</w:t>
      </w:r>
      <w:r>
        <w:rPr>
          <w:rFonts w:hint="default"/>
        </w:rPr>
        <w:t>1</w:t>
      </w:r>
      <w:r>
        <w:rPr>
          <w:rFonts w:hint="default"/>
          <w:lang w:val="en-US" w:eastAsia="zh-CN"/>
        </w:rPr>
        <w:t>6</w:t>
      </w:r>
      <w:r>
        <w:rPr>
          <w:rFonts w:hint="eastAsia"/>
          <w:lang w:val="en-US" w:eastAsia="zh-CN"/>
        </w:rPr>
        <w:t>89m</w:t>
      </w:r>
      <w:r>
        <w:rPr>
          <w:rFonts w:hint="default"/>
        </w:rPr>
        <w:t>～</w:t>
      </w:r>
      <w:r>
        <w:rPr>
          <w:rFonts w:hint="default"/>
          <w:lang w:val="en-US" w:eastAsia="zh-CN"/>
        </w:rPr>
        <w:t>16</w:t>
      </w:r>
      <w:r>
        <w:rPr>
          <w:rFonts w:hint="eastAsia"/>
          <w:lang w:val="en-US" w:eastAsia="zh-CN"/>
        </w:rPr>
        <w:t>45</w:t>
      </w:r>
      <w:r>
        <w:rPr>
          <w:rFonts w:hint="default"/>
        </w:rPr>
        <w:t>m</w:t>
      </w:r>
      <w:r>
        <w:rPr>
          <w:rFonts w:hint="default"/>
          <w:lang w:eastAsia="zh-CN"/>
        </w:rPr>
        <w:t>，</w:t>
      </w:r>
      <w:r>
        <w:rPr>
          <w:rFonts w:hint="default"/>
          <w:lang w:val="en-US" w:eastAsia="zh-CN"/>
        </w:rPr>
        <w:t>台阶高4</w:t>
      </w:r>
      <w:r>
        <w:rPr>
          <w:rFonts w:hint="eastAsia"/>
          <w:lang w:val="en-US" w:eastAsia="zh-CN"/>
        </w:rPr>
        <w:t>4</w:t>
      </w:r>
      <w:r>
        <w:rPr>
          <w:rFonts w:hint="default"/>
          <w:lang w:val="en-US" w:eastAsia="zh-CN"/>
        </w:rPr>
        <w:t>m；形成高陡边坡，容易发生落石、滑坡等伤害，在16</w:t>
      </w:r>
      <w:r>
        <w:rPr>
          <w:rFonts w:hint="eastAsia"/>
          <w:lang w:val="en-US" w:eastAsia="zh-CN"/>
        </w:rPr>
        <w:t>45</w:t>
      </w:r>
      <w:r>
        <w:rPr>
          <w:rFonts w:hint="default"/>
          <w:lang w:val="en-US" w:eastAsia="zh-CN"/>
        </w:rPr>
        <w:t>m标高形成了面积：0.0480km</w:t>
      </w:r>
      <w:r>
        <w:rPr>
          <w:rFonts w:hint="default"/>
          <w:vertAlign w:val="superscript"/>
          <w:lang w:val="en-US" w:eastAsia="zh-CN"/>
        </w:rPr>
        <w:t>2</w:t>
      </w:r>
      <w:r>
        <w:rPr>
          <w:rFonts w:hint="default"/>
          <w:lang w:val="en-US" w:eastAsia="zh-CN"/>
        </w:rPr>
        <w:t>的采坑</w:t>
      </w:r>
      <w:r>
        <w:rPr>
          <w:rFonts w:hint="default"/>
          <w:lang w:val="zh-TW" w:eastAsia="zh-TW"/>
        </w:rPr>
        <w:t>。</w:t>
      </w:r>
      <w:r>
        <w:rPr>
          <w:rFonts w:hint="default"/>
          <w:lang w:val="en-US" w:eastAsia="zh-CN"/>
        </w:rPr>
        <w:t>建议企业</w:t>
      </w:r>
      <w:r>
        <w:rPr>
          <w:rFonts w:hint="eastAsia"/>
          <w:lang w:val="en-US" w:eastAsia="zh-CN"/>
        </w:rPr>
        <w:t>制定</w:t>
      </w:r>
      <w:r>
        <w:rPr>
          <w:rFonts w:hint="default"/>
          <w:lang w:val="en-US" w:eastAsia="zh-CN"/>
        </w:rPr>
        <w:t>边坡及采坑</w:t>
      </w:r>
      <w:r>
        <w:rPr>
          <w:rFonts w:hint="eastAsia"/>
          <w:lang w:val="en-US" w:eastAsia="zh-CN"/>
        </w:rPr>
        <w:t>管理规定，前期用铁丝网和警示旗制成围栏，禁止人员和设备进入采空区。当采矿至1645m平台时，再</w:t>
      </w:r>
      <w:r>
        <w:rPr>
          <w:rFonts w:hint="default"/>
          <w:lang w:val="en-US" w:eastAsia="zh-CN"/>
        </w:rPr>
        <w:t>对高陡边坡</w:t>
      </w:r>
      <w:r>
        <w:rPr>
          <w:rFonts w:hint="eastAsia"/>
          <w:lang w:val="en-US" w:eastAsia="zh-CN"/>
        </w:rPr>
        <w:t>进行处理和安全设施建设，待安全设施建设完成后再进行采矿作业。</w:t>
      </w:r>
    </w:p>
    <w:p w14:paraId="0CB3E5FF">
      <w:pPr>
        <w:bidi w:val="0"/>
        <w:rPr>
          <w:rFonts w:hint="eastAsia"/>
          <w:color w:val="auto"/>
          <w:lang w:val="en-US" w:eastAsia="zh-CN"/>
        </w:rPr>
      </w:pPr>
      <w:r>
        <w:rPr>
          <w:rFonts w:hint="eastAsia"/>
          <w:lang w:val="en-US" w:eastAsia="zh-CN"/>
        </w:rPr>
        <w:t>2、</w:t>
      </w:r>
      <w:r>
        <w:rPr>
          <w:rFonts w:hint="eastAsia"/>
          <w:color w:val="auto"/>
          <w:lang w:val="en-US" w:eastAsia="zh-CN"/>
        </w:rPr>
        <w:t>爆破振动累积会造成对边坡稳定性损伤，构成隐蔽致灾因素。爆破时应严格按照爆破设计参数布孔，控制好炸药用量，采用先进爆破技术，减少对边坡稳定性损伤。</w:t>
      </w:r>
    </w:p>
    <w:p w14:paraId="585681D8">
      <w:pPr>
        <w:bidi w:val="0"/>
        <w:rPr>
          <w:rFonts w:hint="default" w:eastAsia="宋体"/>
          <w:color w:val="auto"/>
          <w:lang w:val="en-US" w:eastAsia="zh-CN"/>
        </w:rPr>
      </w:pPr>
      <w:r>
        <w:rPr>
          <w:rFonts w:hint="eastAsia"/>
          <w:color w:val="auto"/>
          <w:lang w:val="en-US" w:eastAsia="zh-CN"/>
        </w:rPr>
        <w:t>矿山投产后，尽快委托专业技术机构对矿山</w:t>
      </w:r>
      <w:r>
        <w:rPr>
          <w:color w:val="auto"/>
          <w:lang w:val="en-US" w:eastAsia="zh-CN"/>
        </w:rPr>
        <w:t>隐蔽致灾因素</w:t>
      </w:r>
      <w:r>
        <w:rPr>
          <w:rFonts w:hint="eastAsia"/>
          <w:color w:val="auto"/>
          <w:lang w:val="en-US" w:eastAsia="zh-CN"/>
        </w:rPr>
        <w:t>开展普查和评估分析，提出建议和预防措施，保证矿山在生产过程中人员和设备安全。</w:t>
      </w:r>
    </w:p>
    <w:p w14:paraId="1DE093F7">
      <w:pPr>
        <w:pStyle w:val="3"/>
      </w:pPr>
      <w:bookmarkStart w:id="549" w:name="_Toc8408"/>
      <w:bookmarkStart w:id="550" w:name="_Toc26248"/>
      <w:r>
        <w:t>5.3安全验收评价结论</w:t>
      </w:r>
      <w:bookmarkEnd w:id="549"/>
      <w:bookmarkEnd w:id="550"/>
    </w:p>
    <w:p w14:paraId="7BDDA377">
      <w:pPr>
        <w:bidi w:val="0"/>
        <w:rPr>
          <w:rFonts w:hint="eastAsia"/>
          <w:lang w:eastAsia="zh-CN"/>
        </w:rPr>
      </w:pPr>
      <w:r>
        <w:rPr>
          <w:rFonts w:hint="eastAsia"/>
        </w:rPr>
        <w:t>本次评价根据国家已颁布的有关安全生产法律、法规及相关文件精神，本着科学、公正、合法、自主的原则，</w:t>
      </w:r>
      <w:r>
        <w:rPr>
          <w:rFonts w:hint="eastAsia"/>
          <w:lang w:val="en-US" w:eastAsia="zh-CN"/>
        </w:rPr>
        <w:t>对</w:t>
      </w:r>
      <w:r>
        <w:rPr>
          <w:rFonts w:hint="eastAsia"/>
          <w:color w:val="auto"/>
          <w:szCs w:val="28"/>
          <w:lang w:val="zh-TW" w:eastAsia="zh-CN"/>
        </w:rPr>
        <w:t>广南县城硕矿业有限公司</w:t>
      </w:r>
      <w:r>
        <w:rPr>
          <w:rFonts w:hint="eastAsia"/>
          <w:color w:val="auto"/>
          <w:highlight w:val="none"/>
          <w:lang w:eastAsia="zh-CN"/>
        </w:rPr>
        <w:t>广南县麦地大山建筑石料用石灰岩矿</w:t>
      </w:r>
      <w:r>
        <w:rPr>
          <w:rFonts w:hint="eastAsia"/>
          <w:lang w:val="en-US" w:eastAsia="zh-CN"/>
        </w:rPr>
        <w:t>5</w:t>
      </w:r>
      <w:r>
        <w:t>0万t/a露天采矿工程</w:t>
      </w:r>
      <w:r>
        <w:rPr>
          <w:rFonts w:hint="eastAsia"/>
          <w:lang w:val="en-US" w:eastAsia="zh-CN"/>
        </w:rPr>
        <w:t>项目的</w:t>
      </w:r>
      <w:r>
        <w:rPr>
          <w:rFonts w:hint="eastAsia"/>
        </w:rPr>
        <w:t>安全管理的适宜性及生产场所、设施等是否符合国家相关法律法规与标准的要求进行安全验收评价，得出如下结论</w:t>
      </w:r>
      <w:r>
        <w:rPr>
          <w:rFonts w:hint="eastAsia"/>
          <w:lang w:eastAsia="zh-CN"/>
        </w:rPr>
        <w:t>：</w:t>
      </w:r>
    </w:p>
    <w:p w14:paraId="284348BD">
      <w:pPr>
        <w:numPr>
          <w:ilvl w:val="0"/>
          <w:numId w:val="0"/>
        </w:numPr>
        <w:bidi w:val="0"/>
        <w:ind w:firstLine="552" w:firstLineChars="200"/>
        <w:rPr>
          <w:rFonts w:hint="eastAsia"/>
        </w:rPr>
      </w:pPr>
      <w:r>
        <w:rPr>
          <w:rFonts w:hint="eastAsia"/>
          <w:lang w:val="en-US" w:eastAsia="zh-CN"/>
        </w:rPr>
        <w:t>1、</w:t>
      </w:r>
      <w:r>
        <w:rPr>
          <w:rFonts w:hint="eastAsia"/>
        </w:rPr>
        <w:t>通过对安全设施</w:t>
      </w:r>
      <w:r>
        <w:rPr>
          <w:rFonts w:hint="eastAsia"/>
          <w:lang w:eastAsia="zh-CN"/>
        </w:rPr>
        <w:t>“</w:t>
      </w:r>
      <w:r>
        <w:rPr>
          <w:rFonts w:hint="eastAsia"/>
        </w:rPr>
        <w:t>三同时</w:t>
      </w:r>
      <w:r>
        <w:rPr>
          <w:rFonts w:hint="eastAsia"/>
          <w:lang w:eastAsia="zh-CN"/>
        </w:rPr>
        <w:t>”</w:t>
      </w:r>
      <w:r>
        <w:rPr>
          <w:rFonts w:hint="eastAsia"/>
        </w:rPr>
        <w:t>程序、露天采场、</w:t>
      </w:r>
      <w:r>
        <w:rPr>
          <w:rFonts w:hint="eastAsia"/>
          <w:lang w:val="en-US" w:eastAsia="zh-CN"/>
        </w:rPr>
        <w:t>采场</w:t>
      </w:r>
      <w:r>
        <w:rPr>
          <w:rFonts w:hint="eastAsia"/>
        </w:rPr>
        <w:t>防排水、</w:t>
      </w:r>
      <w:r>
        <w:rPr>
          <w:rFonts w:hint="eastAsia"/>
          <w:lang w:val="en-US" w:eastAsia="zh-CN"/>
        </w:rPr>
        <w:t>矿岩运输、</w:t>
      </w:r>
      <w:r>
        <w:rPr>
          <w:rFonts w:hint="eastAsia"/>
        </w:rPr>
        <w:t>供配电、总平面布置</w:t>
      </w:r>
      <w:r>
        <w:rPr>
          <w:rFonts w:hint="eastAsia"/>
          <w:lang w:eastAsia="zh-CN"/>
        </w:rPr>
        <w:t>、</w:t>
      </w:r>
      <w:r>
        <w:rPr>
          <w:rFonts w:hint="eastAsia"/>
          <w:lang w:val="en-US" w:eastAsia="zh-CN"/>
        </w:rPr>
        <w:t>破碎系统</w:t>
      </w:r>
      <w:r>
        <w:rPr>
          <w:rFonts w:hint="eastAsia"/>
          <w:lang w:eastAsia="zh-CN"/>
        </w:rPr>
        <w:t>、</w:t>
      </w:r>
      <w:r>
        <w:rPr>
          <w:rFonts w:hint="eastAsia"/>
          <w:lang w:val="en-US" w:eastAsia="zh-CN"/>
        </w:rPr>
        <w:t>通信系统、排土场、</w:t>
      </w:r>
      <w:r>
        <w:rPr>
          <w:rFonts w:hint="eastAsia"/>
        </w:rPr>
        <w:t>个人安全防护</w:t>
      </w:r>
      <w:r>
        <w:rPr>
          <w:rFonts w:hint="eastAsia"/>
          <w:lang w:eastAsia="zh-CN"/>
        </w:rPr>
        <w:t>与</w:t>
      </w:r>
      <w:r>
        <w:rPr>
          <w:rFonts w:hint="eastAsia"/>
          <w:lang w:val="en-US" w:eastAsia="zh-CN"/>
        </w:rPr>
        <w:t>防尘、</w:t>
      </w:r>
      <w:r>
        <w:rPr>
          <w:rFonts w:hint="eastAsia"/>
        </w:rPr>
        <w:t>安全标志</w:t>
      </w:r>
      <w:r>
        <w:rPr>
          <w:rFonts w:hint="eastAsia"/>
          <w:lang w:val="en-US" w:eastAsia="zh-CN"/>
        </w:rPr>
        <w:t>、</w:t>
      </w:r>
      <w:r>
        <w:rPr>
          <w:rFonts w:hint="eastAsia"/>
        </w:rPr>
        <w:t>安全管理</w:t>
      </w:r>
      <w:r>
        <w:rPr>
          <w:rFonts w:hint="eastAsia"/>
          <w:lang w:eastAsia="zh-CN"/>
        </w:rPr>
        <w:t>、</w:t>
      </w:r>
      <w:r>
        <w:rPr>
          <w:rFonts w:hint="eastAsia"/>
        </w:rPr>
        <w:t>重大事故隐患判定</w:t>
      </w:r>
      <w:r>
        <w:rPr>
          <w:rFonts w:hint="eastAsia"/>
          <w:lang w:val="en-US" w:eastAsia="zh-CN"/>
        </w:rPr>
        <w:t>共13个评价单元的检查，13</w:t>
      </w:r>
      <w:r>
        <w:rPr>
          <w:rFonts w:hint="eastAsia"/>
        </w:rPr>
        <w:t>个单元均达到了建设项目竣工验收的标准要求。</w:t>
      </w:r>
    </w:p>
    <w:p w14:paraId="1F362F97">
      <w:pPr>
        <w:numPr>
          <w:ilvl w:val="0"/>
          <w:numId w:val="0"/>
        </w:numPr>
        <w:bidi w:val="0"/>
        <w:ind w:firstLine="552" w:firstLineChars="200"/>
        <w:rPr>
          <w:rFonts w:hint="eastAsia"/>
        </w:rPr>
      </w:pPr>
      <w:r>
        <w:rPr>
          <w:rFonts w:hint="eastAsia"/>
        </w:rPr>
        <w:t>2</w:t>
      </w:r>
      <w:r>
        <w:rPr>
          <w:rFonts w:hint="eastAsia"/>
          <w:lang w:eastAsia="zh-CN"/>
        </w:rPr>
        <w:t>、</w:t>
      </w:r>
      <w:r>
        <w:rPr>
          <w:rFonts w:hint="eastAsia"/>
        </w:rPr>
        <w:t>该矿山安全设施与主体工程同时设计、同时施工、同时投入生产和使用，矿区总平面布置合理，建立了安全管理机构、配备了安全管理人员，建立了</w:t>
      </w:r>
      <w:r>
        <w:rPr>
          <w:rFonts w:hint="eastAsia"/>
          <w:lang w:eastAsia="zh-CN"/>
        </w:rPr>
        <w:t>较为</w:t>
      </w:r>
      <w:r>
        <w:rPr>
          <w:rFonts w:hint="eastAsia"/>
        </w:rPr>
        <w:t>完善的安全管理制度，安全设施按要求建成，现有的安全设施和基础管理能满足安全生产的条件，存在的问题经过整改已得到了改善。</w:t>
      </w:r>
    </w:p>
    <w:p w14:paraId="25D18570">
      <w:pPr>
        <w:numPr>
          <w:ilvl w:val="0"/>
          <w:numId w:val="0"/>
        </w:numPr>
        <w:bidi w:val="0"/>
        <w:ind w:firstLine="552" w:firstLineChars="200"/>
        <w:rPr>
          <w:rFonts w:hint="eastAsia"/>
          <w:lang w:val="en-US" w:eastAsia="zh-CN"/>
        </w:rPr>
      </w:pPr>
      <w:r>
        <w:rPr>
          <w:rFonts w:hint="eastAsia"/>
          <w:lang w:val="en-US" w:eastAsia="zh-CN"/>
        </w:rPr>
        <w:t>3、通过按照</w:t>
      </w:r>
      <w:r>
        <w:rPr>
          <w:rFonts w:hint="eastAsia"/>
        </w:rPr>
        <w:t>《国家矿山安全监察局关于印发&lt;金属非金属矿山重大事故隐患判定标准&gt;的通知》（矿安〔2022〕88号）</w:t>
      </w:r>
      <w:r>
        <w:rPr>
          <w:rFonts w:hint="eastAsia"/>
          <w:lang w:val="en-US" w:eastAsia="zh-CN"/>
        </w:rPr>
        <w:t>和</w:t>
      </w:r>
      <w:r>
        <w:rPr>
          <w:rFonts w:hint="eastAsia"/>
        </w:rPr>
        <w:t>《国家矿山安全监察局关于印发&lt;金属非金属矿山重大事故隐患判定标准补充情形&gt;的通知》（矿安〔2024〕41号）对该矿是否存在重大隐患进行判定，</w:t>
      </w:r>
      <w:r>
        <w:rPr>
          <w:rFonts w:hint="eastAsia"/>
          <w:lang w:val="en-US" w:eastAsia="zh-CN"/>
        </w:rPr>
        <w:t>该矿目前不构成重大事故隐患。</w:t>
      </w:r>
    </w:p>
    <w:p w14:paraId="7AF47CF3">
      <w:pPr>
        <w:bidi w:val="0"/>
        <w:rPr>
          <w:rFonts w:hint="eastAsia" w:ascii="宋体" w:hAnsi="宋体" w:eastAsia="宋体" w:cs="宋体"/>
          <w:b/>
          <w:bCs/>
          <w:color w:val="auto"/>
          <w:szCs w:val="28"/>
          <w:highlight w:val="none"/>
        </w:rPr>
      </w:pPr>
      <w:r>
        <w:rPr>
          <w:rFonts w:hint="eastAsia" w:ascii="宋体" w:hAnsi="宋体" w:eastAsia="宋体" w:cs="宋体"/>
          <w:color w:val="auto"/>
          <w:highlight w:val="none"/>
          <w:lang w:val="en-US" w:eastAsia="zh-CN"/>
        </w:rPr>
        <w:t>本项目验收评价</w:t>
      </w:r>
      <w:r>
        <w:rPr>
          <w:rFonts w:hint="eastAsia" w:ascii="宋体" w:hAnsi="宋体" w:eastAsia="宋体" w:cs="宋体"/>
          <w:color w:val="auto"/>
          <w:highlight w:val="none"/>
        </w:rPr>
        <w:t>结论为</w:t>
      </w:r>
      <w:r>
        <w:rPr>
          <w:rFonts w:hint="eastAsia" w:ascii="宋体" w:hAnsi="宋体" w:eastAsia="宋体" w:cs="宋体"/>
          <w:color w:val="auto"/>
          <w:highlight w:val="none"/>
          <w:lang w:eastAsia="zh-CN"/>
        </w:rPr>
        <w:t>：</w:t>
      </w:r>
      <w:r>
        <w:rPr>
          <w:rFonts w:hint="eastAsia"/>
          <w:b/>
          <w:bCs/>
          <w:color w:val="auto"/>
          <w:szCs w:val="28"/>
          <w:lang w:val="zh-TW" w:eastAsia="zh-CN"/>
        </w:rPr>
        <w:t>广南县城硕矿业有限公司</w:t>
      </w:r>
      <w:r>
        <w:rPr>
          <w:rFonts w:hint="eastAsia"/>
          <w:b/>
          <w:bCs/>
          <w:color w:val="auto"/>
          <w:highlight w:val="none"/>
          <w:lang w:eastAsia="zh-CN"/>
        </w:rPr>
        <w:t>广南县麦地大山建筑石料用石灰岩矿</w:t>
      </w:r>
      <w:r>
        <w:rPr>
          <w:rFonts w:hint="eastAsia"/>
          <w:b/>
          <w:bCs/>
          <w:lang w:val="en-US" w:eastAsia="zh-CN"/>
        </w:rPr>
        <w:t>5</w:t>
      </w:r>
      <w:r>
        <w:rPr>
          <w:b/>
          <w:bCs/>
        </w:rPr>
        <w:t>0万t/a露天采矿工程</w:t>
      </w:r>
      <w:r>
        <w:rPr>
          <w:rFonts w:hint="eastAsia" w:ascii="宋体" w:hAnsi="宋体" w:eastAsia="宋体" w:cs="宋体"/>
          <w:b/>
          <w:bCs/>
          <w:color w:val="auto"/>
          <w:szCs w:val="28"/>
          <w:highlight w:val="none"/>
          <w:lang w:val="en-US" w:eastAsia="zh-CN"/>
        </w:rPr>
        <w:t>项目</w:t>
      </w:r>
      <w:r>
        <w:rPr>
          <w:rFonts w:hint="eastAsia" w:ascii="宋体" w:hAnsi="宋体" w:eastAsia="宋体" w:cs="宋体"/>
          <w:b/>
          <w:bCs/>
          <w:color w:val="auto"/>
          <w:szCs w:val="28"/>
          <w:highlight w:val="none"/>
        </w:rPr>
        <w:t>的安全设施按照</w:t>
      </w:r>
      <w:r>
        <w:rPr>
          <w:rFonts w:hint="eastAsia" w:ascii="宋体" w:hAnsi="宋体" w:eastAsia="宋体" w:cs="宋体"/>
          <w:b/>
          <w:bCs/>
          <w:color w:val="auto"/>
          <w:szCs w:val="28"/>
          <w:highlight w:val="none"/>
          <w:lang w:eastAsia="zh-CN"/>
        </w:rPr>
        <w:t>“</w:t>
      </w:r>
      <w:r>
        <w:rPr>
          <w:rFonts w:hint="eastAsia" w:ascii="宋体" w:hAnsi="宋体" w:eastAsia="宋体" w:cs="宋体"/>
          <w:b/>
          <w:bCs/>
          <w:color w:val="auto"/>
          <w:szCs w:val="28"/>
          <w:highlight w:val="none"/>
        </w:rPr>
        <w:t>三同时</w:t>
      </w:r>
      <w:r>
        <w:rPr>
          <w:rFonts w:hint="eastAsia" w:ascii="宋体" w:hAnsi="宋体" w:eastAsia="宋体" w:cs="宋体"/>
          <w:b/>
          <w:bCs/>
          <w:color w:val="auto"/>
          <w:szCs w:val="28"/>
          <w:highlight w:val="none"/>
          <w:lang w:eastAsia="zh-CN"/>
        </w:rPr>
        <w:t>”</w:t>
      </w:r>
      <w:r>
        <w:rPr>
          <w:rFonts w:hint="eastAsia" w:ascii="宋体" w:hAnsi="宋体" w:eastAsia="宋体" w:cs="宋体"/>
          <w:b/>
          <w:bCs/>
          <w:color w:val="auto"/>
          <w:szCs w:val="28"/>
          <w:highlight w:val="none"/>
        </w:rPr>
        <w:t>的要求进行建设，安全管理、安全设施质量能够满足安全生产要求，露天开采建设项目</w:t>
      </w:r>
      <w:r>
        <w:rPr>
          <w:rFonts w:hint="eastAsia" w:ascii="宋体" w:hAnsi="宋体" w:eastAsia="宋体" w:cs="宋体"/>
          <w:b/>
          <w:bCs/>
          <w:color w:val="auto"/>
          <w:szCs w:val="28"/>
          <w:highlight w:val="none"/>
          <w:lang w:val="en-US" w:eastAsia="zh-CN"/>
        </w:rPr>
        <w:t>符合安全设施设计，</w:t>
      </w:r>
      <w:r>
        <w:rPr>
          <w:rFonts w:hint="eastAsia" w:ascii="宋体" w:hAnsi="宋体" w:eastAsia="宋体" w:cs="宋体"/>
          <w:b/>
          <w:bCs/>
          <w:color w:val="auto"/>
          <w:szCs w:val="28"/>
          <w:highlight w:val="none"/>
        </w:rPr>
        <w:t>具备了露天开采项目安全</w:t>
      </w:r>
      <w:r>
        <w:rPr>
          <w:rFonts w:hint="eastAsia" w:ascii="宋体" w:hAnsi="宋体" w:eastAsia="宋体" w:cs="宋体"/>
          <w:b/>
          <w:bCs/>
          <w:color w:val="auto"/>
          <w:szCs w:val="28"/>
          <w:highlight w:val="none"/>
          <w:lang w:val="en-US" w:eastAsia="zh-CN"/>
        </w:rPr>
        <w:t>设施</w:t>
      </w:r>
      <w:r>
        <w:rPr>
          <w:rFonts w:hint="eastAsia" w:ascii="宋体" w:hAnsi="宋体" w:eastAsia="宋体" w:cs="宋体"/>
          <w:b/>
          <w:bCs/>
          <w:color w:val="auto"/>
          <w:szCs w:val="28"/>
          <w:highlight w:val="none"/>
        </w:rPr>
        <w:t>验收条件。</w:t>
      </w:r>
    </w:p>
    <w:p w14:paraId="274BABE0">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ascii="宋体" w:hAnsi="宋体" w:eastAsia="宋体" w:cs="宋体"/>
          <w:color w:val="auto"/>
          <w:szCs w:val="28"/>
          <w:highlight w:val="none"/>
          <w:lang w:eastAsia="zh-CN"/>
        </w:rPr>
      </w:pPr>
      <w:r>
        <w:rPr>
          <w:rFonts w:hint="eastAsia" w:ascii="宋体" w:hAnsi="宋体" w:eastAsia="宋体" w:cs="宋体"/>
          <w:color w:val="auto"/>
          <w:szCs w:val="28"/>
          <w:highlight w:val="none"/>
        </w:rPr>
        <w:t>建议</w:t>
      </w:r>
      <w:r>
        <w:rPr>
          <w:rFonts w:hint="eastAsia" w:ascii="宋体" w:hAnsi="宋体" w:eastAsia="宋体" w:cs="宋体"/>
          <w:color w:val="auto"/>
          <w:szCs w:val="28"/>
          <w:highlight w:val="none"/>
          <w:lang w:eastAsia="zh-CN"/>
        </w:rPr>
        <w:t>：</w:t>
      </w:r>
    </w:p>
    <w:p w14:paraId="2DDA8797">
      <w:pPr>
        <w:bidi w:val="0"/>
        <w:rPr>
          <w:rFonts w:hint="eastAsia"/>
        </w:rPr>
      </w:pPr>
      <w:r>
        <w:rPr>
          <w:rFonts w:hint="eastAsia" w:ascii="宋体" w:hAnsi="宋体" w:eastAsia="宋体" w:cs="宋体"/>
          <w:color w:val="auto"/>
          <w:szCs w:val="28"/>
          <w:highlight w:val="none"/>
          <w:lang w:val="en-US" w:eastAsia="zh-CN"/>
        </w:rPr>
        <w:t>1、矿山</w:t>
      </w:r>
      <w:r>
        <w:rPr>
          <w:rFonts w:hint="eastAsia" w:ascii="宋体" w:hAnsi="宋体" w:eastAsia="宋体" w:cs="宋体"/>
          <w:color w:val="auto"/>
          <w:szCs w:val="28"/>
          <w:highlight w:val="none"/>
        </w:rPr>
        <w:t>应进一步加强安全管理和安全投入，落实本报告中提出的安全管理和安全技术方面的对策措施，提高安全生产管理人员和职工的技术、技能和安全意识，进一步提高本质安全度，</w:t>
      </w:r>
      <w:r>
        <w:rPr>
          <w:rFonts w:hint="eastAsia"/>
          <w:lang w:val="en-US" w:eastAsia="zh-CN"/>
        </w:rPr>
        <w:t>定期</w:t>
      </w:r>
      <w:r>
        <w:rPr>
          <w:rFonts w:hint="eastAsia" w:ascii="宋体" w:hAnsi="宋体" w:cs="宋体"/>
          <w:color w:val="auto"/>
          <w:szCs w:val="28"/>
          <w:highlight w:val="none"/>
          <w:lang w:eastAsia="zh-CN"/>
        </w:rPr>
        <w:t>对</w:t>
      </w:r>
      <w:r>
        <w:rPr>
          <w:rFonts w:hint="eastAsia" w:ascii="宋体" w:hAnsi="宋体" w:cs="宋体"/>
          <w:color w:val="auto"/>
          <w:highlight w:val="none"/>
          <w:lang w:val="en-US" w:eastAsia="zh-CN"/>
        </w:rPr>
        <w:t>构成</w:t>
      </w:r>
      <w:r>
        <w:rPr>
          <w:rFonts w:hint="eastAsia" w:ascii="宋体" w:hAnsi="宋体" w:eastAsia="宋体" w:cs="宋体"/>
          <w:color w:val="auto"/>
          <w:highlight w:val="none"/>
          <w:lang w:val="en-US" w:eastAsia="zh-CN"/>
        </w:rPr>
        <w:t>重大事故隐患的因素和</w:t>
      </w:r>
      <w:r>
        <w:rPr>
          <w:lang w:val="en-US" w:eastAsia="zh-CN"/>
        </w:rPr>
        <w:t>隐蔽致灾因素</w:t>
      </w:r>
      <w:r>
        <w:rPr>
          <w:rFonts w:hint="eastAsia"/>
          <w:lang w:val="en-US" w:eastAsia="zh-CN"/>
        </w:rPr>
        <w:t>监测和评估，加强安全防范，</w:t>
      </w:r>
      <w:r>
        <w:rPr>
          <w:rFonts w:hint="eastAsia" w:ascii="宋体" w:hAnsi="宋体" w:eastAsia="宋体" w:cs="宋体"/>
          <w:color w:val="auto"/>
          <w:szCs w:val="28"/>
          <w:highlight w:val="none"/>
        </w:rPr>
        <w:t>达到安全生产的目的。</w:t>
      </w:r>
    </w:p>
    <w:bookmarkEnd w:id="521"/>
    <w:bookmarkEnd w:id="522"/>
    <w:bookmarkEnd w:id="523"/>
    <w:bookmarkEnd w:id="524"/>
    <w:bookmarkEnd w:id="525"/>
    <w:bookmarkEnd w:id="526"/>
    <w:p w14:paraId="36BA844E">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hint="eastAsia"/>
          <w:lang w:val="en-US" w:eastAsia="zh-CN"/>
        </w:rPr>
      </w:pPr>
      <w:r>
        <w:rPr>
          <w:rFonts w:hint="eastAsia" w:ascii="Times New Roman" w:hAnsi="Times New Roman" w:cs="宋体"/>
          <w:color w:val="auto"/>
          <w:szCs w:val="28"/>
          <w:highlight w:val="none"/>
          <w:lang w:val="en-US" w:eastAsia="zh-CN"/>
        </w:rPr>
        <w:t>2</w:t>
      </w:r>
      <w:r>
        <w:rPr>
          <w:rFonts w:hint="eastAsia" w:ascii="宋体" w:hAnsi="宋体" w:eastAsia="宋体" w:cs="宋体"/>
          <w:color w:val="auto"/>
          <w:szCs w:val="28"/>
          <w:highlight w:val="none"/>
          <w:lang w:val="en-US" w:eastAsia="zh-CN"/>
        </w:rPr>
        <w:t>、</w:t>
      </w:r>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r>
        <w:rPr>
          <w:rFonts w:hint="eastAsia"/>
          <w:lang w:val="en-US" w:eastAsia="zh-CN"/>
        </w:rPr>
        <w:t>按照管理要求，2026年底前，配备1名注册安全工程师为矿山服务，按要求的学历和专业配备“五职矿长”和“五科人员”。</w:t>
      </w:r>
    </w:p>
    <w:p w14:paraId="7F697665">
      <w:pPr>
        <w:keepNext w:val="0"/>
        <w:keepLines w:val="0"/>
        <w:pageBreakBefore w:val="0"/>
        <w:widowControl w:val="0"/>
        <w:kinsoku/>
        <w:wordWrap/>
        <w:overflowPunct/>
        <w:topLinePunct w:val="0"/>
        <w:autoSpaceDE/>
        <w:autoSpaceDN/>
        <w:bidi w:val="0"/>
        <w:adjustRightInd/>
        <w:snapToGrid w:val="0"/>
        <w:spacing w:beforeAutospacing="0" w:afterAutospacing="0" w:line="360" w:lineRule="auto"/>
        <w:ind w:firstLine="560"/>
        <w:textAlignment w:val="auto"/>
        <w:rPr>
          <w:rFonts w:ascii="Times New Roman" w:hAnsi="Times New Roman"/>
          <w:bCs/>
          <w:color w:val="000000" w:themeColor="text1"/>
          <w:sz w:val="32"/>
          <w:szCs w:val="32"/>
          <w14:textFill>
            <w14:solidFill>
              <w14:schemeClr w14:val="tx1"/>
            </w14:solidFill>
          </w14:textFill>
        </w:rPr>
      </w:pPr>
      <w:r>
        <w:rPr>
          <w:rFonts w:hint="eastAsia"/>
          <w:lang w:val="en-US" w:eastAsia="zh-CN"/>
        </w:rPr>
        <w:t>3、尽快完成矿山隐蔽致灾因素普查和评估。</w:t>
      </w:r>
      <w:r>
        <w:rPr>
          <w:rFonts w:ascii="Times New Roman" w:hAnsi="Times New Roman"/>
          <w:bCs/>
          <w:color w:val="000000" w:themeColor="text1"/>
          <w:sz w:val="32"/>
          <w:szCs w:val="32"/>
          <w14:textFill>
            <w14:solidFill>
              <w14:schemeClr w14:val="tx1"/>
            </w14:solidFill>
          </w14:textFill>
        </w:rPr>
        <w:br w:type="page"/>
      </w:r>
    </w:p>
    <w:p w14:paraId="379618B5">
      <w:pPr>
        <w:keepNext/>
        <w:keepLines/>
        <w:pageBreakBefore w:val="0"/>
        <w:widowControl w:val="0"/>
        <w:kinsoku/>
        <w:wordWrap/>
        <w:overflowPunct/>
        <w:topLinePunct w:val="0"/>
        <w:autoSpaceDE/>
        <w:autoSpaceDN/>
        <w:bidi w:val="0"/>
        <w:adjustRightInd w:val="0"/>
        <w:snapToGrid w:val="0"/>
        <w:textAlignment w:val="auto"/>
        <w:outlineLvl w:val="9"/>
        <w:rPr>
          <w:rFonts w:hint="eastAsia"/>
          <w:snapToGrid w:val="0"/>
          <w:color w:val="000000" w:themeColor="text1"/>
          <w:lang w:val="en-US" w:eastAsia="zh-CN"/>
          <w14:textFill>
            <w14:solidFill>
              <w14:schemeClr w14:val="tx1"/>
            </w14:solidFill>
          </w14:textFill>
        </w:rPr>
      </w:pPr>
      <w:bookmarkStart w:id="551" w:name="_Toc313096771"/>
      <w:bookmarkStart w:id="552" w:name="_Toc313096618"/>
      <w:bookmarkStart w:id="553" w:name="_Toc501120358"/>
      <w:bookmarkStart w:id="554" w:name="_Toc214284083"/>
      <w:bookmarkStart w:id="555" w:name="_Toc503469873"/>
      <w:bookmarkStart w:id="556" w:name="_Toc329899608"/>
      <w:bookmarkStart w:id="557" w:name="_Toc30488"/>
      <w:bookmarkStart w:id="558" w:name="_Toc15213"/>
      <w:bookmarkStart w:id="559" w:name="_Toc6919"/>
    </w:p>
    <w:p w14:paraId="0BF00894">
      <w:pPr>
        <w:pStyle w:val="2"/>
        <w:rPr>
          <w:rFonts w:hint="eastAsia"/>
          <w:snapToGrid w:val="0"/>
          <w:color w:val="000000" w:themeColor="text1"/>
          <w:lang w:val="en-US" w:eastAsia="zh-CN"/>
          <w14:textFill>
            <w14:solidFill>
              <w14:schemeClr w14:val="tx1"/>
            </w14:solidFill>
          </w14:textFill>
        </w:rPr>
      </w:pPr>
      <w:bookmarkStart w:id="560" w:name="_Toc14295"/>
      <w:r>
        <w:rPr>
          <w:rFonts w:hint="eastAsia"/>
          <w:snapToGrid w:val="0"/>
          <w:color w:val="000000" w:themeColor="text1"/>
          <w:lang w:val="en-US" w:eastAsia="zh-CN"/>
          <w14:textFill>
            <w14:solidFill>
              <w14:schemeClr w14:val="tx1"/>
            </w14:solidFill>
          </w14:textFill>
        </w:rPr>
        <w:t>6</w:t>
      </w:r>
      <w:r>
        <w:rPr>
          <w:snapToGrid w:val="0"/>
          <w:color w:val="000000" w:themeColor="text1"/>
          <w14:textFill>
            <w14:solidFill>
              <w14:schemeClr w14:val="tx1"/>
            </w14:solidFill>
          </w14:textFill>
        </w:rPr>
        <w:t>附</w:t>
      </w:r>
      <w:bookmarkEnd w:id="551"/>
      <w:bookmarkEnd w:id="552"/>
      <w:r>
        <w:rPr>
          <w:snapToGrid w:val="0"/>
          <w:color w:val="000000" w:themeColor="text1"/>
          <w14:textFill>
            <w14:solidFill>
              <w14:schemeClr w14:val="tx1"/>
            </w14:solidFill>
          </w14:textFill>
        </w:rPr>
        <w:t>件</w:t>
      </w:r>
      <w:bookmarkEnd w:id="553"/>
      <w:bookmarkEnd w:id="554"/>
      <w:bookmarkEnd w:id="555"/>
      <w:bookmarkEnd w:id="556"/>
      <w:bookmarkEnd w:id="557"/>
      <w:r>
        <w:rPr>
          <w:rFonts w:hint="eastAsia"/>
          <w:snapToGrid w:val="0"/>
          <w:color w:val="000000" w:themeColor="text1"/>
          <w:lang w:val="en-US" w:eastAsia="zh-CN"/>
          <w14:textFill>
            <w14:solidFill>
              <w14:schemeClr w14:val="tx1"/>
            </w14:solidFill>
          </w14:textFill>
        </w:rPr>
        <w:t>、附图</w:t>
      </w:r>
      <w:bookmarkEnd w:id="558"/>
      <w:bookmarkEnd w:id="559"/>
      <w:bookmarkEnd w:id="560"/>
    </w:p>
    <w:p w14:paraId="3681CA8A">
      <w:pPr>
        <w:pStyle w:val="3"/>
        <w:bidi w:val="0"/>
        <w:rPr>
          <w:rFonts w:hint="default"/>
          <w:lang w:val="en-US" w:eastAsia="zh-CN"/>
        </w:rPr>
      </w:pPr>
      <w:bookmarkStart w:id="561" w:name="_Toc23917"/>
      <w:bookmarkStart w:id="562" w:name="_Toc29529"/>
      <w:bookmarkStart w:id="563" w:name="_Toc9571"/>
      <w:r>
        <w:rPr>
          <w:rFonts w:hint="eastAsia"/>
          <w:lang w:val="en-US" w:eastAsia="zh-CN"/>
        </w:rPr>
        <w:t>6.1附件</w:t>
      </w:r>
      <w:bookmarkEnd w:id="561"/>
      <w:bookmarkEnd w:id="562"/>
      <w:bookmarkEnd w:id="563"/>
    </w:p>
    <w:p w14:paraId="0D8FC152">
      <w:pPr>
        <w:bidi w:val="0"/>
        <w:rPr>
          <w:rFonts w:hint="eastAsia"/>
          <w:lang w:val="en-US" w:eastAsia="zh-CN"/>
        </w:rPr>
      </w:pPr>
      <w:r>
        <w:rPr>
          <w:rFonts w:hint="eastAsia"/>
          <w:lang w:val="en-US" w:eastAsia="zh-CN"/>
        </w:rPr>
        <w:t>1、营业执照</w:t>
      </w:r>
    </w:p>
    <w:p w14:paraId="7326BEA0">
      <w:pPr>
        <w:bidi w:val="0"/>
        <w:rPr>
          <w:rFonts w:hint="eastAsia"/>
          <w:lang w:val="en-US" w:eastAsia="zh-CN"/>
        </w:rPr>
      </w:pPr>
      <w:r>
        <w:rPr>
          <w:rFonts w:hint="eastAsia"/>
          <w:lang w:val="en-US" w:eastAsia="zh-CN"/>
        </w:rPr>
        <w:t>2、采矿许可证(正、副本)</w:t>
      </w:r>
    </w:p>
    <w:p w14:paraId="0BB6CEAA">
      <w:pPr>
        <w:bidi w:val="0"/>
        <w:rPr>
          <w:rFonts w:hint="eastAsia"/>
          <w:lang w:val="en-US" w:eastAsia="zh-CN"/>
        </w:rPr>
      </w:pPr>
      <w:r>
        <w:rPr>
          <w:rFonts w:hint="eastAsia"/>
          <w:lang w:val="en-US" w:eastAsia="zh-CN"/>
        </w:rPr>
        <w:t>3、投资备案证</w:t>
      </w:r>
    </w:p>
    <w:p w14:paraId="0C6F5066">
      <w:pPr>
        <w:bidi w:val="0"/>
        <w:rPr>
          <w:rFonts w:hint="eastAsia"/>
          <w:lang w:val="en-US" w:eastAsia="zh-CN"/>
        </w:rPr>
      </w:pPr>
      <w:r>
        <w:rPr>
          <w:rFonts w:hint="eastAsia"/>
          <w:lang w:val="en-US" w:eastAsia="zh-CN"/>
        </w:rPr>
        <w:t>4、安全生产许可证</w:t>
      </w:r>
    </w:p>
    <w:p w14:paraId="7ACFFB86">
      <w:pPr>
        <w:bidi w:val="0"/>
        <w:rPr>
          <w:rFonts w:hint="eastAsia"/>
          <w:lang w:val="en-US" w:eastAsia="zh-CN"/>
        </w:rPr>
      </w:pPr>
      <w:r>
        <w:rPr>
          <w:rFonts w:hint="eastAsia"/>
          <w:lang w:val="en-US" w:eastAsia="zh-CN"/>
        </w:rPr>
        <w:t>5、储量评审备案证明及评审意见书</w:t>
      </w:r>
    </w:p>
    <w:p w14:paraId="4E2C6AE8">
      <w:pPr>
        <w:bidi w:val="0"/>
        <w:rPr>
          <w:rFonts w:hint="eastAsia"/>
          <w:lang w:val="en-US" w:eastAsia="zh-CN"/>
        </w:rPr>
      </w:pPr>
      <w:r>
        <w:rPr>
          <w:rFonts w:hint="eastAsia"/>
          <w:lang w:val="en-US" w:eastAsia="zh-CN"/>
        </w:rPr>
        <w:t>6、《安全预评价报告》封面、扉页、资质</w:t>
      </w:r>
    </w:p>
    <w:p w14:paraId="69B555E2">
      <w:pPr>
        <w:bidi w:val="0"/>
        <w:rPr>
          <w:rFonts w:hint="eastAsia"/>
          <w:lang w:val="en-US" w:eastAsia="zh-CN"/>
        </w:rPr>
      </w:pPr>
      <w:r>
        <w:rPr>
          <w:rFonts w:hint="eastAsia"/>
          <w:lang w:val="en-US" w:eastAsia="zh-CN"/>
        </w:rPr>
        <w:t>7、《初步设计》封面、扉页、资质</w:t>
      </w:r>
    </w:p>
    <w:p w14:paraId="56E2B1BD">
      <w:pPr>
        <w:bidi w:val="0"/>
        <w:rPr>
          <w:rFonts w:hint="eastAsia"/>
          <w:lang w:val="en-US" w:eastAsia="zh-CN"/>
        </w:rPr>
      </w:pPr>
      <w:r>
        <w:rPr>
          <w:rFonts w:hint="eastAsia"/>
          <w:lang w:val="en-US" w:eastAsia="zh-CN"/>
        </w:rPr>
        <w:t>8、《安全设施设计》封面、扉页、资质</w:t>
      </w:r>
    </w:p>
    <w:p w14:paraId="0EEA66DC">
      <w:pPr>
        <w:bidi w:val="0"/>
        <w:rPr>
          <w:rFonts w:hint="eastAsia"/>
          <w:lang w:val="en-US" w:eastAsia="zh-CN"/>
        </w:rPr>
      </w:pPr>
      <w:r>
        <w:rPr>
          <w:rFonts w:hint="eastAsia"/>
          <w:lang w:val="en-US" w:eastAsia="zh-CN"/>
        </w:rPr>
        <w:t>9、安全设施设计审批书封面及批复页</w:t>
      </w:r>
    </w:p>
    <w:p w14:paraId="4E87D995">
      <w:pPr>
        <w:bidi w:val="0"/>
        <w:rPr>
          <w:rFonts w:hint="eastAsia"/>
          <w:lang w:val="en-US" w:eastAsia="zh-CN"/>
        </w:rPr>
      </w:pPr>
      <w:r>
        <w:rPr>
          <w:rFonts w:hint="eastAsia"/>
          <w:lang w:val="en-US" w:eastAsia="zh-CN"/>
        </w:rPr>
        <w:t>10、成立安全管理机构及任命安全管理人员的文件</w:t>
      </w:r>
    </w:p>
    <w:p w14:paraId="5005D3A9">
      <w:pPr>
        <w:bidi w:val="0"/>
        <w:rPr>
          <w:rFonts w:hint="eastAsia"/>
          <w:lang w:val="en-US" w:eastAsia="zh-CN"/>
        </w:rPr>
      </w:pPr>
      <w:r>
        <w:rPr>
          <w:rFonts w:hint="eastAsia"/>
          <w:lang w:val="en-US" w:eastAsia="zh-CN"/>
        </w:rPr>
        <w:t>11、主要负责人、安全管理人员合格证书</w:t>
      </w:r>
    </w:p>
    <w:p w14:paraId="4BBFBC23">
      <w:pPr>
        <w:bidi w:val="0"/>
        <w:rPr>
          <w:rFonts w:hint="eastAsia"/>
          <w:lang w:val="en-US" w:eastAsia="zh-CN"/>
        </w:rPr>
      </w:pPr>
      <w:r>
        <w:rPr>
          <w:rFonts w:hint="eastAsia"/>
          <w:lang w:val="en-US" w:eastAsia="zh-CN"/>
        </w:rPr>
        <w:t>12、特种作业人员证书</w:t>
      </w:r>
    </w:p>
    <w:p w14:paraId="5FFCA525">
      <w:pPr>
        <w:bidi w:val="0"/>
        <w:rPr>
          <w:rFonts w:hint="eastAsia"/>
          <w:lang w:val="en-US" w:eastAsia="zh-CN"/>
        </w:rPr>
      </w:pPr>
      <w:r>
        <w:rPr>
          <w:rFonts w:hint="eastAsia"/>
          <w:lang w:val="en-US" w:eastAsia="zh-CN"/>
        </w:rPr>
        <w:t>13、其他特种设备操作证</w:t>
      </w:r>
    </w:p>
    <w:p w14:paraId="00FC95CB">
      <w:pPr>
        <w:bidi w:val="0"/>
        <w:rPr>
          <w:rFonts w:hint="eastAsia"/>
          <w:lang w:val="en-US" w:eastAsia="zh-CN"/>
        </w:rPr>
      </w:pPr>
      <w:r>
        <w:rPr>
          <w:rFonts w:hint="eastAsia"/>
          <w:lang w:val="en-US" w:eastAsia="zh-CN"/>
        </w:rPr>
        <w:t>14、安全生产责任制、管理制度、操作规程发布文件</w:t>
      </w:r>
    </w:p>
    <w:p w14:paraId="45464FC5">
      <w:pPr>
        <w:bidi w:val="0"/>
        <w:rPr>
          <w:rFonts w:hint="eastAsia"/>
          <w:lang w:val="en-US" w:eastAsia="zh-CN"/>
        </w:rPr>
      </w:pPr>
      <w:r>
        <w:rPr>
          <w:rFonts w:hint="eastAsia"/>
          <w:lang w:val="en-US" w:eastAsia="zh-CN"/>
        </w:rPr>
        <w:t>15、应急预案备案登记表及应急预案演练记录</w:t>
      </w:r>
    </w:p>
    <w:p w14:paraId="6B8B30EA">
      <w:pPr>
        <w:bidi w:val="0"/>
        <w:rPr>
          <w:rFonts w:hint="eastAsia"/>
          <w:lang w:val="en-US" w:eastAsia="zh-CN"/>
        </w:rPr>
      </w:pPr>
      <w:r>
        <w:rPr>
          <w:rFonts w:hint="eastAsia"/>
          <w:lang w:val="en-US" w:eastAsia="zh-CN"/>
        </w:rPr>
        <w:t>16、安全管理费用提取及使用证明</w:t>
      </w:r>
    </w:p>
    <w:p w14:paraId="49E63C2D">
      <w:pPr>
        <w:bidi w:val="0"/>
        <w:rPr>
          <w:rFonts w:hint="eastAsia"/>
          <w:lang w:val="en-US" w:eastAsia="zh-CN"/>
        </w:rPr>
      </w:pPr>
      <w:r>
        <w:rPr>
          <w:rFonts w:hint="eastAsia"/>
          <w:lang w:val="en-US" w:eastAsia="zh-CN"/>
        </w:rPr>
        <w:t>17、安全全教育培训记录</w:t>
      </w:r>
    </w:p>
    <w:p w14:paraId="32FDC00E">
      <w:pPr>
        <w:bidi w:val="0"/>
        <w:rPr>
          <w:rFonts w:hint="eastAsia"/>
          <w:lang w:val="en-US" w:eastAsia="zh-CN"/>
        </w:rPr>
      </w:pPr>
      <w:r>
        <w:rPr>
          <w:rFonts w:hint="eastAsia"/>
          <w:lang w:val="en-US" w:eastAsia="zh-CN"/>
        </w:rPr>
        <w:t>18、安全检查记录</w:t>
      </w:r>
    </w:p>
    <w:p w14:paraId="1AE213C9">
      <w:pPr>
        <w:bidi w:val="0"/>
        <w:rPr>
          <w:rFonts w:hint="eastAsia"/>
          <w:lang w:val="en-US" w:eastAsia="zh-CN"/>
        </w:rPr>
      </w:pPr>
      <w:r>
        <w:rPr>
          <w:rFonts w:hint="eastAsia"/>
          <w:lang w:val="en-US" w:eastAsia="zh-CN"/>
        </w:rPr>
        <w:t>19、边坡检查与边坡监测记录</w:t>
      </w:r>
    </w:p>
    <w:p w14:paraId="34E24E11">
      <w:pPr>
        <w:bidi w:val="0"/>
        <w:rPr>
          <w:rFonts w:hint="eastAsia"/>
          <w:lang w:val="en-US" w:eastAsia="zh-CN"/>
        </w:rPr>
      </w:pPr>
      <w:r>
        <w:rPr>
          <w:rFonts w:hint="eastAsia"/>
          <w:lang w:val="en-US" w:eastAsia="zh-CN"/>
        </w:rPr>
        <w:t>20、工伤保险、安全生产责任险购买证明</w:t>
      </w:r>
    </w:p>
    <w:p w14:paraId="71D1E3FC">
      <w:pPr>
        <w:bidi w:val="0"/>
        <w:rPr>
          <w:rFonts w:hint="eastAsia"/>
          <w:lang w:val="en-US" w:eastAsia="zh-CN"/>
        </w:rPr>
      </w:pPr>
      <w:r>
        <w:rPr>
          <w:rFonts w:hint="eastAsia"/>
          <w:lang w:val="en-US" w:eastAsia="zh-CN"/>
        </w:rPr>
        <w:t>21、个人防护用品采购及发放记录</w:t>
      </w:r>
    </w:p>
    <w:p w14:paraId="208A914A">
      <w:pPr>
        <w:bidi w:val="0"/>
        <w:rPr>
          <w:rFonts w:hint="eastAsia"/>
          <w:lang w:val="en-US" w:eastAsia="zh-CN"/>
        </w:rPr>
      </w:pPr>
      <w:r>
        <w:rPr>
          <w:rFonts w:hint="eastAsia"/>
          <w:lang w:val="en-US" w:eastAsia="zh-CN"/>
        </w:rPr>
        <w:t>22、其他安全管理台帐封面(柴油购买与使用记录、设...</w:t>
      </w:r>
    </w:p>
    <w:p w14:paraId="03C4AA67">
      <w:pPr>
        <w:bidi w:val="0"/>
        <w:rPr>
          <w:rFonts w:hint="eastAsia"/>
          <w:lang w:val="en-US" w:eastAsia="zh-CN"/>
        </w:rPr>
      </w:pPr>
      <w:r>
        <w:rPr>
          <w:rFonts w:hint="eastAsia"/>
          <w:lang w:val="en-US" w:eastAsia="zh-CN"/>
        </w:rPr>
        <w:t>23、成立施工小组文件及施工总结报告封面</w:t>
      </w:r>
    </w:p>
    <w:p w14:paraId="13E51F30">
      <w:pPr>
        <w:bidi w:val="0"/>
        <w:rPr>
          <w:rFonts w:hint="default"/>
          <w:lang w:val="en-US" w:eastAsia="zh-CN"/>
        </w:rPr>
      </w:pPr>
      <w:r>
        <w:rPr>
          <w:rFonts w:hint="eastAsia"/>
          <w:lang w:val="en-US" w:eastAsia="zh-CN"/>
        </w:rPr>
        <w:t>24、监理总结报告封面、靡页</w:t>
      </w:r>
    </w:p>
    <w:p w14:paraId="1B5B2EAB">
      <w:pPr>
        <w:bidi w:val="0"/>
        <w:rPr>
          <w:rFonts w:hint="eastAsia"/>
          <w:lang w:val="en-US" w:eastAsia="zh-CN"/>
        </w:rPr>
      </w:pPr>
      <w:r>
        <w:rPr>
          <w:rFonts w:hint="eastAsia"/>
          <w:lang w:val="en-US" w:eastAsia="zh-CN"/>
        </w:rPr>
        <w:t>25、成立试运行领导小组文件及试运行方案、总结报告...</w:t>
      </w:r>
    </w:p>
    <w:p w14:paraId="06A4CF62">
      <w:pPr>
        <w:bidi w:val="0"/>
        <w:rPr>
          <w:rFonts w:hint="eastAsia"/>
          <w:lang w:val="en-US" w:eastAsia="zh-CN"/>
        </w:rPr>
      </w:pPr>
      <w:r>
        <w:rPr>
          <w:rFonts w:hint="eastAsia"/>
          <w:lang w:val="en-US" w:eastAsia="zh-CN"/>
        </w:rPr>
        <w:t>26、应急救援协议</w:t>
      </w:r>
    </w:p>
    <w:p w14:paraId="187E5C2A">
      <w:pPr>
        <w:bidi w:val="0"/>
        <w:rPr>
          <w:rFonts w:hint="eastAsia"/>
          <w:lang w:val="en-US" w:eastAsia="zh-CN"/>
        </w:rPr>
      </w:pPr>
      <w:r>
        <w:rPr>
          <w:rFonts w:hint="eastAsia"/>
          <w:lang w:val="en-US" w:eastAsia="zh-CN"/>
        </w:rPr>
        <w:t>27、成立应急队伍文件</w:t>
      </w:r>
    </w:p>
    <w:p w14:paraId="339EE8DC">
      <w:pPr>
        <w:bidi w:val="0"/>
        <w:rPr>
          <w:rFonts w:hint="eastAsia"/>
          <w:lang w:val="en-US" w:eastAsia="zh-CN"/>
        </w:rPr>
      </w:pPr>
      <w:r>
        <w:rPr>
          <w:rFonts w:hint="eastAsia"/>
          <w:lang w:val="en-US" w:eastAsia="zh-CN"/>
        </w:rPr>
        <w:t>28、爆破工程服务合同</w:t>
      </w:r>
    </w:p>
    <w:p w14:paraId="56376A32">
      <w:pPr>
        <w:bidi w:val="0"/>
        <w:rPr>
          <w:rFonts w:hint="eastAsia"/>
        </w:rPr>
      </w:pPr>
      <w:r>
        <w:rPr>
          <w:rFonts w:hint="eastAsia"/>
          <w:lang w:val="en-US" w:eastAsia="zh-CN"/>
        </w:rPr>
        <w:t>29、聘用“五职”矿长和“五科”人员的文件</w:t>
      </w:r>
    </w:p>
    <w:p w14:paraId="7AA5736C">
      <w:pPr>
        <w:bidi w:val="0"/>
        <w:rPr>
          <w:rFonts w:hint="eastAsia"/>
          <w:lang w:val="en-US" w:eastAsia="zh-CN"/>
        </w:rPr>
      </w:pPr>
      <w:bookmarkStart w:id="564" w:name="_Toc22111"/>
      <w:bookmarkStart w:id="565" w:name="_Toc19474"/>
      <w:bookmarkStart w:id="566" w:name="_Toc214284084"/>
      <w:r>
        <w:rPr>
          <w:rFonts w:hint="eastAsia"/>
          <w:lang w:val="en-US" w:eastAsia="zh-CN"/>
        </w:rPr>
        <w:t>30、委托书及资料真实性承诺书</w:t>
      </w:r>
    </w:p>
    <w:p w14:paraId="069289C5">
      <w:pPr>
        <w:bidi w:val="0"/>
        <w:rPr>
          <w:rFonts w:hint="eastAsia"/>
          <w:lang w:val="en-US" w:eastAsia="zh-CN"/>
        </w:rPr>
      </w:pPr>
      <w:r>
        <w:rPr>
          <w:rFonts w:hint="eastAsia"/>
          <w:lang w:val="en-US" w:eastAsia="zh-CN"/>
        </w:rPr>
        <w:t>31、评价师现场勘查意见整改回复</w:t>
      </w:r>
    </w:p>
    <w:p w14:paraId="7C8EE4F8">
      <w:pPr>
        <w:bidi w:val="0"/>
        <w:rPr>
          <w:rFonts w:hint="eastAsia"/>
          <w:lang w:val="en-US" w:eastAsia="zh-CN"/>
        </w:rPr>
      </w:pPr>
      <w:r>
        <w:rPr>
          <w:rFonts w:hint="eastAsia"/>
          <w:lang w:val="en-US" w:eastAsia="zh-CN"/>
        </w:rPr>
        <w:t>32、委托书及资料真实性承诺书</w:t>
      </w:r>
    </w:p>
    <w:p w14:paraId="2194220C">
      <w:pPr>
        <w:bidi w:val="0"/>
        <w:rPr>
          <w:rFonts w:hint="eastAsia"/>
          <w:lang w:val="en-US" w:eastAsia="zh-CN"/>
        </w:rPr>
      </w:pPr>
      <w:r>
        <w:rPr>
          <w:rFonts w:hint="eastAsia"/>
          <w:lang w:val="en-US" w:eastAsia="zh-CN"/>
        </w:rPr>
        <w:t>33、安全评价告知书</w:t>
      </w:r>
    </w:p>
    <w:p w14:paraId="64CBEAEC">
      <w:pPr>
        <w:bidi w:val="0"/>
        <w:rPr>
          <w:rFonts w:hint="eastAsia"/>
          <w:lang w:val="en-US" w:eastAsia="zh-CN"/>
        </w:rPr>
      </w:pPr>
      <w:r>
        <w:rPr>
          <w:rFonts w:hint="eastAsia"/>
          <w:lang w:val="en-US" w:eastAsia="zh-CN"/>
        </w:rPr>
        <w:t>34、评价师信息和现场勘查照片</w:t>
      </w:r>
    </w:p>
    <w:p w14:paraId="0AD60014">
      <w:pPr>
        <w:pStyle w:val="3"/>
        <w:bidi w:val="0"/>
      </w:pPr>
      <w:bookmarkStart w:id="567" w:name="_Toc15191"/>
      <w:r>
        <w:rPr>
          <w:rFonts w:hint="eastAsia"/>
          <w:lang w:val="en-US" w:eastAsia="zh-CN"/>
        </w:rPr>
        <w:t>6.2</w:t>
      </w:r>
      <w:r>
        <w:t>附图</w:t>
      </w:r>
      <w:bookmarkEnd w:id="564"/>
      <w:bookmarkEnd w:id="565"/>
      <w:bookmarkEnd w:id="566"/>
      <w:bookmarkEnd w:id="567"/>
    </w:p>
    <w:p w14:paraId="3BA92A84">
      <w:pPr>
        <w:pStyle w:val="74"/>
        <w:numPr>
          <w:ilvl w:val="0"/>
          <w:numId w:val="0"/>
        </w:numPr>
        <w:ind w:left="552" w:leftChars="0"/>
        <w:rPr>
          <w:rFonts w:ascii="Times New Roman" w:hAnsi="Times New Roman"/>
          <w:color w:val="000000" w:themeColor="text1"/>
          <w:szCs w:val="28"/>
          <w14:textFill>
            <w14:solidFill>
              <w14:schemeClr w14:val="tx1"/>
            </w14:solidFill>
          </w14:textFill>
        </w:rPr>
      </w:pPr>
      <w:r>
        <w:rPr>
          <w:rFonts w:hint="eastAsia" w:ascii="Times New Roman" w:hAnsi="Times New Roman"/>
          <w:color w:val="000000" w:themeColor="text1"/>
          <w:szCs w:val="28"/>
          <w:lang w:val="en-US" w:eastAsia="zh-CN"/>
          <w14:textFill>
            <w14:solidFill>
              <w14:schemeClr w14:val="tx1"/>
            </w14:solidFill>
          </w14:textFill>
        </w:rPr>
        <w:t>1、</w:t>
      </w:r>
      <w:r>
        <w:rPr>
          <w:rFonts w:hint="eastAsia" w:ascii="Times New Roman" w:hAnsi="Times New Roman"/>
          <w:color w:val="000000" w:themeColor="text1"/>
          <w:szCs w:val="28"/>
          <w:lang w:eastAsia="zh-CN"/>
          <w14:textFill>
            <w14:solidFill>
              <w14:schemeClr w14:val="tx1"/>
            </w14:solidFill>
          </w14:textFill>
        </w:rPr>
        <w:t>地形地质</w:t>
      </w:r>
      <w:r>
        <w:rPr>
          <w:rFonts w:ascii="Times New Roman" w:hAnsi="Times New Roman"/>
          <w:color w:val="000000" w:themeColor="text1"/>
          <w:szCs w:val="28"/>
          <w14:textFill>
            <w14:solidFill>
              <w14:schemeClr w14:val="tx1"/>
            </w14:solidFill>
          </w14:textFill>
        </w:rPr>
        <w:t>图；</w:t>
      </w:r>
    </w:p>
    <w:p w14:paraId="6C491876">
      <w:pPr>
        <w:pStyle w:val="74"/>
        <w:numPr>
          <w:ilvl w:val="0"/>
          <w:numId w:val="0"/>
        </w:numPr>
        <w:ind w:left="552" w:leftChars="0"/>
        <w:rPr>
          <w:rFonts w:hint="default" w:ascii="Times New Roman" w:hAnsi="Times New Roman"/>
          <w:color w:val="000000" w:themeColor="text1"/>
          <w:szCs w:val="28"/>
          <w:lang w:val="en-US" w:eastAsia="zh-CN"/>
          <w14:textFill>
            <w14:solidFill>
              <w14:schemeClr w14:val="tx1"/>
            </w14:solidFill>
          </w14:textFill>
        </w:rPr>
      </w:pPr>
      <w:r>
        <w:rPr>
          <w:rFonts w:hint="eastAsia" w:ascii="Times New Roman" w:hAnsi="Times New Roman"/>
          <w:color w:val="000000" w:themeColor="text1"/>
          <w:szCs w:val="28"/>
          <w:lang w:val="en-US" w:eastAsia="zh-CN"/>
          <w14:textFill>
            <w14:solidFill>
              <w14:schemeClr w14:val="tx1"/>
            </w14:solidFill>
          </w14:textFill>
        </w:rPr>
        <w:t>2、开采现状图</w:t>
      </w:r>
    </w:p>
    <w:p w14:paraId="5C757A4F">
      <w:pPr>
        <w:pStyle w:val="74"/>
        <w:numPr>
          <w:ilvl w:val="0"/>
          <w:numId w:val="0"/>
        </w:numPr>
        <w:ind w:left="552" w:leftChars="0"/>
        <w:rPr>
          <w:rFonts w:ascii="Times New Roman" w:hAnsi="Times New Roman"/>
          <w:color w:val="000000" w:themeColor="text1"/>
          <w:szCs w:val="28"/>
          <w14:textFill>
            <w14:solidFill>
              <w14:schemeClr w14:val="tx1"/>
            </w14:solidFill>
          </w14:textFill>
        </w:rPr>
      </w:pPr>
      <w:r>
        <w:rPr>
          <w:rFonts w:hint="eastAsia" w:ascii="Times New Roman" w:hAnsi="Times New Roman"/>
          <w:color w:val="000000" w:themeColor="text1"/>
          <w:szCs w:val="28"/>
          <w:lang w:val="en-US" w:eastAsia="zh-CN"/>
          <w14:textFill>
            <w14:solidFill>
              <w14:schemeClr w14:val="tx1"/>
            </w14:solidFill>
          </w14:textFill>
        </w:rPr>
        <w:t>3、</w:t>
      </w:r>
      <w:r>
        <w:rPr>
          <w:rFonts w:hint="eastAsia" w:ascii="Times New Roman" w:hAnsi="Times New Roman"/>
          <w:color w:val="000000" w:themeColor="text1"/>
          <w:szCs w:val="28"/>
          <w:lang w:eastAsia="zh-CN"/>
          <w14:textFill>
            <w14:solidFill>
              <w14:schemeClr w14:val="tx1"/>
            </w14:solidFill>
          </w14:textFill>
        </w:rPr>
        <w:t>总平面布置</w:t>
      </w:r>
      <w:r>
        <w:rPr>
          <w:rFonts w:ascii="Times New Roman" w:hAnsi="Times New Roman"/>
          <w:color w:val="000000" w:themeColor="text1"/>
          <w:szCs w:val="28"/>
          <w14:textFill>
            <w14:solidFill>
              <w14:schemeClr w14:val="tx1"/>
            </w14:solidFill>
          </w14:textFill>
        </w:rPr>
        <w:t>图；</w:t>
      </w:r>
    </w:p>
    <w:p w14:paraId="5A8AC4E8">
      <w:pPr>
        <w:pStyle w:val="74"/>
        <w:numPr>
          <w:ilvl w:val="0"/>
          <w:numId w:val="0"/>
        </w:numPr>
        <w:ind w:left="552" w:leftChars="0"/>
        <w:rPr>
          <w:rFonts w:ascii="Times New Roman" w:hAnsi="Times New Roman"/>
          <w:color w:val="000000" w:themeColor="text1"/>
          <w:szCs w:val="28"/>
          <w14:textFill>
            <w14:solidFill>
              <w14:schemeClr w14:val="tx1"/>
            </w14:solidFill>
          </w14:textFill>
        </w:rPr>
      </w:pPr>
      <w:bookmarkStart w:id="568" w:name="OLE_LINK48"/>
      <w:r>
        <w:rPr>
          <w:rFonts w:hint="eastAsia" w:ascii="Times New Roman" w:hAnsi="Times New Roman"/>
          <w:color w:val="000000" w:themeColor="text1"/>
          <w:szCs w:val="28"/>
          <w:lang w:val="en-US" w:eastAsia="zh-CN"/>
          <w14:textFill>
            <w14:solidFill>
              <w14:schemeClr w14:val="tx1"/>
            </w14:solidFill>
          </w14:textFill>
        </w:rPr>
        <w:t>4、</w:t>
      </w:r>
      <w:r>
        <w:rPr>
          <w:rFonts w:hint="eastAsia" w:ascii="Times New Roman" w:hAnsi="Times New Roman"/>
          <w:color w:val="000000" w:themeColor="text1"/>
          <w:szCs w:val="28"/>
          <w:lang w:eastAsia="zh-CN"/>
          <w14:textFill>
            <w14:solidFill>
              <w14:schemeClr w14:val="tx1"/>
            </w14:solidFill>
          </w14:textFill>
        </w:rPr>
        <w:t>竣工</w:t>
      </w:r>
      <w:r>
        <w:rPr>
          <w:rFonts w:ascii="Times New Roman" w:hAnsi="Times New Roman"/>
          <w:color w:val="000000" w:themeColor="text1"/>
          <w:szCs w:val="28"/>
          <w14:textFill>
            <w14:solidFill>
              <w14:schemeClr w14:val="tx1"/>
            </w14:solidFill>
          </w14:textFill>
        </w:rPr>
        <w:t>平面图；</w:t>
      </w:r>
    </w:p>
    <w:p w14:paraId="5E3AC593">
      <w:pPr>
        <w:pStyle w:val="74"/>
        <w:numPr>
          <w:ilvl w:val="0"/>
          <w:numId w:val="0"/>
        </w:numPr>
        <w:ind w:left="552" w:leftChars="0"/>
        <w:rPr>
          <w:rFonts w:ascii="Times New Roman" w:hAnsi="Times New Roman"/>
          <w:color w:val="000000" w:themeColor="text1"/>
          <w:szCs w:val="28"/>
          <w14:textFill>
            <w14:solidFill>
              <w14:schemeClr w14:val="tx1"/>
            </w14:solidFill>
          </w14:textFill>
        </w:rPr>
      </w:pPr>
      <w:r>
        <w:rPr>
          <w:rFonts w:hint="eastAsia" w:ascii="Times New Roman" w:hAnsi="Times New Roman"/>
          <w:color w:val="000000" w:themeColor="text1"/>
          <w:szCs w:val="28"/>
          <w:lang w:val="en-US" w:eastAsia="zh-CN"/>
          <w14:textFill>
            <w14:solidFill>
              <w14:schemeClr w14:val="tx1"/>
            </w14:solidFill>
          </w14:textFill>
        </w:rPr>
        <w:t>5、开拓运输道路</w:t>
      </w:r>
      <w:r>
        <w:rPr>
          <w:rFonts w:ascii="Times New Roman" w:hAnsi="Times New Roman"/>
          <w:color w:val="000000" w:themeColor="text1"/>
          <w:szCs w:val="28"/>
          <w14:textFill>
            <w14:solidFill>
              <w14:schemeClr w14:val="tx1"/>
            </w14:solidFill>
          </w14:textFill>
        </w:rPr>
        <w:t>图</w:t>
      </w:r>
      <w:bookmarkEnd w:id="568"/>
      <w:r>
        <w:rPr>
          <w:rFonts w:ascii="Times New Roman" w:hAnsi="Times New Roman"/>
          <w:color w:val="000000" w:themeColor="text1"/>
          <w:szCs w:val="28"/>
          <w14:textFill>
            <w14:solidFill>
              <w14:schemeClr w14:val="tx1"/>
            </w14:solidFill>
          </w14:textFill>
        </w:rPr>
        <w:t>；</w:t>
      </w:r>
    </w:p>
    <w:p w14:paraId="22DC4C65">
      <w:pPr>
        <w:pStyle w:val="74"/>
        <w:numPr>
          <w:ilvl w:val="0"/>
          <w:numId w:val="0"/>
        </w:numPr>
        <w:ind w:left="552" w:leftChars="0"/>
        <w:rPr>
          <w:rFonts w:ascii="Times New Roman" w:hAnsi="Times New Roman"/>
          <w:color w:val="000000" w:themeColor="text1"/>
          <w:szCs w:val="28"/>
          <w14:textFill>
            <w14:solidFill>
              <w14:schemeClr w14:val="tx1"/>
            </w14:solidFill>
          </w14:textFill>
        </w:rPr>
      </w:pPr>
      <w:r>
        <w:rPr>
          <w:rFonts w:hint="eastAsia" w:ascii="Times New Roman" w:hAnsi="Times New Roman"/>
          <w:color w:val="000000" w:themeColor="text1"/>
          <w:szCs w:val="28"/>
          <w:lang w:val="en-US" w:eastAsia="zh-CN"/>
          <w14:textFill>
            <w14:solidFill>
              <w14:schemeClr w14:val="tx1"/>
            </w14:solidFill>
          </w14:textFill>
        </w:rPr>
        <w:t>6、</w:t>
      </w:r>
      <w:r>
        <w:rPr>
          <w:rFonts w:hint="eastAsia" w:ascii="Times New Roman" w:hAnsi="Times New Roman"/>
          <w:color w:val="000000" w:themeColor="text1"/>
          <w:szCs w:val="28"/>
          <w:lang w:eastAsia="zh-CN"/>
          <w14:textFill>
            <w14:solidFill>
              <w14:schemeClr w14:val="tx1"/>
            </w14:solidFill>
          </w14:textFill>
        </w:rPr>
        <w:t>排水</w:t>
      </w:r>
      <w:r>
        <w:rPr>
          <w:rFonts w:hint="eastAsia" w:ascii="Times New Roman" w:hAnsi="Times New Roman"/>
          <w:color w:val="000000" w:themeColor="text1"/>
          <w:szCs w:val="28"/>
          <w:lang w:val="en-US" w:eastAsia="zh-CN"/>
          <w14:textFill>
            <w14:solidFill>
              <w14:schemeClr w14:val="tx1"/>
            </w14:solidFill>
          </w14:textFill>
        </w:rPr>
        <w:t>系统</w:t>
      </w:r>
      <w:r>
        <w:rPr>
          <w:rFonts w:ascii="Times New Roman" w:hAnsi="Times New Roman"/>
          <w:color w:val="000000" w:themeColor="text1"/>
          <w:szCs w:val="28"/>
          <w14:textFill>
            <w14:solidFill>
              <w14:schemeClr w14:val="tx1"/>
            </w14:solidFill>
          </w14:textFill>
        </w:rPr>
        <w:t>图；</w:t>
      </w:r>
    </w:p>
    <w:p w14:paraId="2BC9903D">
      <w:pPr>
        <w:pStyle w:val="74"/>
        <w:numPr>
          <w:ilvl w:val="0"/>
          <w:numId w:val="0"/>
        </w:numPr>
        <w:ind w:left="552" w:leftChars="0"/>
        <w:rPr>
          <w:rFonts w:hint="default" w:ascii="Times New Roman" w:hAnsi="Times New Roman" w:eastAsia="宋体"/>
          <w:color w:val="000000" w:themeColor="text1"/>
          <w:szCs w:val="28"/>
          <w:lang w:val="en-US" w:eastAsia="zh-CN"/>
          <w14:textFill>
            <w14:solidFill>
              <w14:schemeClr w14:val="tx1"/>
            </w14:solidFill>
          </w14:textFill>
        </w:rPr>
      </w:pPr>
      <w:r>
        <w:rPr>
          <w:rFonts w:hint="eastAsia" w:ascii="Times New Roman" w:hAnsi="Times New Roman"/>
          <w:color w:val="000000" w:themeColor="text1"/>
          <w:szCs w:val="28"/>
          <w:lang w:val="en-US" w:eastAsia="zh-CN"/>
          <w14:textFill>
            <w14:solidFill>
              <w14:schemeClr w14:val="tx1"/>
            </w14:solidFill>
          </w14:textFill>
        </w:rPr>
        <w:t>7、供配电系统图</w:t>
      </w:r>
    </w:p>
    <w:sectPr>
      <w:pgSz w:w="11906" w:h="16838"/>
      <w:pgMar w:top="1418" w:right="1134" w:bottom="1418" w:left="1418" w:header="1020" w:footer="794" w:gutter="0"/>
      <w:pgBorders>
        <w:top w:val="none" w:sz="0" w:space="0"/>
        <w:left w:val="none" w:sz="0" w:space="0"/>
        <w:bottom w:val="none" w:sz="0" w:space="0"/>
        <w:right w:val="none" w:sz="0" w:space="0"/>
      </w:pgBorders>
      <w:pgNumType w:fmt="decimal"/>
      <w:cols w:space="720" w:num="1"/>
      <w:docGrid w:type="lines" w:linePitch="312" w:charSpace="0"/>
    </w:sectPr>
  </w:body>
</w:document>
</file>

<file path=word/customizations.xml><?xml version="1.0" encoding="utf-8"?>
<wne:tcg xmlns:r="http://schemas.openxmlformats.org/officeDocument/2006/relationships" xmlns:wne="http://schemas.microsoft.com/office/word/2006/wordml">
  <wne:keymaps>
    <wne:keymap wne:kcmPrimary="0233">
      <wne:acd wne:acdName="acd0"/>
    </wne:keymap>
  </wne:keymaps>
  <wne:acds>
    <wne:acd wne:argValue="AQAAAAMA" wne:acdName="acd0" wne:fciIndexBasedOn="0065"/>
  </wne:acds>
</wne:tcg>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52"/>
      </w:pPr>
      <w:r>
        <w:separator/>
      </w:r>
    </w:p>
  </w:endnote>
  <w:endnote w:type="continuationSeparator" w:id="1">
    <w:p>
      <w:pPr>
        <w:spacing w:line="240" w:lineRule="auto"/>
        <w:ind w:firstLine="55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BA"/>
    <w:family w:val="auto"/>
    <w:pitch w:val="default"/>
    <w:sig w:usb0="E0002EFF" w:usb1="C000785B" w:usb2="00000009" w:usb3="00000000" w:csb0="400001FF" w:csb1="FFFF0000"/>
  </w:font>
  <w:font w:name="宋体">
    <w:panose1 w:val="02010600030101010101"/>
    <w:charset w:val="81"/>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 w:name="Arial Narrow">
    <w:panose1 w:val="020B0606020202030204"/>
    <w:charset w:val="00"/>
    <w:family w:val="swiss"/>
    <w:pitch w:val="default"/>
    <w:sig w:usb0="00000287" w:usb1="00000800" w:usb2="00000000" w:usb3="00000000" w:csb0="2000009F" w:csb1="DFD70000"/>
  </w:font>
  <w:font w:name="等线">
    <w:panose1 w:val="02010600030101010101"/>
    <w:charset w:val="86"/>
    <w:family w:val="auto"/>
    <w:pitch w:val="default"/>
    <w:sig w:usb0="A00002BF" w:usb1="38CF7CFA" w:usb2="00000016" w:usb3="00000000" w:csb0="0004000F" w:csb1="00000000"/>
  </w:font>
  <w:font w:name="MingLiU">
    <w:altName w:val="PMingLiU-ExtB"/>
    <w:panose1 w:val="02020509000000000000"/>
    <w:charset w:val="88"/>
    <w:family w:val="auto"/>
    <w:pitch w:val="default"/>
    <w:sig w:usb0="00000000" w:usb1="00000000" w:usb2="00000016" w:usb3="00000000" w:csb0="00100001" w:csb1="00000000"/>
  </w:font>
  <w:font w:name="PMingLiU-ExtB">
    <w:panose1 w:val="02020500000000000000"/>
    <w:charset w:val="88"/>
    <w:family w:val="auto"/>
    <w:pitch w:val="default"/>
    <w:sig w:usb0="8000002F" w:usb1="02000008" w:usb2="00000000" w:usb3="00000000" w:csb0="00100001" w:csb1="00000000"/>
  </w:font>
  <w:font w:name="仿宋_GB2312">
    <w:altName w:val="仿宋"/>
    <w:panose1 w:val="02010609030101010101"/>
    <w:charset w:val="86"/>
    <w:family w:val="modern"/>
    <w:pitch w:val="default"/>
    <w:sig w:usb0="00000000" w:usb1="00000000" w:usb2="00000000" w:usb3="00000000" w:csb0="00040000" w:csb1="00000000"/>
  </w:font>
  <w:font w:name="楷体_gb2312">
    <w:altName w:val="宋体"/>
    <w:panose1 w:val="00000000000000000000"/>
    <w:charset w:val="00"/>
    <w:family w:val="auto"/>
    <w:pitch w:val="default"/>
    <w:sig w:usb0="00000000" w:usb1="00000000" w:usb2="00000000" w:usb3="00000000" w:csb0="00040001" w:csb1="00000000"/>
  </w:font>
  <w:font w:name="Helvetica">
    <w:altName w:val="Arial"/>
    <w:panose1 w:val="00000000000000000000"/>
    <w:charset w:val="00"/>
    <w:family w:val="auto"/>
    <w:pitch w:val="default"/>
    <w:sig w:usb0="00000000" w:usb1="00000000" w:usb2="00000000" w:usb3="00000000" w:csb0="00040001" w:csb1="00000000"/>
  </w:font>
  <w:font w:name="Cambria Math">
    <w:panose1 w:val="02040503050406030204"/>
    <w:charset w:val="00"/>
    <w:family w:val="roman"/>
    <w:pitch w:val="default"/>
    <w:sig w:usb0="E00006FF" w:usb1="420024FF" w:usb2="02000000" w:usb3="00000000" w:csb0="2000019F" w:csb1="00000000"/>
  </w:font>
  <w:font w:name="KSOFE44F9426">
    <w:panose1 w:val="02010609060101010101"/>
    <w:charset w:val="86"/>
    <w:family w:val="auto"/>
    <w:pitch w:val="default"/>
    <w:sig w:usb0="00000001" w:usb1="00000000" w:usb2="00000000" w:usb3="00000000" w:csb0="00040001" w:csb1="0000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4D89C07">
    <w:pPr>
      <w:pBdr>
        <w:top w:val="none" w:color="auto" w:sz="0" w:space="1"/>
      </w:pBdr>
      <w:tabs>
        <w:tab w:val="center" w:pos="4153"/>
        <w:tab w:val="right" w:pos="8306"/>
      </w:tabs>
      <w:adjustRightInd/>
      <w:snapToGrid/>
      <w:spacing w:line="240" w:lineRule="auto"/>
      <w:ind w:firstLine="0" w:firstLineChars="0"/>
      <w:rPr>
        <w:bCs/>
        <w:sz w:val="21"/>
        <w:szCs w:val="21"/>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91B73C">
    <w:pPr>
      <w:ind w:firstLine="55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0867BC1">
    <w:pPr>
      <w:ind w:firstLine="552"/>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EC52D34">
    <w:pPr>
      <w:pBdr>
        <w:top w:val="single" w:color="auto" w:sz="4" w:space="1"/>
      </w:pBdr>
      <w:tabs>
        <w:tab w:val="center" w:pos="4153"/>
        <w:tab w:val="right" w:pos="8306"/>
      </w:tabs>
      <w:adjustRightInd/>
      <w:snapToGrid/>
      <w:spacing w:line="240" w:lineRule="auto"/>
      <w:ind w:firstLine="0" w:firstLineChars="0"/>
      <w:rPr>
        <w:rFonts w:ascii="Times New Roman" w:hAnsi="Times New Roman"/>
        <w:sz w:val="21"/>
      </w:rPr>
    </w:pPr>
    <w:r>
      <w:rPr>
        <w:sz w:val="21"/>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0F9D98F">
                          <w:pPr>
                            <w:pStyle w:val="21"/>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GA044yAgAAYQQAAA4AAABkcnMvZTJvRG9jLnhtbK1UzY7TMBC+I/EO&#10;lu80aStW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pm/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4YDTjjICAABhBAAADgAAAAAAAAABACAAAAAfAQAAZHJzL2Uyb0RvYy54bWxQSwUG&#10;AAAAAAYABgBZAQAAwwUAAAAA&#10;">
              <v:fill on="f" focussize="0,0"/>
              <v:stroke on="f" weight="0.5pt"/>
              <v:imagedata o:title=""/>
              <o:lock v:ext="edit" aspectratio="f"/>
              <v:textbox inset="0mm,0mm,0mm,0mm" style="mso-fit-shape-to-text:t;">
                <w:txbxContent>
                  <w:p w14:paraId="40F9D98F">
                    <w:pPr>
                      <w:pStyle w:val="21"/>
                    </w:pPr>
                    <w:r>
                      <w:fldChar w:fldCharType="begin"/>
                    </w:r>
                    <w:r>
                      <w:instrText xml:space="preserve"> PAGE  \* MERGEFORMAT </w:instrText>
                    </w:r>
                    <w:r>
                      <w:fldChar w:fldCharType="separate"/>
                    </w:r>
                    <w:r>
                      <w:t>1</w:t>
                    </w:r>
                    <w:r>
                      <w:fldChar w:fldCharType="end"/>
                    </w:r>
                  </w:p>
                </w:txbxContent>
              </v:textbox>
            </v:shape>
          </w:pict>
        </mc:Fallback>
      </mc:AlternateContent>
    </w:r>
    <w:r>
      <w:rPr>
        <w:rFonts w:ascii="Times New Roman" w:hAnsi="Times New Roman"/>
        <w:sz w:val="21"/>
        <w:szCs w:val="21"/>
      </w:rPr>
      <w:t>江西赣安安全生产科学技术咨询服务中心</w:t>
    </w:r>
    <w:r>
      <w:rPr>
        <w:rFonts w:hint="eastAsia" w:ascii="Times New Roman" w:hAnsi="Times New Roman"/>
        <w:sz w:val="21"/>
        <w:szCs w:val="21"/>
        <w:lang w:val="en-US" w:eastAsia="zh-CN"/>
      </w:rPr>
      <w:t xml:space="preserve">                                      </w:t>
    </w:r>
    <w:r>
      <w:rPr>
        <w:rFonts w:ascii="Times New Roman" w:hAnsi="Times New Roman"/>
        <w:sz w:val="21"/>
        <w:szCs w:val="21"/>
      </w:rPr>
      <w:t>APJ-</w:t>
    </w:r>
    <w:r>
      <w:rPr>
        <w:rFonts w:hint="eastAsia" w:ascii="Times New Roman" w:hAnsi="Times New Roman"/>
        <w:sz w:val="21"/>
        <w:szCs w:val="21"/>
        <w:lang w:eastAsia="zh-CN"/>
      </w:rPr>
      <w:t>（</w:t>
    </w:r>
    <w:r>
      <w:rPr>
        <w:rFonts w:ascii="Times New Roman" w:hAnsi="Times New Roman"/>
        <w:sz w:val="21"/>
        <w:szCs w:val="21"/>
      </w:rPr>
      <w:t>赣）-002</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F6867A">
    <w:pPr>
      <w:pBdr>
        <w:top w:val="single" w:color="auto" w:sz="4" w:space="1"/>
      </w:pBdr>
      <w:tabs>
        <w:tab w:val="center" w:pos="4153"/>
        <w:tab w:val="right" w:pos="8306"/>
      </w:tabs>
      <w:adjustRightInd/>
      <w:snapToGrid/>
      <w:spacing w:line="240" w:lineRule="auto"/>
      <w:ind w:firstLine="0" w:firstLineChars="0"/>
      <w:rPr>
        <w:rFonts w:ascii="Times New Roman" w:hAnsi="Times New Roman"/>
        <w:sz w:val="21"/>
      </w:rPr>
    </w:pPr>
    <w:r>
      <w:rPr>
        <w:sz w:val="21"/>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88F0EB3">
                          <w:pPr>
                            <w:pStyle w:val="21"/>
                          </w:pPr>
                          <w:r>
                            <w:fldChar w:fldCharType="begin"/>
                          </w:r>
                          <w:r>
                            <w:instrText xml:space="preserve"> PAGE  \* MERGEFORMAT </w:instrText>
                          </w:r>
                          <w:r>
                            <w:fldChar w:fldCharType="separate"/>
                          </w:r>
                          <w:r>
                            <w:t>8</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488F0EB3">
                    <w:pPr>
                      <w:pStyle w:val="21"/>
                    </w:pPr>
                    <w:r>
                      <w:fldChar w:fldCharType="begin"/>
                    </w:r>
                    <w:r>
                      <w:instrText xml:space="preserve"> PAGE  \* MERGEFORMAT </w:instrText>
                    </w:r>
                    <w:r>
                      <w:fldChar w:fldCharType="separate"/>
                    </w:r>
                    <w:r>
                      <w:t>8</w:t>
                    </w:r>
                    <w:r>
                      <w:fldChar w:fldCharType="end"/>
                    </w:r>
                  </w:p>
                </w:txbxContent>
              </v:textbox>
            </v:shape>
          </w:pict>
        </mc:Fallback>
      </mc:AlternateContent>
    </w:r>
    <w:r>
      <w:rPr>
        <w:rFonts w:ascii="Times New Roman" w:hAnsi="Times New Roman"/>
        <w:sz w:val="21"/>
        <w:szCs w:val="21"/>
      </w:rPr>
      <w:t>江西赣安安全生产科学技术咨询服务中心</w:t>
    </w:r>
    <w:r>
      <w:rPr>
        <w:rFonts w:hint="eastAsia" w:ascii="Times New Roman" w:hAnsi="Times New Roman"/>
        <w:sz w:val="21"/>
        <w:szCs w:val="21"/>
        <w:lang w:val="en-US" w:eastAsia="zh-CN"/>
      </w:rPr>
      <w:t xml:space="preserve">                                      </w:t>
    </w:r>
    <w:r>
      <w:rPr>
        <w:rFonts w:ascii="Times New Roman" w:hAnsi="Times New Roman"/>
        <w:sz w:val="21"/>
        <w:szCs w:val="21"/>
      </w:rPr>
      <w:t>APJ-</w:t>
    </w:r>
    <w:r>
      <w:rPr>
        <w:rFonts w:hint="eastAsia" w:ascii="Times New Roman" w:hAnsi="Times New Roman"/>
        <w:sz w:val="21"/>
        <w:szCs w:val="21"/>
        <w:lang w:eastAsia="zh-CN"/>
      </w:rPr>
      <w:t>（</w:t>
    </w:r>
    <w:r>
      <w:rPr>
        <w:rFonts w:ascii="Times New Roman" w:hAnsi="Times New Roman"/>
        <w:sz w:val="21"/>
        <w:szCs w:val="21"/>
      </w:rPr>
      <w:t>赣）-002</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6A4C6EF">
    <w:pPr>
      <w:pBdr>
        <w:top w:val="single" w:color="auto" w:sz="4" w:space="1"/>
      </w:pBdr>
      <w:tabs>
        <w:tab w:val="center" w:pos="4153"/>
        <w:tab w:val="right" w:pos="8306"/>
      </w:tabs>
      <w:adjustRightInd/>
      <w:snapToGrid/>
      <w:spacing w:line="240" w:lineRule="auto"/>
      <w:ind w:firstLine="0" w:firstLineChars="0"/>
      <w:rPr>
        <w:rFonts w:ascii="Times New Roman" w:hAnsi="Times New Roman"/>
        <w:sz w:val="21"/>
      </w:rPr>
    </w:pPr>
    <w:r>
      <w:rPr>
        <w:sz w:val="21"/>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0" name="文本框 2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7566003">
                          <w:pPr>
                            <w:pStyle w:val="21"/>
                          </w:pPr>
                          <w:r>
                            <w:fldChar w:fldCharType="begin"/>
                          </w:r>
                          <w:r>
                            <w:instrText xml:space="preserve"> PAGE  \* MERGEFORMAT </w:instrText>
                          </w:r>
                          <w:r>
                            <w:fldChar w:fldCharType="separate"/>
                          </w:r>
                          <w:r>
                            <w:t>5</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R3mOYy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1HeY5jICAABjBAAADgAAAAAAAAABACAAAAAfAQAAZHJzL2Uyb0RvYy54bWxQSwUG&#10;AAAAAAYABgBZAQAAwwUAAAAA&#10;">
              <v:fill on="f" focussize="0,0"/>
              <v:stroke on="f" weight="0.5pt"/>
              <v:imagedata o:title=""/>
              <o:lock v:ext="edit" aspectratio="f"/>
              <v:textbox inset="0mm,0mm,0mm,0mm" style="mso-fit-shape-to-text:t;">
                <w:txbxContent>
                  <w:p w14:paraId="07566003">
                    <w:pPr>
                      <w:pStyle w:val="21"/>
                    </w:pPr>
                    <w:r>
                      <w:fldChar w:fldCharType="begin"/>
                    </w:r>
                    <w:r>
                      <w:instrText xml:space="preserve"> PAGE  \* MERGEFORMAT </w:instrText>
                    </w:r>
                    <w:r>
                      <w:fldChar w:fldCharType="separate"/>
                    </w:r>
                    <w:r>
                      <w:t>5</w:t>
                    </w:r>
                    <w:r>
                      <w:fldChar w:fldCharType="end"/>
                    </w:r>
                  </w:p>
                </w:txbxContent>
              </v:textbox>
            </v:shape>
          </w:pict>
        </mc:Fallback>
      </mc:AlternateContent>
    </w:r>
    <w:r>
      <w:rPr>
        <w:rFonts w:ascii="Times New Roman" w:hAnsi="Times New Roman"/>
        <w:sz w:val="21"/>
        <w:szCs w:val="21"/>
      </w:rPr>
      <w:t>江西赣安安全生产科学技术咨询服务中心</w:t>
    </w:r>
    <w:r>
      <w:rPr>
        <w:rFonts w:hint="eastAsia" w:ascii="Times New Roman" w:hAnsi="Times New Roman"/>
        <w:sz w:val="21"/>
        <w:szCs w:val="21"/>
        <w:lang w:val="en-US" w:eastAsia="zh-CN"/>
      </w:rPr>
      <w:t xml:space="preserve">                                      </w:t>
    </w:r>
    <w:r>
      <w:rPr>
        <w:rFonts w:ascii="Times New Roman" w:hAnsi="Times New Roman"/>
        <w:sz w:val="21"/>
        <w:szCs w:val="21"/>
      </w:rPr>
      <w:t>APJ-</w:t>
    </w:r>
    <w:r>
      <w:rPr>
        <w:rFonts w:hint="eastAsia" w:ascii="Times New Roman" w:hAnsi="Times New Roman"/>
        <w:sz w:val="21"/>
        <w:szCs w:val="21"/>
        <w:lang w:eastAsia="zh-CN"/>
      </w:rPr>
      <w:t>（</w:t>
    </w:r>
    <w:r>
      <w:rPr>
        <w:rFonts w:ascii="Times New Roman" w:hAnsi="Times New Roman"/>
        <w:sz w:val="21"/>
        <w:szCs w:val="21"/>
      </w:rPr>
      <w:t>赣）-002</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360" w:lineRule="auto"/>
        <w:ind w:firstLine="552"/>
      </w:pPr>
      <w:r>
        <w:separator/>
      </w:r>
    </w:p>
  </w:footnote>
  <w:footnote w:type="continuationSeparator" w:id="1">
    <w:p>
      <w:pPr>
        <w:spacing w:line="360" w:lineRule="auto"/>
        <w:ind w:firstLine="55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986B3B7">
    <w:pPr>
      <w:spacing w:line="240" w:lineRule="auto"/>
      <w:ind w:firstLine="0" w:firstLineChars="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A021897">
    <w:pPr>
      <w:ind w:firstLine="552"/>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E3D2C6">
    <w:pPr>
      <w:ind w:firstLine="552"/>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C808E6">
    <w:pPr>
      <w:pBdr>
        <w:top w:val="none" w:color="auto" w:sz="0" w:space="1"/>
        <w:bottom w:val="single" w:color="auto" w:sz="4" w:space="0"/>
      </w:pBdr>
      <w:tabs>
        <w:tab w:val="center" w:pos="4153"/>
        <w:tab w:val="right" w:pos="8306"/>
        <w:tab w:val="right" w:pos="9355"/>
      </w:tabs>
      <w:adjustRightInd/>
      <w:snapToGrid/>
      <w:spacing w:line="240" w:lineRule="auto"/>
      <w:ind w:firstLine="0" w:firstLineChars="0"/>
      <w:rPr>
        <w:rFonts w:ascii="Times New Roman" w:hAnsi="Times New Roman" w:eastAsia="宋体" w:cs="Times New Roman"/>
        <w:sz w:val="21"/>
        <w:szCs w:val="21"/>
      </w:rPr>
    </w:pPr>
    <w:r>
      <w:rPr>
        <w:rFonts w:hint="eastAsia" w:ascii="Times New Roman" w:hAnsi="Times New Roman" w:eastAsia="宋体" w:cs="Times New Roman"/>
        <w:sz w:val="21"/>
        <w:szCs w:val="21"/>
      </w:rPr>
      <w:t>广南</w:t>
    </w:r>
    <w:r>
      <w:rPr>
        <w:rFonts w:hint="eastAsia" w:ascii="Times New Roman" w:hAnsi="Times New Roman" w:eastAsia="宋体" w:cs="Times New Roman"/>
        <w:sz w:val="21"/>
        <w:szCs w:val="21"/>
        <w:lang w:eastAsia="zh-CN"/>
      </w:rPr>
      <w:t>县麦地大山建筑石料用石灰岩矿</w:t>
    </w:r>
    <w:r>
      <w:rPr>
        <w:rFonts w:hint="eastAsia" w:ascii="Times New Roman" w:hAnsi="Times New Roman" w:eastAsia="宋体" w:cs="Times New Roman"/>
        <w:sz w:val="21"/>
        <w:szCs w:val="21"/>
        <w:lang w:val="en-US" w:eastAsia="zh-CN"/>
      </w:rPr>
      <w:t>5</w:t>
    </w:r>
    <w:r>
      <w:rPr>
        <w:rFonts w:ascii="Times New Roman" w:hAnsi="Times New Roman" w:eastAsia="宋体" w:cs="Times New Roman"/>
        <w:sz w:val="21"/>
        <w:szCs w:val="21"/>
      </w:rPr>
      <w:t>0万t/a露天采矿工程</w:t>
    </w:r>
    <w:r>
      <w:rPr>
        <w:rFonts w:hint="eastAsia" w:ascii="Times New Roman" w:hAnsi="Times New Roman" w:eastAsia="宋体" w:cs="Times New Roman"/>
        <w:sz w:val="21"/>
        <w:szCs w:val="21"/>
        <w:lang w:val="en-US" w:eastAsia="zh-CN"/>
      </w:rPr>
      <w:t>安全设施验收报告</w:t>
    </w:r>
    <w:r>
      <w:rPr>
        <w:rFonts w:hint="eastAsia" w:ascii="Times New Roman" w:hAnsi="Times New Roman" w:cs="Times New Roman"/>
        <w:sz w:val="21"/>
        <w:szCs w:val="21"/>
        <w:lang w:val="en-US" w:eastAsia="zh-CN"/>
      </w:rPr>
      <w:t xml:space="preserve">  </w:t>
    </w:r>
    <w:r>
      <w:rPr>
        <w:rFonts w:hint="eastAsia" w:ascii="Times New Roman" w:hAnsi="Times New Roman" w:eastAsia="宋体" w:cs="Times New Roman"/>
        <w:sz w:val="21"/>
        <w:szCs w:val="21"/>
        <w:lang w:val="en-US" w:eastAsia="zh-CN"/>
      </w:rPr>
      <w:t>GAAP</w:t>
    </w:r>
    <w:r>
      <w:rPr>
        <w:rFonts w:ascii="Times New Roman" w:hAnsi="Times New Roman" w:eastAsia="宋体" w:cs="Times New Roman"/>
        <w:sz w:val="21"/>
        <w:szCs w:val="21"/>
      </w:rPr>
      <w:t>〔202</w:t>
    </w:r>
    <w:r>
      <w:rPr>
        <w:rFonts w:hint="eastAsia" w:ascii="Times New Roman" w:hAnsi="Times New Roman" w:eastAsia="宋体" w:cs="Times New Roman"/>
        <w:sz w:val="21"/>
        <w:szCs w:val="21"/>
        <w:lang w:val="en-US" w:eastAsia="zh-CN"/>
      </w:rPr>
      <w:t>6</w:t>
    </w:r>
    <w:r>
      <w:rPr>
        <w:rFonts w:ascii="Times New Roman" w:hAnsi="Times New Roman" w:eastAsia="宋体" w:cs="Times New Roman"/>
        <w:sz w:val="21"/>
        <w:szCs w:val="21"/>
      </w:rPr>
      <w:t>〕</w:t>
    </w:r>
    <w:r>
      <w:rPr>
        <w:rFonts w:hint="eastAsia" w:ascii="Times New Roman" w:hAnsi="Times New Roman" w:eastAsia="宋体" w:cs="Times New Roman"/>
        <w:sz w:val="21"/>
        <w:szCs w:val="21"/>
        <w:lang w:val="en-US" w:eastAsia="zh-CN"/>
      </w:rPr>
      <w:t>0</w:t>
    </w:r>
    <w:r>
      <w:rPr>
        <w:rFonts w:hint="eastAsia" w:ascii="Times New Roman" w:hAnsi="Times New Roman" w:cs="Times New Roman"/>
        <w:sz w:val="21"/>
        <w:szCs w:val="21"/>
        <w:lang w:val="en-US" w:eastAsia="zh-CN"/>
      </w:rPr>
      <w:t>103</w:t>
    </w:r>
    <w:r>
      <w:rPr>
        <w:rFonts w:hint="eastAsia" w:ascii="Times New Roman" w:hAnsi="Times New Roman" w:eastAsia="宋体" w:cs="Times New Roman"/>
        <w:sz w:val="21"/>
        <w:szCs w:val="21"/>
        <w:lang w:val="en-US" w:eastAsia="zh-CN"/>
      </w:rPr>
      <w:t>号</w:t>
    </w:r>
    <w:r>
      <w:rPr>
        <w:rFonts w:hint="eastAsia" w:ascii="Times New Roman" w:hAnsi="Times New Roman" w:eastAsia="宋体" w:cs="Times New Roman"/>
        <w:sz w:val="21"/>
        <w:szCs w:val="21"/>
        <w:lang w:val="en-US" w:eastAsia="zh-CN"/>
      </w:rPr>
      <w:tab/>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DB73B69"/>
    <w:multiLevelType w:val="singleLevel"/>
    <w:tmpl w:val="BDB73B69"/>
    <w:lvl w:ilvl="0" w:tentative="0">
      <w:start w:val="1"/>
      <w:numFmt w:val="decimal"/>
      <w:suff w:val="nothing"/>
      <w:lvlText w:val="%1、"/>
      <w:lvlJc w:val="left"/>
    </w:lvl>
  </w:abstractNum>
  <w:abstractNum w:abstractNumId="1">
    <w:nsid w:val="032212B4"/>
    <w:multiLevelType w:val="singleLevel"/>
    <w:tmpl w:val="032212B4"/>
    <w:lvl w:ilvl="0" w:tentative="0">
      <w:start w:val="3"/>
      <w:numFmt w:val="decimal"/>
      <w:suff w:val="nothing"/>
      <w:lvlText w:val="（%1）"/>
      <w:lvlJc w:val="left"/>
    </w:lvl>
  </w:abstractNum>
  <w:abstractNum w:abstractNumId="2">
    <w:nsid w:val="0B648C86"/>
    <w:multiLevelType w:val="singleLevel"/>
    <w:tmpl w:val="0B648C86"/>
    <w:lvl w:ilvl="0" w:tentative="0">
      <w:start w:val="1"/>
      <w:numFmt w:val="decimal"/>
      <w:suff w:val="nothing"/>
      <w:lvlText w:val="%1、"/>
      <w:lvlJc w:val="left"/>
    </w:lvl>
  </w:abstractNum>
  <w:abstractNum w:abstractNumId="3">
    <w:nsid w:val="248DA268"/>
    <w:multiLevelType w:val="singleLevel"/>
    <w:tmpl w:val="248DA268"/>
    <w:lvl w:ilvl="0" w:tentative="0">
      <w:start w:val="1"/>
      <w:numFmt w:val="decimal"/>
      <w:suff w:val="nothing"/>
      <w:lvlText w:val="%1、"/>
      <w:lvlJc w:val="left"/>
    </w:lvl>
  </w:abstractNum>
  <w:abstractNum w:abstractNumId="4">
    <w:nsid w:val="2AEE747C"/>
    <w:multiLevelType w:val="singleLevel"/>
    <w:tmpl w:val="2AEE747C"/>
    <w:lvl w:ilvl="0" w:tentative="0">
      <w:start w:val="1"/>
      <w:numFmt w:val="decimal"/>
      <w:suff w:val="nothing"/>
      <w:lvlText w:val="%1、"/>
      <w:lvlJc w:val="left"/>
    </w:lvl>
  </w:abstractNum>
  <w:abstractNum w:abstractNumId="5">
    <w:nsid w:val="31BA1F39"/>
    <w:multiLevelType w:val="singleLevel"/>
    <w:tmpl w:val="31BA1F39"/>
    <w:lvl w:ilvl="0" w:tentative="0">
      <w:start w:val="1"/>
      <w:numFmt w:val="decimal"/>
      <w:suff w:val="nothing"/>
      <w:lvlText w:val="%1、"/>
      <w:lvlJc w:val="left"/>
    </w:lvl>
  </w:abstractNum>
  <w:abstractNum w:abstractNumId="6">
    <w:nsid w:val="34DE01E3"/>
    <w:multiLevelType w:val="singleLevel"/>
    <w:tmpl w:val="34DE01E3"/>
    <w:lvl w:ilvl="0" w:tentative="0">
      <w:start w:val="1"/>
      <w:numFmt w:val="decimal"/>
      <w:suff w:val="nothing"/>
      <w:lvlText w:val="%1、"/>
      <w:lvlJc w:val="left"/>
    </w:lvl>
  </w:abstractNum>
  <w:abstractNum w:abstractNumId="7">
    <w:nsid w:val="41057E91"/>
    <w:multiLevelType w:val="singleLevel"/>
    <w:tmpl w:val="41057E91"/>
    <w:lvl w:ilvl="0" w:tentative="0">
      <w:start w:val="1"/>
      <w:numFmt w:val="decimal"/>
      <w:suff w:val="nothing"/>
      <w:lvlText w:val="%1、"/>
      <w:lvlJc w:val="left"/>
    </w:lvl>
  </w:abstractNum>
  <w:abstractNum w:abstractNumId="8">
    <w:nsid w:val="5A2F9164"/>
    <w:multiLevelType w:val="singleLevel"/>
    <w:tmpl w:val="5A2F9164"/>
    <w:lvl w:ilvl="0" w:tentative="0">
      <w:start w:val="2"/>
      <w:numFmt w:val="decimal"/>
      <w:suff w:val="nothing"/>
      <w:lvlText w:val="%1、"/>
      <w:lvlJc w:val="left"/>
    </w:lvl>
  </w:abstractNum>
  <w:abstractNum w:abstractNumId="9">
    <w:nsid w:val="7D7F8847"/>
    <w:multiLevelType w:val="singleLevel"/>
    <w:tmpl w:val="7D7F8847"/>
    <w:lvl w:ilvl="0" w:tentative="0">
      <w:start w:val="1"/>
      <w:numFmt w:val="decimal"/>
      <w:suff w:val="nothing"/>
      <w:lvlText w:val="%1、"/>
      <w:lvlJc w:val="left"/>
    </w:lvl>
  </w:abstractNum>
  <w:num w:numId="1">
    <w:abstractNumId w:val="5"/>
  </w:num>
  <w:num w:numId="2">
    <w:abstractNumId w:val="4"/>
  </w:num>
  <w:num w:numId="3">
    <w:abstractNumId w:val="8"/>
  </w:num>
  <w:num w:numId="4">
    <w:abstractNumId w:val="2"/>
  </w:num>
  <w:num w:numId="5">
    <w:abstractNumId w:val="6"/>
  </w:num>
  <w:num w:numId="6">
    <w:abstractNumId w:val="1"/>
  </w:num>
  <w:num w:numId="7">
    <w:abstractNumId w:val="3"/>
  </w:num>
  <w:num w:numId="8">
    <w:abstractNumId w:val="7"/>
  </w:num>
  <w:num w:numId="9">
    <w:abstractNumId w:val="9"/>
  </w:num>
  <w:num w:numId="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isplayBackgroundShape w:val="1"/>
  <w:bordersDoNotSurroundHeader w:val="0"/>
  <w:bordersDoNotSurroundFooter w:val="0"/>
  <w:stylePaneFormatFilter w:val="7F04" w:allStyles="0" w:customStyles="0" w:latentStyles="1" w:stylesInUse="0" w:headingStyles="0" w:numberingStyles="0" w:tableStyles="0" w:directFormattingOnRuns="1" w:directFormattingOnParagraphs="1" w:directFormattingOnNumbering="1" w:directFormattingOnTables="1" w:clearFormatting="1" w:top3HeadingStyles="1" w:visibleStyles="1" w:alternateStyleNames="0"/>
  <w:documentProtection w:enforcement="0"/>
  <w:defaultTabStop w:val="0"/>
  <w:drawingGridHorizontalSpacing w:val="105"/>
  <w:drawingGridVerticalSpacing w:val="156"/>
  <w:displayHorizontalDrawingGridEvery w:val="1"/>
  <w:displayVerticalDrawingGridEvery w:val="1"/>
  <w:noPunctuationKerning w:val="1"/>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JjYzY5YWE5ZjQzMDBjZTEyYTgyOTg0NDlmNmJjMmYifQ=="/>
  </w:docVars>
  <w:rsids>
    <w:rsidRoot w:val="00172A27"/>
    <w:rsid w:val="000014E7"/>
    <w:rsid w:val="0000173A"/>
    <w:rsid w:val="00003B49"/>
    <w:rsid w:val="000062CE"/>
    <w:rsid w:val="00007B23"/>
    <w:rsid w:val="00007D95"/>
    <w:rsid w:val="0001014D"/>
    <w:rsid w:val="00010BBC"/>
    <w:rsid w:val="0001245B"/>
    <w:rsid w:val="00012C7C"/>
    <w:rsid w:val="00014A68"/>
    <w:rsid w:val="00021971"/>
    <w:rsid w:val="00023E85"/>
    <w:rsid w:val="0003020F"/>
    <w:rsid w:val="00030DCB"/>
    <w:rsid w:val="000340D0"/>
    <w:rsid w:val="00035332"/>
    <w:rsid w:val="0003644C"/>
    <w:rsid w:val="0004027E"/>
    <w:rsid w:val="00040C37"/>
    <w:rsid w:val="00041C54"/>
    <w:rsid w:val="00046BEE"/>
    <w:rsid w:val="00051512"/>
    <w:rsid w:val="00053FF2"/>
    <w:rsid w:val="000541AA"/>
    <w:rsid w:val="00055432"/>
    <w:rsid w:val="00056327"/>
    <w:rsid w:val="00057F23"/>
    <w:rsid w:val="00061BD8"/>
    <w:rsid w:val="000638D6"/>
    <w:rsid w:val="000646E5"/>
    <w:rsid w:val="00066AB1"/>
    <w:rsid w:val="00070A32"/>
    <w:rsid w:val="00071722"/>
    <w:rsid w:val="00071FE1"/>
    <w:rsid w:val="000759E6"/>
    <w:rsid w:val="00077BBF"/>
    <w:rsid w:val="00081B92"/>
    <w:rsid w:val="0008326F"/>
    <w:rsid w:val="000919CA"/>
    <w:rsid w:val="00092D8A"/>
    <w:rsid w:val="00095714"/>
    <w:rsid w:val="000958E1"/>
    <w:rsid w:val="00095F37"/>
    <w:rsid w:val="000A0C92"/>
    <w:rsid w:val="000A1696"/>
    <w:rsid w:val="000B2951"/>
    <w:rsid w:val="000B4342"/>
    <w:rsid w:val="000B6378"/>
    <w:rsid w:val="000C1F2C"/>
    <w:rsid w:val="000C28F0"/>
    <w:rsid w:val="000C2FD8"/>
    <w:rsid w:val="000C31A2"/>
    <w:rsid w:val="000C58B6"/>
    <w:rsid w:val="000C7855"/>
    <w:rsid w:val="000D0121"/>
    <w:rsid w:val="000D4BBA"/>
    <w:rsid w:val="000D4DCB"/>
    <w:rsid w:val="000D7704"/>
    <w:rsid w:val="000E149C"/>
    <w:rsid w:val="000E2D02"/>
    <w:rsid w:val="000E3A76"/>
    <w:rsid w:val="000E3F85"/>
    <w:rsid w:val="000E43B2"/>
    <w:rsid w:val="000E4D0F"/>
    <w:rsid w:val="000E514D"/>
    <w:rsid w:val="000E6D20"/>
    <w:rsid w:val="000F06D0"/>
    <w:rsid w:val="000F2DA9"/>
    <w:rsid w:val="000F3360"/>
    <w:rsid w:val="000F50EE"/>
    <w:rsid w:val="000F6E38"/>
    <w:rsid w:val="001036F2"/>
    <w:rsid w:val="0010642E"/>
    <w:rsid w:val="001104D4"/>
    <w:rsid w:val="001109B4"/>
    <w:rsid w:val="00113E82"/>
    <w:rsid w:val="0011557C"/>
    <w:rsid w:val="00117FBE"/>
    <w:rsid w:val="0012155D"/>
    <w:rsid w:val="0012458E"/>
    <w:rsid w:val="00125699"/>
    <w:rsid w:val="00125F01"/>
    <w:rsid w:val="00127EC0"/>
    <w:rsid w:val="00130935"/>
    <w:rsid w:val="00131065"/>
    <w:rsid w:val="00135F73"/>
    <w:rsid w:val="00136A11"/>
    <w:rsid w:val="00140A1F"/>
    <w:rsid w:val="00140D2A"/>
    <w:rsid w:val="00142870"/>
    <w:rsid w:val="00144320"/>
    <w:rsid w:val="00144C16"/>
    <w:rsid w:val="00151060"/>
    <w:rsid w:val="00153A05"/>
    <w:rsid w:val="0016094D"/>
    <w:rsid w:val="00161D72"/>
    <w:rsid w:val="00165869"/>
    <w:rsid w:val="00170523"/>
    <w:rsid w:val="00172A27"/>
    <w:rsid w:val="0017363A"/>
    <w:rsid w:val="00173D1F"/>
    <w:rsid w:val="00174A96"/>
    <w:rsid w:val="001813CE"/>
    <w:rsid w:val="001821F9"/>
    <w:rsid w:val="00182CF9"/>
    <w:rsid w:val="001843BF"/>
    <w:rsid w:val="001855F1"/>
    <w:rsid w:val="001874B8"/>
    <w:rsid w:val="00190409"/>
    <w:rsid w:val="001920CE"/>
    <w:rsid w:val="001A07AD"/>
    <w:rsid w:val="001A3B59"/>
    <w:rsid w:val="001B0056"/>
    <w:rsid w:val="001B2B8C"/>
    <w:rsid w:val="001B3FEF"/>
    <w:rsid w:val="001C0069"/>
    <w:rsid w:val="001C3894"/>
    <w:rsid w:val="001C47EC"/>
    <w:rsid w:val="001D15ED"/>
    <w:rsid w:val="001D162F"/>
    <w:rsid w:val="001D2559"/>
    <w:rsid w:val="001D28D4"/>
    <w:rsid w:val="001D2ABA"/>
    <w:rsid w:val="001D5BB5"/>
    <w:rsid w:val="001E03BD"/>
    <w:rsid w:val="001E2996"/>
    <w:rsid w:val="001E544C"/>
    <w:rsid w:val="001E581F"/>
    <w:rsid w:val="001F004B"/>
    <w:rsid w:val="001F0916"/>
    <w:rsid w:val="001F0947"/>
    <w:rsid w:val="001F2663"/>
    <w:rsid w:val="001F35E2"/>
    <w:rsid w:val="001F3F54"/>
    <w:rsid w:val="001F7867"/>
    <w:rsid w:val="00200DF8"/>
    <w:rsid w:val="0020115F"/>
    <w:rsid w:val="00204EAB"/>
    <w:rsid w:val="00206013"/>
    <w:rsid w:val="002071BA"/>
    <w:rsid w:val="00212CFF"/>
    <w:rsid w:val="0021350E"/>
    <w:rsid w:val="002135BA"/>
    <w:rsid w:val="002155E2"/>
    <w:rsid w:val="002160D5"/>
    <w:rsid w:val="00217403"/>
    <w:rsid w:val="00220322"/>
    <w:rsid w:val="00221206"/>
    <w:rsid w:val="00230502"/>
    <w:rsid w:val="00230DB6"/>
    <w:rsid w:val="00232891"/>
    <w:rsid w:val="00232D0E"/>
    <w:rsid w:val="00233157"/>
    <w:rsid w:val="00235976"/>
    <w:rsid w:val="00236215"/>
    <w:rsid w:val="00236B7C"/>
    <w:rsid w:val="00236FAE"/>
    <w:rsid w:val="0024142A"/>
    <w:rsid w:val="00246A1C"/>
    <w:rsid w:val="00247625"/>
    <w:rsid w:val="00250586"/>
    <w:rsid w:val="002507F8"/>
    <w:rsid w:val="00250EAC"/>
    <w:rsid w:val="00253FF3"/>
    <w:rsid w:val="00254370"/>
    <w:rsid w:val="0025453C"/>
    <w:rsid w:val="0025567A"/>
    <w:rsid w:val="00261E0D"/>
    <w:rsid w:val="00263F94"/>
    <w:rsid w:val="00267FDF"/>
    <w:rsid w:val="0027064A"/>
    <w:rsid w:val="00277793"/>
    <w:rsid w:val="00280358"/>
    <w:rsid w:val="00280491"/>
    <w:rsid w:val="002815F9"/>
    <w:rsid w:val="002864C7"/>
    <w:rsid w:val="0028714D"/>
    <w:rsid w:val="00287212"/>
    <w:rsid w:val="002904FE"/>
    <w:rsid w:val="0029110D"/>
    <w:rsid w:val="00291A86"/>
    <w:rsid w:val="00292D38"/>
    <w:rsid w:val="00293C90"/>
    <w:rsid w:val="00295112"/>
    <w:rsid w:val="00295148"/>
    <w:rsid w:val="00295EDA"/>
    <w:rsid w:val="002A2CE7"/>
    <w:rsid w:val="002A316C"/>
    <w:rsid w:val="002A5414"/>
    <w:rsid w:val="002A558F"/>
    <w:rsid w:val="002B3FB4"/>
    <w:rsid w:val="002B6DB4"/>
    <w:rsid w:val="002C098D"/>
    <w:rsid w:val="002C1388"/>
    <w:rsid w:val="002C19B2"/>
    <w:rsid w:val="002C6669"/>
    <w:rsid w:val="002C7EA0"/>
    <w:rsid w:val="002D010B"/>
    <w:rsid w:val="002D0207"/>
    <w:rsid w:val="002D21B9"/>
    <w:rsid w:val="002D2EB0"/>
    <w:rsid w:val="002D5165"/>
    <w:rsid w:val="002D75E3"/>
    <w:rsid w:val="002E5FBD"/>
    <w:rsid w:val="002E76B0"/>
    <w:rsid w:val="00304795"/>
    <w:rsid w:val="00306521"/>
    <w:rsid w:val="0031302C"/>
    <w:rsid w:val="00313158"/>
    <w:rsid w:val="0031435F"/>
    <w:rsid w:val="00314AEF"/>
    <w:rsid w:val="00323240"/>
    <w:rsid w:val="0032351B"/>
    <w:rsid w:val="00323755"/>
    <w:rsid w:val="0032744B"/>
    <w:rsid w:val="00327905"/>
    <w:rsid w:val="003310B7"/>
    <w:rsid w:val="00333A51"/>
    <w:rsid w:val="00334DA0"/>
    <w:rsid w:val="00340DA3"/>
    <w:rsid w:val="003420DD"/>
    <w:rsid w:val="00342226"/>
    <w:rsid w:val="00343749"/>
    <w:rsid w:val="00344E33"/>
    <w:rsid w:val="00346DDD"/>
    <w:rsid w:val="003470F9"/>
    <w:rsid w:val="00350F43"/>
    <w:rsid w:val="0035169B"/>
    <w:rsid w:val="00353251"/>
    <w:rsid w:val="00354C51"/>
    <w:rsid w:val="00355201"/>
    <w:rsid w:val="0035537B"/>
    <w:rsid w:val="00355ADC"/>
    <w:rsid w:val="00357D74"/>
    <w:rsid w:val="00365FC7"/>
    <w:rsid w:val="003668A9"/>
    <w:rsid w:val="003700F2"/>
    <w:rsid w:val="00373814"/>
    <w:rsid w:val="003752AF"/>
    <w:rsid w:val="0038021D"/>
    <w:rsid w:val="00380723"/>
    <w:rsid w:val="00381E33"/>
    <w:rsid w:val="003843F1"/>
    <w:rsid w:val="00391321"/>
    <w:rsid w:val="003964E7"/>
    <w:rsid w:val="003977FE"/>
    <w:rsid w:val="003A3002"/>
    <w:rsid w:val="003A585F"/>
    <w:rsid w:val="003A6864"/>
    <w:rsid w:val="003A74ED"/>
    <w:rsid w:val="003A7A4D"/>
    <w:rsid w:val="003B15C9"/>
    <w:rsid w:val="003B1A3F"/>
    <w:rsid w:val="003B3C81"/>
    <w:rsid w:val="003B3E0B"/>
    <w:rsid w:val="003B40EE"/>
    <w:rsid w:val="003B423A"/>
    <w:rsid w:val="003B517B"/>
    <w:rsid w:val="003B7431"/>
    <w:rsid w:val="003C0D05"/>
    <w:rsid w:val="003C39C6"/>
    <w:rsid w:val="003C6EAC"/>
    <w:rsid w:val="003D03BD"/>
    <w:rsid w:val="003D0C35"/>
    <w:rsid w:val="003D1992"/>
    <w:rsid w:val="003D3A83"/>
    <w:rsid w:val="003D53A6"/>
    <w:rsid w:val="003D7DAB"/>
    <w:rsid w:val="003E0B8B"/>
    <w:rsid w:val="003E0C6C"/>
    <w:rsid w:val="003E1A72"/>
    <w:rsid w:val="003E4389"/>
    <w:rsid w:val="003E4DB5"/>
    <w:rsid w:val="003E777F"/>
    <w:rsid w:val="003E77DF"/>
    <w:rsid w:val="003F4192"/>
    <w:rsid w:val="003F4B2E"/>
    <w:rsid w:val="003F5BEB"/>
    <w:rsid w:val="003F7D1D"/>
    <w:rsid w:val="00402085"/>
    <w:rsid w:val="00405868"/>
    <w:rsid w:val="0041260C"/>
    <w:rsid w:val="0041319B"/>
    <w:rsid w:val="0041581B"/>
    <w:rsid w:val="0041605D"/>
    <w:rsid w:val="00416140"/>
    <w:rsid w:val="004204C8"/>
    <w:rsid w:val="00430520"/>
    <w:rsid w:val="00436F2C"/>
    <w:rsid w:val="004467A3"/>
    <w:rsid w:val="004506B8"/>
    <w:rsid w:val="0045258D"/>
    <w:rsid w:val="0045530A"/>
    <w:rsid w:val="00455E3C"/>
    <w:rsid w:val="004560F6"/>
    <w:rsid w:val="00456671"/>
    <w:rsid w:val="004601A1"/>
    <w:rsid w:val="00460370"/>
    <w:rsid w:val="00465E0E"/>
    <w:rsid w:val="004679BC"/>
    <w:rsid w:val="00467F18"/>
    <w:rsid w:val="004704C1"/>
    <w:rsid w:val="004729AD"/>
    <w:rsid w:val="0047378D"/>
    <w:rsid w:val="00474768"/>
    <w:rsid w:val="00480703"/>
    <w:rsid w:val="004824E1"/>
    <w:rsid w:val="004839D6"/>
    <w:rsid w:val="00485A2B"/>
    <w:rsid w:val="00486756"/>
    <w:rsid w:val="004869EF"/>
    <w:rsid w:val="00491C24"/>
    <w:rsid w:val="00495BCA"/>
    <w:rsid w:val="004A0CD5"/>
    <w:rsid w:val="004A2E04"/>
    <w:rsid w:val="004A4B05"/>
    <w:rsid w:val="004A6EFC"/>
    <w:rsid w:val="004A7907"/>
    <w:rsid w:val="004B6EB7"/>
    <w:rsid w:val="004B6EC6"/>
    <w:rsid w:val="004C020C"/>
    <w:rsid w:val="004C309E"/>
    <w:rsid w:val="004C71B3"/>
    <w:rsid w:val="004D07CE"/>
    <w:rsid w:val="004D21F8"/>
    <w:rsid w:val="004D27E0"/>
    <w:rsid w:val="004D3337"/>
    <w:rsid w:val="004D624A"/>
    <w:rsid w:val="004E0DF8"/>
    <w:rsid w:val="004E45E1"/>
    <w:rsid w:val="004E4832"/>
    <w:rsid w:val="004F0616"/>
    <w:rsid w:val="004F3A7F"/>
    <w:rsid w:val="004F4C43"/>
    <w:rsid w:val="004F50E4"/>
    <w:rsid w:val="004F68B1"/>
    <w:rsid w:val="00502F04"/>
    <w:rsid w:val="005037E1"/>
    <w:rsid w:val="00507FAC"/>
    <w:rsid w:val="005107CC"/>
    <w:rsid w:val="00510EEB"/>
    <w:rsid w:val="00511473"/>
    <w:rsid w:val="005119FF"/>
    <w:rsid w:val="00521689"/>
    <w:rsid w:val="00521B6A"/>
    <w:rsid w:val="005226B3"/>
    <w:rsid w:val="00522ACB"/>
    <w:rsid w:val="00523A6B"/>
    <w:rsid w:val="00524078"/>
    <w:rsid w:val="005348AD"/>
    <w:rsid w:val="00535E73"/>
    <w:rsid w:val="0053734C"/>
    <w:rsid w:val="00537C22"/>
    <w:rsid w:val="005404C1"/>
    <w:rsid w:val="00541712"/>
    <w:rsid w:val="0054178E"/>
    <w:rsid w:val="00542806"/>
    <w:rsid w:val="0054291B"/>
    <w:rsid w:val="00543A55"/>
    <w:rsid w:val="00546BDA"/>
    <w:rsid w:val="0055033F"/>
    <w:rsid w:val="005520DC"/>
    <w:rsid w:val="005607B8"/>
    <w:rsid w:val="0056097E"/>
    <w:rsid w:val="00562082"/>
    <w:rsid w:val="00566A2C"/>
    <w:rsid w:val="00567BD4"/>
    <w:rsid w:val="0058076C"/>
    <w:rsid w:val="00580810"/>
    <w:rsid w:val="00581675"/>
    <w:rsid w:val="005817C1"/>
    <w:rsid w:val="00582B0F"/>
    <w:rsid w:val="00585DC9"/>
    <w:rsid w:val="00586377"/>
    <w:rsid w:val="00592772"/>
    <w:rsid w:val="00593916"/>
    <w:rsid w:val="005946AC"/>
    <w:rsid w:val="00595291"/>
    <w:rsid w:val="0059604C"/>
    <w:rsid w:val="005971CB"/>
    <w:rsid w:val="005A2745"/>
    <w:rsid w:val="005A46BE"/>
    <w:rsid w:val="005A6A98"/>
    <w:rsid w:val="005B18C7"/>
    <w:rsid w:val="005B3227"/>
    <w:rsid w:val="005B49ED"/>
    <w:rsid w:val="005B6219"/>
    <w:rsid w:val="005B7403"/>
    <w:rsid w:val="005C3776"/>
    <w:rsid w:val="005C3E71"/>
    <w:rsid w:val="005C5C07"/>
    <w:rsid w:val="005C5D7F"/>
    <w:rsid w:val="005D1761"/>
    <w:rsid w:val="005D35B1"/>
    <w:rsid w:val="005D3D09"/>
    <w:rsid w:val="005D6683"/>
    <w:rsid w:val="005D776A"/>
    <w:rsid w:val="005D795F"/>
    <w:rsid w:val="005E2160"/>
    <w:rsid w:val="005E5C0F"/>
    <w:rsid w:val="005E75D2"/>
    <w:rsid w:val="005E78B3"/>
    <w:rsid w:val="005E7A37"/>
    <w:rsid w:val="005E7A3D"/>
    <w:rsid w:val="005F31EA"/>
    <w:rsid w:val="00600590"/>
    <w:rsid w:val="00601E5D"/>
    <w:rsid w:val="0060565C"/>
    <w:rsid w:val="0060776D"/>
    <w:rsid w:val="00607AA8"/>
    <w:rsid w:val="00611778"/>
    <w:rsid w:val="006140FC"/>
    <w:rsid w:val="006160BC"/>
    <w:rsid w:val="00620F6B"/>
    <w:rsid w:val="006213BC"/>
    <w:rsid w:val="0062211B"/>
    <w:rsid w:val="0062334D"/>
    <w:rsid w:val="00624E89"/>
    <w:rsid w:val="00624F64"/>
    <w:rsid w:val="0062748C"/>
    <w:rsid w:val="00631922"/>
    <w:rsid w:val="006330A1"/>
    <w:rsid w:val="00633591"/>
    <w:rsid w:val="006339AE"/>
    <w:rsid w:val="00633A36"/>
    <w:rsid w:val="006369FD"/>
    <w:rsid w:val="00641358"/>
    <w:rsid w:val="00643226"/>
    <w:rsid w:val="0064499C"/>
    <w:rsid w:val="00646790"/>
    <w:rsid w:val="00650449"/>
    <w:rsid w:val="00650EF5"/>
    <w:rsid w:val="00652012"/>
    <w:rsid w:val="0065231F"/>
    <w:rsid w:val="006536E2"/>
    <w:rsid w:val="006726E9"/>
    <w:rsid w:val="00672F66"/>
    <w:rsid w:val="0067457D"/>
    <w:rsid w:val="00677139"/>
    <w:rsid w:val="0068068B"/>
    <w:rsid w:val="00680777"/>
    <w:rsid w:val="00681A00"/>
    <w:rsid w:val="006821BA"/>
    <w:rsid w:val="00684AE4"/>
    <w:rsid w:val="00685F47"/>
    <w:rsid w:val="0069202D"/>
    <w:rsid w:val="006927B4"/>
    <w:rsid w:val="00693D97"/>
    <w:rsid w:val="00694668"/>
    <w:rsid w:val="006A039E"/>
    <w:rsid w:val="006A1B54"/>
    <w:rsid w:val="006A6791"/>
    <w:rsid w:val="006B1186"/>
    <w:rsid w:val="006B1AE1"/>
    <w:rsid w:val="006B709B"/>
    <w:rsid w:val="006C1769"/>
    <w:rsid w:val="006C439B"/>
    <w:rsid w:val="006C442B"/>
    <w:rsid w:val="006C7708"/>
    <w:rsid w:val="006D1DCC"/>
    <w:rsid w:val="006D2839"/>
    <w:rsid w:val="006D2AA4"/>
    <w:rsid w:val="006D2FF9"/>
    <w:rsid w:val="006D439C"/>
    <w:rsid w:val="006D6233"/>
    <w:rsid w:val="006D6E5A"/>
    <w:rsid w:val="006D7CC5"/>
    <w:rsid w:val="006E7F59"/>
    <w:rsid w:val="006F3821"/>
    <w:rsid w:val="006F6E70"/>
    <w:rsid w:val="00701BAD"/>
    <w:rsid w:val="00702109"/>
    <w:rsid w:val="00704B42"/>
    <w:rsid w:val="0070596D"/>
    <w:rsid w:val="007076AE"/>
    <w:rsid w:val="00707C66"/>
    <w:rsid w:val="00711424"/>
    <w:rsid w:val="0071175E"/>
    <w:rsid w:val="00711A0E"/>
    <w:rsid w:val="00711CB9"/>
    <w:rsid w:val="00712E10"/>
    <w:rsid w:val="00715169"/>
    <w:rsid w:val="007200F1"/>
    <w:rsid w:val="007211EC"/>
    <w:rsid w:val="0072383F"/>
    <w:rsid w:val="007266DE"/>
    <w:rsid w:val="00726817"/>
    <w:rsid w:val="00730E96"/>
    <w:rsid w:val="007314B7"/>
    <w:rsid w:val="00732212"/>
    <w:rsid w:val="007326FB"/>
    <w:rsid w:val="00732E37"/>
    <w:rsid w:val="00732FF1"/>
    <w:rsid w:val="0073338D"/>
    <w:rsid w:val="0073399E"/>
    <w:rsid w:val="00733CCA"/>
    <w:rsid w:val="00734413"/>
    <w:rsid w:val="007350EE"/>
    <w:rsid w:val="007363A4"/>
    <w:rsid w:val="00736768"/>
    <w:rsid w:val="0074081F"/>
    <w:rsid w:val="007416C5"/>
    <w:rsid w:val="00747062"/>
    <w:rsid w:val="00751893"/>
    <w:rsid w:val="007525C8"/>
    <w:rsid w:val="00753D88"/>
    <w:rsid w:val="007544F2"/>
    <w:rsid w:val="00754744"/>
    <w:rsid w:val="00755C5D"/>
    <w:rsid w:val="00762359"/>
    <w:rsid w:val="00765DDF"/>
    <w:rsid w:val="00766234"/>
    <w:rsid w:val="007676C0"/>
    <w:rsid w:val="007748E4"/>
    <w:rsid w:val="00775E16"/>
    <w:rsid w:val="00777243"/>
    <w:rsid w:val="00785B1B"/>
    <w:rsid w:val="007872B0"/>
    <w:rsid w:val="00787D4E"/>
    <w:rsid w:val="007918EF"/>
    <w:rsid w:val="00794FDD"/>
    <w:rsid w:val="00796BF0"/>
    <w:rsid w:val="00796C25"/>
    <w:rsid w:val="007A233B"/>
    <w:rsid w:val="007A4E38"/>
    <w:rsid w:val="007A61AF"/>
    <w:rsid w:val="007A70ED"/>
    <w:rsid w:val="007A754E"/>
    <w:rsid w:val="007B1B5B"/>
    <w:rsid w:val="007B4189"/>
    <w:rsid w:val="007B4487"/>
    <w:rsid w:val="007B4C24"/>
    <w:rsid w:val="007B66B3"/>
    <w:rsid w:val="007B6D39"/>
    <w:rsid w:val="007B7C86"/>
    <w:rsid w:val="007C3E81"/>
    <w:rsid w:val="007D0085"/>
    <w:rsid w:val="007D2E0C"/>
    <w:rsid w:val="007D529E"/>
    <w:rsid w:val="007E072A"/>
    <w:rsid w:val="007E0D53"/>
    <w:rsid w:val="007E19BE"/>
    <w:rsid w:val="007E2EED"/>
    <w:rsid w:val="007E4DEB"/>
    <w:rsid w:val="007E61A2"/>
    <w:rsid w:val="007F29FC"/>
    <w:rsid w:val="0080321D"/>
    <w:rsid w:val="0080508F"/>
    <w:rsid w:val="008052E8"/>
    <w:rsid w:val="00810549"/>
    <w:rsid w:val="00811AF6"/>
    <w:rsid w:val="00811E04"/>
    <w:rsid w:val="00815321"/>
    <w:rsid w:val="008202DE"/>
    <w:rsid w:val="0082586A"/>
    <w:rsid w:val="00825D9C"/>
    <w:rsid w:val="00826498"/>
    <w:rsid w:val="0083005A"/>
    <w:rsid w:val="0083252D"/>
    <w:rsid w:val="00832B67"/>
    <w:rsid w:val="00832BB3"/>
    <w:rsid w:val="00833123"/>
    <w:rsid w:val="0083345E"/>
    <w:rsid w:val="00835B8E"/>
    <w:rsid w:val="00835F9A"/>
    <w:rsid w:val="0084138A"/>
    <w:rsid w:val="00841709"/>
    <w:rsid w:val="008421FA"/>
    <w:rsid w:val="0084599A"/>
    <w:rsid w:val="00846252"/>
    <w:rsid w:val="00846971"/>
    <w:rsid w:val="00847F6F"/>
    <w:rsid w:val="0085152B"/>
    <w:rsid w:val="008538A1"/>
    <w:rsid w:val="00853D08"/>
    <w:rsid w:val="00854462"/>
    <w:rsid w:val="00854A1B"/>
    <w:rsid w:val="0085516F"/>
    <w:rsid w:val="00855BB8"/>
    <w:rsid w:val="00857948"/>
    <w:rsid w:val="008618AF"/>
    <w:rsid w:val="00863312"/>
    <w:rsid w:val="00864DC3"/>
    <w:rsid w:val="00871410"/>
    <w:rsid w:val="00871C1C"/>
    <w:rsid w:val="00872392"/>
    <w:rsid w:val="00873457"/>
    <w:rsid w:val="00876173"/>
    <w:rsid w:val="00883BC9"/>
    <w:rsid w:val="00883C7E"/>
    <w:rsid w:val="00884F8F"/>
    <w:rsid w:val="00890762"/>
    <w:rsid w:val="00892246"/>
    <w:rsid w:val="00894B1C"/>
    <w:rsid w:val="008A36F5"/>
    <w:rsid w:val="008A5444"/>
    <w:rsid w:val="008A5A02"/>
    <w:rsid w:val="008B117B"/>
    <w:rsid w:val="008B302B"/>
    <w:rsid w:val="008B30DA"/>
    <w:rsid w:val="008B4BA2"/>
    <w:rsid w:val="008B5991"/>
    <w:rsid w:val="008B6D6D"/>
    <w:rsid w:val="008B7610"/>
    <w:rsid w:val="008B792C"/>
    <w:rsid w:val="008C061B"/>
    <w:rsid w:val="008C407A"/>
    <w:rsid w:val="008C426B"/>
    <w:rsid w:val="008C4304"/>
    <w:rsid w:val="008C5D52"/>
    <w:rsid w:val="008C63AD"/>
    <w:rsid w:val="008C68B3"/>
    <w:rsid w:val="008D1AEB"/>
    <w:rsid w:val="008D2288"/>
    <w:rsid w:val="008D28B5"/>
    <w:rsid w:val="008D3438"/>
    <w:rsid w:val="008D376B"/>
    <w:rsid w:val="008D3A7B"/>
    <w:rsid w:val="008D3B5F"/>
    <w:rsid w:val="008D6F25"/>
    <w:rsid w:val="008E1A78"/>
    <w:rsid w:val="008E3993"/>
    <w:rsid w:val="008E4783"/>
    <w:rsid w:val="008E77A3"/>
    <w:rsid w:val="008F2523"/>
    <w:rsid w:val="008F37DE"/>
    <w:rsid w:val="008F67C8"/>
    <w:rsid w:val="008F73F2"/>
    <w:rsid w:val="008F78FF"/>
    <w:rsid w:val="009043BA"/>
    <w:rsid w:val="00905B03"/>
    <w:rsid w:val="00911F33"/>
    <w:rsid w:val="009123AB"/>
    <w:rsid w:val="00917D79"/>
    <w:rsid w:val="0092194D"/>
    <w:rsid w:val="00922C15"/>
    <w:rsid w:val="00923F75"/>
    <w:rsid w:val="009271C8"/>
    <w:rsid w:val="00927A0B"/>
    <w:rsid w:val="00930B5F"/>
    <w:rsid w:val="00933125"/>
    <w:rsid w:val="0093380A"/>
    <w:rsid w:val="0094079D"/>
    <w:rsid w:val="009426B9"/>
    <w:rsid w:val="00942880"/>
    <w:rsid w:val="00942B1B"/>
    <w:rsid w:val="009449AE"/>
    <w:rsid w:val="00946D91"/>
    <w:rsid w:val="009502A5"/>
    <w:rsid w:val="0095191B"/>
    <w:rsid w:val="00951948"/>
    <w:rsid w:val="00951B89"/>
    <w:rsid w:val="00952E4B"/>
    <w:rsid w:val="009543EC"/>
    <w:rsid w:val="00954679"/>
    <w:rsid w:val="00954BB5"/>
    <w:rsid w:val="0095500D"/>
    <w:rsid w:val="00956297"/>
    <w:rsid w:val="009579FE"/>
    <w:rsid w:val="00965E14"/>
    <w:rsid w:val="00966DE9"/>
    <w:rsid w:val="00967077"/>
    <w:rsid w:val="00967CE1"/>
    <w:rsid w:val="00974471"/>
    <w:rsid w:val="00974EAB"/>
    <w:rsid w:val="009762B2"/>
    <w:rsid w:val="00977B3E"/>
    <w:rsid w:val="00981D10"/>
    <w:rsid w:val="009847DB"/>
    <w:rsid w:val="00987B52"/>
    <w:rsid w:val="009909BF"/>
    <w:rsid w:val="00995F33"/>
    <w:rsid w:val="0099638B"/>
    <w:rsid w:val="0099688E"/>
    <w:rsid w:val="00996F77"/>
    <w:rsid w:val="0099702C"/>
    <w:rsid w:val="009A0B01"/>
    <w:rsid w:val="009A211A"/>
    <w:rsid w:val="009A3FDB"/>
    <w:rsid w:val="009A4527"/>
    <w:rsid w:val="009A5DF0"/>
    <w:rsid w:val="009A6730"/>
    <w:rsid w:val="009B316C"/>
    <w:rsid w:val="009B41D2"/>
    <w:rsid w:val="009B7DB3"/>
    <w:rsid w:val="009C0DBD"/>
    <w:rsid w:val="009C1FE4"/>
    <w:rsid w:val="009C3ECA"/>
    <w:rsid w:val="009C43AF"/>
    <w:rsid w:val="009C6FAD"/>
    <w:rsid w:val="009C7BBD"/>
    <w:rsid w:val="009D0BE4"/>
    <w:rsid w:val="009D116E"/>
    <w:rsid w:val="009D1BF1"/>
    <w:rsid w:val="009D5D4F"/>
    <w:rsid w:val="009E1F43"/>
    <w:rsid w:val="009E3AA3"/>
    <w:rsid w:val="009E3DD8"/>
    <w:rsid w:val="009E5265"/>
    <w:rsid w:val="009F0850"/>
    <w:rsid w:val="009F2AD6"/>
    <w:rsid w:val="009F4380"/>
    <w:rsid w:val="009F58F3"/>
    <w:rsid w:val="009F6FE2"/>
    <w:rsid w:val="00A00F47"/>
    <w:rsid w:val="00A00F60"/>
    <w:rsid w:val="00A012C3"/>
    <w:rsid w:val="00A03FCE"/>
    <w:rsid w:val="00A046AB"/>
    <w:rsid w:val="00A06979"/>
    <w:rsid w:val="00A11CFE"/>
    <w:rsid w:val="00A21645"/>
    <w:rsid w:val="00A24AE6"/>
    <w:rsid w:val="00A24D6A"/>
    <w:rsid w:val="00A26185"/>
    <w:rsid w:val="00A27F6E"/>
    <w:rsid w:val="00A30583"/>
    <w:rsid w:val="00A3291A"/>
    <w:rsid w:val="00A33ED3"/>
    <w:rsid w:val="00A34121"/>
    <w:rsid w:val="00A34BA6"/>
    <w:rsid w:val="00A359B8"/>
    <w:rsid w:val="00A40CE7"/>
    <w:rsid w:val="00A44861"/>
    <w:rsid w:val="00A51BA6"/>
    <w:rsid w:val="00A545C7"/>
    <w:rsid w:val="00A54C17"/>
    <w:rsid w:val="00A55103"/>
    <w:rsid w:val="00A55409"/>
    <w:rsid w:val="00A578A3"/>
    <w:rsid w:val="00A611AE"/>
    <w:rsid w:val="00A63FD7"/>
    <w:rsid w:val="00A659B6"/>
    <w:rsid w:val="00A66097"/>
    <w:rsid w:val="00A66DAA"/>
    <w:rsid w:val="00A679B5"/>
    <w:rsid w:val="00A71302"/>
    <w:rsid w:val="00A770C3"/>
    <w:rsid w:val="00A82E15"/>
    <w:rsid w:val="00A83801"/>
    <w:rsid w:val="00A84495"/>
    <w:rsid w:val="00A901B8"/>
    <w:rsid w:val="00A9711B"/>
    <w:rsid w:val="00A97675"/>
    <w:rsid w:val="00A97A8B"/>
    <w:rsid w:val="00AA3DB6"/>
    <w:rsid w:val="00AA44EB"/>
    <w:rsid w:val="00AA5991"/>
    <w:rsid w:val="00AA72D9"/>
    <w:rsid w:val="00AB63AA"/>
    <w:rsid w:val="00AB712A"/>
    <w:rsid w:val="00AC55AF"/>
    <w:rsid w:val="00AC747E"/>
    <w:rsid w:val="00AC7B35"/>
    <w:rsid w:val="00AD63D1"/>
    <w:rsid w:val="00AD6CB0"/>
    <w:rsid w:val="00AD7EBD"/>
    <w:rsid w:val="00AE0EE0"/>
    <w:rsid w:val="00AE115B"/>
    <w:rsid w:val="00AE3CBE"/>
    <w:rsid w:val="00AE5B58"/>
    <w:rsid w:val="00AE657A"/>
    <w:rsid w:val="00AF230A"/>
    <w:rsid w:val="00AF2AE7"/>
    <w:rsid w:val="00AF2DAD"/>
    <w:rsid w:val="00AF4374"/>
    <w:rsid w:val="00AF5027"/>
    <w:rsid w:val="00AF6DBE"/>
    <w:rsid w:val="00AF7530"/>
    <w:rsid w:val="00B01C5B"/>
    <w:rsid w:val="00B03094"/>
    <w:rsid w:val="00B031AD"/>
    <w:rsid w:val="00B04EDE"/>
    <w:rsid w:val="00B064B0"/>
    <w:rsid w:val="00B10CC4"/>
    <w:rsid w:val="00B1307D"/>
    <w:rsid w:val="00B1393C"/>
    <w:rsid w:val="00B14364"/>
    <w:rsid w:val="00B211C9"/>
    <w:rsid w:val="00B237B0"/>
    <w:rsid w:val="00B275E1"/>
    <w:rsid w:val="00B30EB3"/>
    <w:rsid w:val="00B31484"/>
    <w:rsid w:val="00B31A75"/>
    <w:rsid w:val="00B35EA6"/>
    <w:rsid w:val="00B371FE"/>
    <w:rsid w:val="00B3739A"/>
    <w:rsid w:val="00B418B5"/>
    <w:rsid w:val="00B41F34"/>
    <w:rsid w:val="00B41F9A"/>
    <w:rsid w:val="00B44DF6"/>
    <w:rsid w:val="00B454BD"/>
    <w:rsid w:val="00B46510"/>
    <w:rsid w:val="00B47F38"/>
    <w:rsid w:val="00B527DF"/>
    <w:rsid w:val="00B52D57"/>
    <w:rsid w:val="00B53026"/>
    <w:rsid w:val="00B56CB1"/>
    <w:rsid w:val="00B60257"/>
    <w:rsid w:val="00B63B81"/>
    <w:rsid w:val="00B6501D"/>
    <w:rsid w:val="00B72686"/>
    <w:rsid w:val="00B74CD0"/>
    <w:rsid w:val="00B7771A"/>
    <w:rsid w:val="00B813AE"/>
    <w:rsid w:val="00B81A0F"/>
    <w:rsid w:val="00B82252"/>
    <w:rsid w:val="00B848A3"/>
    <w:rsid w:val="00B93F2F"/>
    <w:rsid w:val="00B964A2"/>
    <w:rsid w:val="00BA101A"/>
    <w:rsid w:val="00BA1C7A"/>
    <w:rsid w:val="00BA269A"/>
    <w:rsid w:val="00BA66BA"/>
    <w:rsid w:val="00BA691F"/>
    <w:rsid w:val="00BA7634"/>
    <w:rsid w:val="00BB0B6F"/>
    <w:rsid w:val="00BB2F38"/>
    <w:rsid w:val="00BB33AE"/>
    <w:rsid w:val="00BB5AAE"/>
    <w:rsid w:val="00BB62ED"/>
    <w:rsid w:val="00BB6353"/>
    <w:rsid w:val="00BC3474"/>
    <w:rsid w:val="00BE11F2"/>
    <w:rsid w:val="00BE1906"/>
    <w:rsid w:val="00BE1D69"/>
    <w:rsid w:val="00BE2166"/>
    <w:rsid w:val="00BE517D"/>
    <w:rsid w:val="00BE527E"/>
    <w:rsid w:val="00BE593A"/>
    <w:rsid w:val="00BE6C3A"/>
    <w:rsid w:val="00BE7FBF"/>
    <w:rsid w:val="00BF417C"/>
    <w:rsid w:val="00BF5416"/>
    <w:rsid w:val="00BF5FF3"/>
    <w:rsid w:val="00C026E5"/>
    <w:rsid w:val="00C060CA"/>
    <w:rsid w:val="00C1748A"/>
    <w:rsid w:val="00C208E1"/>
    <w:rsid w:val="00C21EE2"/>
    <w:rsid w:val="00C232E3"/>
    <w:rsid w:val="00C27B35"/>
    <w:rsid w:val="00C31854"/>
    <w:rsid w:val="00C37C18"/>
    <w:rsid w:val="00C37F0E"/>
    <w:rsid w:val="00C41558"/>
    <w:rsid w:val="00C44F8D"/>
    <w:rsid w:val="00C47EE8"/>
    <w:rsid w:val="00C47F14"/>
    <w:rsid w:val="00C51619"/>
    <w:rsid w:val="00C51A4E"/>
    <w:rsid w:val="00C521C0"/>
    <w:rsid w:val="00C5458E"/>
    <w:rsid w:val="00C54788"/>
    <w:rsid w:val="00C54B04"/>
    <w:rsid w:val="00C64C10"/>
    <w:rsid w:val="00C64ED3"/>
    <w:rsid w:val="00C66B16"/>
    <w:rsid w:val="00C7170E"/>
    <w:rsid w:val="00C72637"/>
    <w:rsid w:val="00C75953"/>
    <w:rsid w:val="00C75987"/>
    <w:rsid w:val="00C7782C"/>
    <w:rsid w:val="00C80E56"/>
    <w:rsid w:val="00C81D03"/>
    <w:rsid w:val="00C826AF"/>
    <w:rsid w:val="00C82A49"/>
    <w:rsid w:val="00C86E06"/>
    <w:rsid w:val="00CA23B7"/>
    <w:rsid w:val="00CA3584"/>
    <w:rsid w:val="00CA4B75"/>
    <w:rsid w:val="00CA50F4"/>
    <w:rsid w:val="00CA528E"/>
    <w:rsid w:val="00CA56D1"/>
    <w:rsid w:val="00CA6412"/>
    <w:rsid w:val="00CB04C6"/>
    <w:rsid w:val="00CB1478"/>
    <w:rsid w:val="00CB2DDC"/>
    <w:rsid w:val="00CB2FBE"/>
    <w:rsid w:val="00CB4947"/>
    <w:rsid w:val="00CC081B"/>
    <w:rsid w:val="00CC19ED"/>
    <w:rsid w:val="00CC1A1B"/>
    <w:rsid w:val="00CC1DA8"/>
    <w:rsid w:val="00CC2118"/>
    <w:rsid w:val="00CC6E3A"/>
    <w:rsid w:val="00CC7300"/>
    <w:rsid w:val="00CC7BF1"/>
    <w:rsid w:val="00CD26F3"/>
    <w:rsid w:val="00CD29FD"/>
    <w:rsid w:val="00CD749E"/>
    <w:rsid w:val="00CE1574"/>
    <w:rsid w:val="00CE5141"/>
    <w:rsid w:val="00CE5E97"/>
    <w:rsid w:val="00CE60B9"/>
    <w:rsid w:val="00CE6E5A"/>
    <w:rsid w:val="00CF18E8"/>
    <w:rsid w:val="00CF2E66"/>
    <w:rsid w:val="00CF51C7"/>
    <w:rsid w:val="00CF5EF1"/>
    <w:rsid w:val="00CF6694"/>
    <w:rsid w:val="00D0006A"/>
    <w:rsid w:val="00D0314D"/>
    <w:rsid w:val="00D0411E"/>
    <w:rsid w:val="00D104ED"/>
    <w:rsid w:val="00D12235"/>
    <w:rsid w:val="00D123EA"/>
    <w:rsid w:val="00D154E1"/>
    <w:rsid w:val="00D20470"/>
    <w:rsid w:val="00D24308"/>
    <w:rsid w:val="00D304B0"/>
    <w:rsid w:val="00D31D65"/>
    <w:rsid w:val="00D35A94"/>
    <w:rsid w:val="00D36124"/>
    <w:rsid w:val="00D36FEC"/>
    <w:rsid w:val="00D405CF"/>
    <w:rsid w:val="00D41811"/>
    <w:rsid w:val="00D41E9C"/>
    <w:rsid w:val="00D440FD"/>
    <w:rsid w:val="00D47A26"/>
    <w:rsid w:val="00D51B5F"/>
    <w:rsid w:val="00D51D73"/>
    <w:rsid w:val="00D52147"/>
    <w:rsid w:val="00D536CD"/>
    <w:rsid w:val="00D55786"/>
    <w:rsid w:val="00D55BBA"/>
    <w:rsid w:val="00D5770A"/>
    <w:rsid w:val="00D6412F"/>
    <w:rsid w:val="00D64616"/>
    <w:rsid w:val="00D6474C"/>
    <w:rsid w:val="00D71037"/>
    <w:rsid w:val="00D73A11"/>
    <w:rsid w:val="00D74318"/>
    <w:rsid w:val="00D759E2"/>
    <w:rsid w:val="00D801E2"/>
    <w:rsid w:val="00D85DE9"/>
    <w:rsid w:val="00D85E36"/>
    <w:rsid w:val="00D90436"/>
    <w:rsid w:val="00D92CE7"/>
    <w:rsid w:val="00D937D6"/>
    <w:rsid w:val="00D9485D"/>
    <w:rsid w:val="00D9521D"/>
    <w:rsid w:val="00D96DAD"/>
    <w:rsid w:val="00D97D53"/>
    <w:rsid w:val="00DA0D0C"/>
    <w:rsid w:val="00DA37D4"/>
    <w:rsid w:val="00DA57FB"/>
    <w:rsid w:val="00DB0759"/>
    <w:rsid w:val="00DB4D7D"/>
    <w:rsid w:val="00DC0506"/>
    <w:rsid w:val="00DC1B52"/>
    <w:rsid w:val="00DC3D6F"/>
    <w:rsid w:val="00DC4633"/>
    <w:rsid w:val="00DC4AE5"/>
    <w:rsid w:val="00DC5524"/>
    <w:rsid w:val="00DC6996"/>
    <w:rsid w:val="00DC78D7"/>
    <w:rsid w:val="00DD02AA"/>
    <w:rsid w:val="00DD17C1"/>
    <w:rsid w:val="00DD310E"/>
    <w:rsid w:val="00DD586C"/>
    <w:rsid w:val="00DD73BE"/>
    <w:rsid w:val="00DE0D52"/>
    <w:rsid w:val="00DE2E85"/>
    <w:rsid w:val="00DE4086"/>
    <w:rsid w:val="00DE5297"/>
    <w:rsid w:val="00DE654E"/>
    <w:rsid w:val="00DF30C2"/>
    <w:rsid w:val="00DF4041"/>
    <w:rsid w:val="00DF5527"/>
    <w:rsid w:val="00DF6E1F"/>
    <w:rsid w:val="00DF73FB"/>
    <w:rsid w:val="00E03E59"/>
    <w:rsid w:val="00E04670"/>
    <w:rsid w:val="00E1066A"/>
    <w:rsid w:val="00E14307"/>
    <w:rsid w:val="00E2398D"/>
    <w:rsid w:val="00E23A1F"/>
    <w:rsid w:val="00E25756"/>
    <w:rsid w:val="00E2599E"/>
    <w:rsid w:val="00E25E66"/>
    <w:rsid w:val="00E270E6"/>
    <w:rsid w:val="00E27BAF"/>
    <w:rsid w:val="00E27C5C"/>
    <w:rsid w:val="00E30EFA"/>
    <w:rsid w:val="00E33366"/>
    <w:rsid w:val="00E357F9"/>
    <w:rsid w:val="00E36FFE"/>
    <w:rsid w:val="00E37ED0"/>
    <w:rsid w:val="00E40397"/>
    <w:rsid w:val="00E4172B"/>
    <w:rsid w:val="00E41E79"/>
    <w:rsid w:val="00E42323"/>
    <w:rsid w:val="00E42564"/>
    <w:rsid w:val="00E42FF1"/>
    <w:rsid w:val="00E44B16"/>
    <w:rsid w:val="00E44C8E"/>
    <w:rsid w:val="00E45E2E"/>
    <w:rsid w:val="00E469E6"/>
    <w:rsid w:val="00E5710B"/>
    <w:rsid w:val="00E57E28"/>
    <w:rsid w:val="00E64A13"/>
    <w:rsid w:val="00E65A3B"/>
    <w:rsid w:val="00E65EA5"/>
    <w:rsid w:val="00E66702"/>
    <w:rsid w:val="00E67441"/>
    <w:rsid w:val="00E74814"/>
    <w:rsid w:val="00E75BEC"/>
    <w:rsid w:val="00E77D0E"/>
    <w:rsid w:val="00E80D32"/>
    <w:rsid w:val="00E83108"/>
    <w:rsid w:val="00E84128"/>
    <w:rsid w:val="00E87009"/>
    <w:rsid w:val="00E870D8"/>
    <w:rsid w:val="00E9094C"/>
    <w:rsid w:val="00E91AB7"/>
    <w:rsid w:val="00E927FC"/>
    <w:rsid w:val="00EA20D5"/>
    <w:rsid w:val="00EA41FB"/>
    <w:rsid w:val="00EA4DD3"/>
    <w:rsid w:val="00EA7607"/>
    <w:rsid w:val="00EB3F39"/>
    <w:rsid w:val="00EB5450"/>
    <w:rsid w:val="00EB6B28"/>
    <w:rsid w:val="00EC198E"/>
    <w:rsid w:val="00EC2B9C"/>
    <w:rsid w:val="00EC2D20"/>
    <w:rsid w:val="00EC4AE6"/>
    <w:rsid w:val="00EC740D"/>
    <w:rsid w:val="00EC7979"/>
    <w:rsid w:val="00ED1D49"/>
    <w:rsid w:val="00ED206C"/>
    <w:rsid w:val="00ED2752"/>
    <w:rsid w:val="00ED31C2"/>
    <w:rsid w:val="00ED67D8"/>
    <w:rsid w:val="00ED77D8"/>
    <w:rsid w:val="00EE07EC"/>
    <w:rsid w:val="00EE19C6"/>
    <w:rsid w:val="00EE1BD0"/>
    <w:rsid w:val="00EE27EB"/>
    <w:rsid w:val="00EE2922"/>
    <w:rsid w:val="00EE49ED"/>
    <w:rsid w:val="00EE63F7"/>
    <w:rsid w:val="00EF2DA8"/>
    <w:rsid w:val="00EF32BF"/>
    <w:rsid w:val="00EF4DFA"/>
    <w:rsid w:val="00EF6A48"/>
    <w:rsid w:val="00EF7300"/>
    <w:rsid w:val="00EF76CC"/>
    <w:rsid w:val="00EF7860"/>
    <w:rsid w:val="00EF7DC4"/>
    <w:rsid w:val="00F01EC2"/>
    <w:rsid w:val="00F0333B"/>
    <w:rsid w:val="00F0576C"/>
    <w:rsid w:val="00F05B70"/>
    <w:rsid w:val="00F06B9E"/>
    <w:rsid w:val="00F10030"/>
    <w:rsid w:val="00F112D5"/>
    <w:rsid w:val="00F14508"/>
    <w:rsid w:val="00F14A5E"/>
    <w:rsid w:val="00F2011F"/>
    <w:rsid w:val="00F2146D"/>
    <w:rsid w:val="00F2222C"/>
    <w:rsid w:val="00F23354"/>
    <w:rsid w:val="00F23A56"/>
    <w:rsid w:val="00F26FF3"/>
    <w:rsid w:val="00F2776B"/>
    <w:rsid w:val="00F30D4E"/>
    <w:rsid w:val="00F4001B"/>
    <w:rsid w:val="00F40A68"/>
    <w:rsid w:val="00F419FF"/>
    <w:rsid w:val="00F469F6"/>
    <w:rsid w:val="00F50C34"/>
    <w:rsid w:val="00F53D21"/>
    <w:rsid w:val="00F541D2"/>
    <w:rsid w:val="00F55168"/>
    <w:rsid w:val="00F62D29"/>
    <w:rsid w:val="00F67CD6"/>
    <w:rsid w:val="00F7201A"/>
    <w:rsid w:val="00F751DE"/>
    <w:rsid w:val="00F76AD4"/>
    <w:rsid w:val="00F81F45"/>
    <w:rsid w:val="00F83EE9"/>
    <w:rsid w:val="00F86B28"/>
    <w:rsid w:val="00F87029"/>
    <w:rsid w:val="00F90283"/>
    <w:rsid w:val="00F921FC"/>
    <w:rsid w:val="00F931F2"/>
    <w:rsid w:val="00F937F5"/>
    <w:rsid w:val="00F97BA2"/>
    <w:rsid w:val="00FA0CCC"/>
    <w:rsid w:val="00FA4BF2"/>
    <w:rsid w:val="00FA4FA4"/>
    <w:rsid w:val="00FA74B2"/>
    <w:rsid w:val="00FB03DB"/>
    <w:rsid w:val="00FB21C5"/>
    <w:rsid w:val="00FB4A33"/>
    <w:rsid w:val="00FB4C84"/>
    <w:rsid w:val="00FB5799"/>
    <w:rsid w:val="00FC3FC0"/>
    <w:rsid w:val="00FC6040"/>
    <w:rsid w:val="00FC6B1B"/>
    <w:rsid w:val="00FC767B"/>
    <w:rsid w:val="00FD3326"/>
    <w:rsid w:val="00FD349A"/>
    <w:rsid w:val="00FD3751"/>
    <w:rsid w:val="00FD6A6B"/>
    <w:rsid w:val="00FE1577"/>
    <w:rsid w:val="00FE19F2"/>
    <w:rsid w:val="00FE6272"/>
    <w:rsid w:val="00FE71F2"/>
    <w:rsid w:val="00FF6BCF"/>
    <w:rsid w:val="00FF7126"/>
    <w:rsid w:val="01462199"/>
    <w:rsid w:val="01543C57"/>
    <w:rsid w:val="020531A4"/>
    <w:rsid w:val="02551BB0"/>
    <w:rsid w:val="03555A65"/>
    <w:rsid w:val="04587CAC"/>
    <w:rsid w:val="047D760A"/>
    <w:rsid w:val="047F5824"/>
    <w:rsid w:val="04BB7034"/>
    <w:rsid w:val="052D4EEB"/>
    <w:rsid w:val="053A13B6"/>
    <w:rsid w:val="05880374"/>
    <w:rsid w:val="05FB28F4"/>
    <w:rsid w:val="06420131"/>
    <w:rsid w:val="06732DD2"/>
    <w:rsid w:val="067F10B1"/>
    <w:rsid w:val="06EE2149"/>
    <w:rsid w:val="06F84786"/>
    <w:rsid w:val="07893F2F"/>
    <w:rsid w:val="07E55609"/>
    <w:rsid w:val="07F7358F"/>
    <w:rsid w:val="08D82DCA"/>
    <w:rsid w:val="091245F8"/>
    <w:rsid w:val="09134173"/>
    <w:rsid w:val="091A1CF8"/>
    <w:rsid w:val="094B1DE4"/>
    <w:rsid w:val="0A1E55F4"/>
    <w:rsid w:val="0A5B1BB3"/>
    <w:rsid w:val="0A6749FB"/>
    <w:rsid w:val="0A9448FE"/>
    <w:rsid w:val="0B071D3B"/>
    <w:rsid w:val="0B0C761D"/>
    <w:rsid w:val="0BE70B0F"/>
    <w:rsid w:val="0D525ED5"/>
    <w:rsid w:val="0E115184"/>
    <w:rsid w:val="0E51667C"/>
    <w:rsid w:val="0E8649CF"/>
    <w:rsid w:val="0E9360EE"/>
    <w:rsid w:val="0EF8727B"/>
    <w:rsid w:val="0F7563EB"/>
    <w:rsid w:val="1045758D"/>
    <w:rsid w:val="104E486C"/>
    <w:rsid w:val="11090CCD"/>
    <w:rsid w:val="1175312F"/>
    <w:rsid w:val="11FD01D6"/>
    <w:rsid w:val="12241424"/>
    <w:rsid w:val="123310D1"/>
    <w:rsid w:val="126D554A"/>
    <w:rsid w:val="12841571"/>
    <w:rsid w:val="12BB3B36"/>
    <w:rsid w:val="12D35FAA"/>
    <w:rsid w:val="12DF10CF"/>
    <w:rsid w:val="134947B2"/>
    <w:rsid w:val="13D34EB0"/>
    <w:rsid w:val="141F00F5"/>
    <w:rsid w:val="146F0F54"/>
    <w:rsid w:val="147D160E"/>
    <w:rsid w:val="14C34F24"/>
    <w:rsid w:val="14C842E9"/>
    <w:rsid w:val="151614F8"/>
    <w:rsid w:val="15A15FD0"/>
    <w:rsid w:val="174D31CB"/>
    <w:rsid w:val="176714AB"/>
    <w:rsid w:val="17716EB9"/>
    <w:rsid w:val="17DA4A5F"/>
    <w:rsid w:val="17FE3F97"/>
    <w:rsid w:val="190A1374"/>
    <w:rsid w:val="19911EC0"/>
    <w:rsid w:val="19925ACB"/>
    <w:rsid w:val="19960E59"/>
    <w:rsid w:val="19962C07"/>
    <w:rsid w:val="1A0E6C42"/>
    <w:rsid w:val="1A147FE0"/>
    <w:rsid w:val="1A9A6727"/>
    <w:rsid w:val="1AA154CF"/>
    <w:rsid w:val="1AD32E61"/>
    <w:rsid w:val="1B854CE1"/>
    <w:rsid w:val="1B903686"/>
    <w:rsid w:val="1B970EB9"/>
    <w:rsid w:val="1C197AD1"/>
    <w:rsid w:val="1C494A5A"/>
    <w:rsid w:val="1CAE2016"/>
    <w:rsid w:val="1CC073C3"/>
    <w:rsid w:val="1CFA16FF"/>
    <w:rsid w:val="1D116B2C"/>
    <w:rsid w:val="1D305328"/>
    <w:rsid w:val="1D835251"/>
    <w:rsid w:val="1E5A79BB"/>
    <w:rsid w:val="1EB3624A"/>
    <w:rsid w:val="1F1C595D"/>
    <w:rsid w:val="1F5C21A1"/>
    <w:rsid w:val="1F8D23B7"/>
    <w:rsid w:val="2048525F"/>
    <w:rsid w:val="206F169E"/>
    <w:rsid w:val="20994D8B"/>
    <w:rsid w:val="213276BA"/>
    <w:rsid w:val="215A6C10"/>
    <w:rsid w:val="21A30C23"/>
    <w:rsid w:val="229B43CB"/>
    <w:rsid w:val="22E06EE9"/>
    <w:rsid w:val="235624B6"/>
    <w:rsid w:val="23DA0B18"/>
    <w:rsid w:val="24760453"/>
    <w:rsid w:val="24E525C6"/>
    <w:rsid w:val="2554432C"/>
    <w:rsid w:val="2671131D"/>
    <w:rsid w:val="273677D8"/>
    <w:rsid w:val="27A40BE5"/>
    <w:rsid w:val="27BE179E"/>
    <w:rsid w:val="285D2B42"/>
    <w:rsid w:val="2885221B"/>
    <w:rsid w:val="28AF15F0"/>
    <w:rsid w:val="290F02E0"/>
    <w:rsid w:val="29220E0A"/>
    <w:rsid w:val="298E7909"/>
    <w:rsid w:val="2A703001"/>
    <w:rsid w:val="2A9E51ED"/>
    <w:rsid w:val="2AAD528F"/>
    <w:rsid w:val="2AC96043"/>
    <w:rsid w:val="2B473D61"/>
    <w:rsid w:val="2B54022C"/>
    <w:rsid w:val="2BCA4992"/>
    <w:rsid w:val="2C3F2C8B"/>
    <w:rsid w:val="2C7548FE"/>
    <w:rsid w:val="2CC969F8"/>
    <w:rsid w:val="2CEA5988"/>
    <w:rsid w:val="2D2B1461"/>
    <w:rsid w:val="2D7626DC"/>
    <w:rsid w:val="2FF3270A"/>
    <w:rsid w:val="30275227"/>
    <w:rsid w:val="30760C45"/>
    <w:rsid w:val="30913CD1"/>
    <w:rsid w:val="30E97669"/>
    <w:rsid w:val="31447F44"/>
    <w:rsid w:val="31DB2B74"/>
    <w:rsid w:val="31E3055C"/>
    <w:rsid w:val="32110C25"/>
    <w:rsid w:val="32627A4B"/>
    <w:rsid w:val="32807E6D"/>
    <w:rsid w:val="328A54F4"/>
    <w:rsid w:val="33723946"/>
    <w:rsid w:val="33D764CA"/>
    <w:rsid w:val="35B45E1A"/>
    <w:rsid w:val="365E52D5"/>
    <w:rsid w:val="36BB2C81"/>
    <w:rsid w:val="372907BF"/>
    <w:rsid w:val="37344749"/>
    <w:rsid w:val="37841ADC"/>
    <w:rsid w:val="37922808"/>
    <w:rsid w:val="38A86F1F"/>
    <w:rsid w:val="38B8629F"/>
    <w:rsid w:val="38E80D8A"/>
    <w:rsid w:val="38F10BC8"/>
    <w:rsid w:val="39B53C0B"/>
    <w:rsid w:val="3A050E1C"/>
    <w:rsid w:val="3A0D6176"/>
    <w:rsid w:val="3A3000B7"/>
    <w:rsid w:val="3B3E1F80"/>
    <w:rsid w:val="3B4668D3"/>
    <w:rsid w:val="3B7A79F4"/>
    <w:rsid w:val="3B8E778B"/>
    <w:rsid w:val="3C177780"/>
    <w:rsid w:val="3C3C0E39"/>
    <w:rsid w:val="3CB60D47"/>
    <w:rsid w:val="3CF17FD1"/>
    <w:rsid w:val="3D1F6857"/>
    <w:rsid w:val="3DBF1E7D"/>
    <w:rsid w:val="3FA23059"/>
    <w:rsid w:val="3FD0327C"/>
    <w:rsid w:val="40386096"/>
    <w:rsid w:val="40776A3F"/>
    <w:rsid w:val="408A49C4"/>
    <w:rsid w:val="41067DC3"/>
    <w:rsid w:val="41847666"/>
    <w:rsid w:val="420460B1"/>
    <w:rsid w:val="42BA5938"/>
    <w:rsid w:val="44CD1324"/>
    <w:rsid w:val="44EB3214"/>
    <w:rsid w:val="456325A9"/>
    <w:rsid w:val="463C1E96"/>
    <w:rsid w:val="468E6D5F"/>
    <w:rsid w:val="46E252F4"/>
    <w:rsid w:val="47821423"/>
    <w:rsid w:val="47916B77"/>
    <w:rsid w:val="482A083B"/>
    <w:rsid w:val="4910358D"/>
    <w:rsid w:val="49107A31"/>
    <w:rsid w:val="495A5150"/>
    <w:rsid w:val="4968786D"/>
    <w:rsid w:val="4A3835D3"/>
    <w:rsid w:val="4A9115B0"/>
    <w:rsid w:val="4AF13892"/>
    <w:rsid w:val="4BA44460"/>
    <w:rsid w:val="4C0D4923"/>
    <w:rsid w:val="4C516396"/>
    <w:rsid w:val="4CE216E4"/>
    <w:rsid w:val="4D064B50"/>
    <w:rsid w:val="4D2F7879"/>
    <w:rsid w:val="4D355CB8"/>
    <w:rsid w:val="4D5F4AE3"/>
    <w:rsid w:val="4DEB6377"/>
    <w:rsid w:val="4E265601"/>
    <w:rsid w:val="4E301312"/>
    <w:rsid w:val="4E3E4C6B"/>
    <w:rsid w:val="4F1D4102"/>
    <w:rsid w:val="4FA40E18"/>
    <w:rsid w:val="500A284D"/>
    <w:rsid w:val="50194489"/>
    <w:rsid w:val="50AB5AB2"/>
    <w:rsid w:val="50AD6A6A"/>
    <w:rsid w:val="512D38B9"/>
    <w:rsid w:val="51730B5D"/>
    <w:rsid w:val="524B7D2C"/>
    <w:rsid w:val="524E3378"/>
    <w:rsid w:val="52B4142D"/>
    <w:rsid w:val="52F70215"/>
    <w:rsid w:val="53690469"/>
    <w:rsid w:val="536C1D08"/>
    <w:rsid w:val="54260108"/>
    <w:rsid w:val="554051FA"/>
    <w:rsid w:val="56280359"/>
    <w:rsid w:val="56F01B10"/>
    <w:rsid w:val="57787B9D"/>
    <w:rsid w:val="57D52571"/>
    <w:rsid w:val="580443EA"/>
    <w:rsid w:val="58432811"/>
    <w:rsid w:val="58B2640F"/>
    <w:rsid w:val="58B959EF"/>
    <w:rsid w:val="58D6554C"/>
    <w:rsid w:val="59417CFE"/>
    <w:rsid w:val="596A0FCC"/>
    <w:rsid w:val="596D6252"/>
    <w:rsid w:val="598348D9"/>
    <w:rsid w:val="59C503C4"/>
    <w:rsid w:val="5A7C5DE6"/>
    <w:rsid w:val="5AC16DDD"/>
    <w:rsid w:val="5ACC1441"/>
    <w:rsid w:val="5AED29FD"/>
    <w:rsid w:val="5B667E03"/>
    <w:rsid w:val="5C0F3B78"/>
    <w:rsid w:val="5C476060"/>
    <w:rsid w:val="5CC14FD1"/>
    <w:rsid w:val="5D6D0B56"/>
    <w:rsid w:val="5DB22A0D"/>
    <w:rsid w:val="5DF06550"/>
    <w:rsid w:val="5E8244C4"/>
    <w:rsid w:val="5EAD626E"/>
    <w:rsid w:val="5FE64BF0"/>
    <w:rsid w:val="601A158F"/>
    <w:rsid w:val="60932FCA"/>
    <w:rsid w:val="61131CE1"/>
    <w:rsid w:val="618B0515"/>
    <w:rsid w:val="620E3DBB"/>
    <w:rsid w:val="624D0F56"/>
    <w:rsid w:val="62715F9A"/>
    <w:rsid w:val="632A2747"/>
    <w:rsid w:val="63CF67CD"/>
    <w:rsid w:val="640D3093"/>
    <w:rsid w:val="6424218B"/>
    <w:rsid w:val="646E204B"/>
    <w:rsid w:val="64AD3F2E"/>
    <w:rsid w:val="651B48A9"/>
    <w:rsid w:val="657D4634"/>
    <w:rsid w:val="65DF0A5F"/>
    <w:rsid w:val="65E146BC"/>
    <w:rsid w:val="66623C10"/>
    <w:rsid w:val="666F74E7"/>
    <w:rsid w:val="667C62AE"/>
    <w:rsid w:val="67AC4971"/>
    <w:rsid w:val="680447AD"/>
    <w:rsid w:val="69652C31"/>
    <w:rsid w:val="6A0A597F"/>
    <w:rsid w:val="6A785127"/>
    <w:rsid w:val="6A885221"/>
    <w:rsid w:val="6AE61F48"/>
    <w:rsid w:val="6AED585C"/>
    <w:rsid w:val="6B3237D8"/>
    <w:rsid w:val="6B524FA0"/>
    <w:rsid w:val="6BC524A5"/>
    <w:rsid w:val="6C9205D9"/>
    <w:rsid w:val="6C933086"/>
    <w:rsid w:val="6DE203A3"/>
    <w:rsid w:val="6E00474B"/>
    <w:rsid w:val="6E2B2A93"/>
    <w:rsid w:val="6ECD4877"/>
    <w:rsid w:val="6F525DFE"/>
    <w:rsid w:val="6FDD0536"/>
    <w:rsid w:val="6FFB5D50"/>
    <w:rsid w:val="70622440"/>
    <w:rsid w:val="70673DA3"/>
    <w:rsid w:val="70A6600B"/>
    <w:rsid w:val="70ED4E68"/>
    <w:rsid w:val="71A5091A"/>
    <w:rsid w:val="71BB412E"/>
    <w:rsid w:val="72C15774"/>
    <w:rsid w:val="72D52798"/>
    <w:rsid w:val="73155AC0"/>
    <w:rsid w:val="73974727"/>
    <w:rsid w:val="73DD118F"/>
    <w:rsid w:val="73E3796C"/>
    <w:rsid w:val="74077FCD"/>
    <w:rsid w:val="740873D3"/>
    <w:rsid w:val="74441911"/>
    <w:rsid w:val="74940E29"/>
    <w:rsid w:val="749967BF"/>
    <w:rsid w:val="751F49D4"/>
    <w:rsid w:val="75D84986"/>
    <w:rsid w:val="770E4D00"/>
    <w:rsid w:val="78BB176F"/>
    <w:rsid w:val="78DA7590"/>
    <w:rsid w:val="79330A4E"/>
    <w:rsid w:val="795F7A95"/>
    <w:rsid w:val="79773031"/>
    <w:rsid w:val="79960FDD"/>
    <w:rsid w:val="7A9D430C"/>
    <w:rsid w:val="7ADC6EC3"/>
    <w:rsid w:val="7B292109"/>
    <w:rsid w:val="7B3A4316"/>
    <w:rsid w:val="7C480B89"/>
    <w:rsid w:val="7C8D2B6B"/>
    <w:rsid w:val="7C993579"/>
    <w:rsid w:val="7CC17314"/>
    <w:rsid w:val="7CFD61FE"/>
    <w:rsid w:val="7DC97BD3"/>
    <w:rsid w:val="7E2147BF"/>
    <w:rsid w:val="7E7E276B"/>
    <w:rsid w:val="7FAB4EE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nhideWhenUsed="0" w:uiPriority="0" w:semiHidden="0" w:name="index 1"/>
    <w:lsdException w:uiPriority="99" w:name="index 2"/>
    <w:lsdException w:uiPriority="99" w:name="index 3"/>
    <w:lsdException w:unhideWhenUsed="0" w:uiPriority="0" w:semiHidden="0" w:name="index 4"/>
    <w:lsdException w:unhideWhenUsed="0" w:uiPriority="0" w:semiHidden="0"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nhideWhenUsed="0" w:uiPriority="39" w:semiHidden="0" w:name="toc 2"/>
    <w:lsdException w:qFormat="1" w:unhideWhenUsed="0"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iPriority="99" w:name="index heading"/>
    <w:lsdException w:qFormat="1" w:uiPriority="0" w:semiHidden="0" w:name="caption"/>
    <w:lsdException w:uiPriority="99" w:name="table of figures"/>
    <w:lsdException w:uiPriority="99" w:name="envelope address"/>
    <w:lsdException w:uiPriority="99" w:name="envelope return"/>
    <w:lsdException w:unhideWhenUsed="0" w:uiPriority="0" w:semiHidden="0" w:name="footnote reference"/>
    <w:lsdException w:qFormat="1" w:unhideWhenUsed="0" w:uiPriority="0" w:semiHidden="0" w:name="annotation reference"/>
    <w:lsdException w:uiPriority="99" w:name="line number"/>
    <w:lsdException w:unhideWhenUsed="0" w:uiPriority="0" w:semiHidden="0" w:name="page number"/>
    <w:lsdException w:qFormat="1" w:uiPriority="99" w:name="endnote reference"/>
    <w:lsdException w:qFormat="1" w:uiPriority="99" w:name="endnote text"/>
    <w:lsdException w:uiPriority="99" w:name="table of authorities"/>
    <w:lsdException w:unhideWhenUsed="0" w:uiPriority="0" w:semiHidden="0" w:name="macro"/>
    <w:lsdException w:uiPriority="99" w:name="toa heading"/>
    <w:lsdException w:qFormat="1" w:unhideWhenUsed="0" w:uiPriority="0" w:semiHidden="0" w:name="List"/>
    <w:lsdException w:uiPriority="99" w:name="List Bullet"/>
    <w:lsdException w:qFormat="1" w:unhideWhenUsed="0" w:uiPriority="0" w:semiHidden="0" w:name="List Number"/>
    <w:lsdException w:uiPriority="99" w:name="List 2"/>
    <w:lsdException w:uiPriority="99" w:name="List 3"/>
    <w:lsdException w:uiPriority="99" w:name="List 4"/>
    <w:lsdException w:uiPriority="99" w:name="List 5"/>
    <w:lsdException w:unhideWhenUsed="0" w:uiPriority="0" w:semiHidden="0" w:name="List Bullet 2"/>
    <w:lsdException w:uiPriority="99" w:name="List Bullet 3"/>
    <w:lsdException w:uiPriority="99" w:name="List Bullet 4"/>
    <w:lsdException w:uiPriority="99" w:name="List Bullet 5"/>
    <w:lsdException w:qFormat="1" w:unhideWhenUsed="0" w:uiPriority="0" w:semiHidden="0"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nhideWhenUsed="0" w:uiPriority="0" w:semiHidden="0" w:name="Subtitle"/>
    <w:lsdException w:uiPriority="99" w:name="Salutation"/>
    <w:lsdException w:qFormat="1" w:unhideWhenUsed="0" w:uiPriority="0" w:semiHidden="0" w:name="Date"/>
    <w:lsdException w:qFormat="1" w:unhideWhenUsed="0" w:uiPriority="0" w:semiHidden="0" w:name="Body Text First Indent"/>
    <w:lsdException w:qFormat="1" w:uiPriority="99" w:semiHidden="0" w:name="Body Text First Indent 2"/>
    <w:lsdException w:uiPriority="99" w:name="Note Heading"/>
    <w:lsdException w:uiPriority="99" w:name="Body Text 2"/>
    <w:lsdException w:uiPriority="99" w:name="Body Text 3"/>
    <w:lsdException w:qFormat="1" w:unhideWhenUsed="0" w:uiPriority="0" w:semiHidden="0"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0" w:semiHidden="0" w:name="Strong"/>
    <w:lsdException w:unhideWhenUsed="0" w:uiPriority="0" w:semiHidden="0" w:name="Emphasis"/>
    <w:lsdException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nhideWhenUsed="0" w:uiPriority="0" w:semiHidden="0" w:name="HTML Cite"/>
    <w:lsdException w:qFormat="1" w:unhideWhenUsed="0" w:uiPriority="0" w:semiHidden="0" w:name="HTML Code"/>
    <w:lsdException w:unhideWhenUsed="0" w:uiPriority="0" w:semiHidden="0" w:name="HTML Definition"/>
    <w:lsdException w:unhideWhenUsed="0" w:uiPriority="0" w:semiHidden="0" w:name="HTML Keyboard"/>
    <w:lsdException w:uiPriority="99" w:name="HTML Preformatted"/>
    <w:lsdException w:qFormat="1" w:unhideWhenUsed="0" w:uiPriority="0" w:semiHidden="0" w:name="HTML Sample"/>
    <w:lsdException w:uiPriority="99" w:name="HTML Typewriter"/>
    <w:lsdException w:unhideWhenUsed="0" w:uiPriority="0" w:semiHidden="0" w:name="HTML Variable"/>
    <w:lsdException w:qFormat="1" w:uiPriority="99" w:name="Normal Table"/>
    <w:lsdException w:qFormat="1"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nhideWhenUsed="0" w:uiPriority="0" w:semiHidden="0"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adjustRightInd w:val="0"/>
      <w:snapToGrid w:val="0"/>
      <w:spacing w:line="360" w:lineRule="auto"/>
      <w:ind w:firstLine="883" w:firstLineChars="200"/>
      <w:jc w:val="both"/>
    </w:pPr>
    <w:rPr>
      <w:rFonts w:ascii="Calibri" w:hAnsi="Calibri" w:eastAsia="宋体" w:cs="Times New Roman"/>
      <w:spacing w:val="-2"/>
      <w:sz w:val="28"/>
      <w:lang w:val="en-US" w:eastAsia="zh-CN" w:bidi="ar-SA"/>
    </w:rPr>
  </w:style>
  <w:style w:type="paragraph" w:styleId="2">
    <w:name w:val="heading 1"/>
    <w:basedOn w:val="1"/>
    <w:next w:val="1"/>
    <w:link w:val="68"/>
    <w:qFormat/>
    <w:uiPriority w:val="0"/>
    <w:pPr>
      <w:keepNext/>
      <w:keepLines/>
      <w:spacing w:before="400" w:beforeLines="400" w:after="100" w:afterLines="100"/>
      <w:ind w:firstLine="0" w:firstLineChars="0"/>
      <w:jc w:val="center"/>
      <w:outlineLvl w:val="0"/>
    </w:pPr>
    <w:rPr>
      <w:rFonts w:ascii="Times New Roman" w:hAnsi="Times New Roman" w:eastAsia="宋体"/>
      <w:b/>
      <w:bCs/>
      <w:kern w:val="44"/>
      <w:sz w:val="32"/>
      <w:szCs w:val="44"/>
    </w:rPr>
  </w:style>
  <w:style w:type="paragraph" w:styleId="3">
    <w:name w:val="heading 2"/>
    <w:basedOn w:val="1"/>
    <w:next w:val="1"/>
    <w:link w:val="44"/>
    <w:qFormat/>
    <w:uiPriority w:val="0"/>
    <w:pPr>
      <w:keepNext/>
      <w:keepLines/>
      <w:spacing w:before="156" w:beforeLines="50" w:after="156" w:afterLines="50"/>
      <w:ind w:firstLine="0" w:firstLineChars="0"/>
      <w:jc w:val="left"/>
      <w:outlineLvl w:val="1"/>
    </w:pPr>
    <w:rPr>
      <w:rFonts w:ascii="Times New Roman" w:hAnsi="Times New Roman"/>
      <w:b/>
      <w:bCs/>
      <w:color w:val="000000" w:themeColor="text1"/>
      <w:sz w:val="30"/>
      <w:szCs w:val="30"/>
      <w14:textFill>
        <w14:solidFill>
          <w14:schemeClr w14:val="tx1"/>
        </w14:solidFill>
      </w14:textFill>
    </w:rPr>
  </w:style>
  <w:style w:type="paragraph" w:styleId="4">
    <w:name w:val="heading 3"/>
    <w:basedOn w:val="1"/>
    <w:next w:val="1"/>
    <w:link w:val="43"/>
    <w:qFormat/>
    <w:uiPriority w:val="0"/>
    <w:pPr>
      <w:keepNext/>
      <w:keepLines/>
      <w:spacing w:before="50" w:beforeLines="50"/>
      <w:ind w:firstLine="0" w:firstLineChars="0"/>
      <w:outlineLvl w:val="2"/>
    </w:pPr>
    <w:rPr>
      <w:rFonts w:ascii="Times New Roman" w:hAnsi="Times New Roman" w:eastAsia="宋体"/>
      <w:b/>
      <w:color w:val="000000" w:themeColor="text1"/>
      <w:szCs w:val="28"/>
      <w14:textFill>
        <w14:solidFill>
          <w14:schemeClr w14:val="tx1"/>
        </w14:solidFill>
      </w14:textFill>
    </w:rPr>
  </w:style>
  <w:style w:type="paragraph" w:styleId="5">
    <w:name w:val="heading 4"/>
    <w:basedOn w:val="1"/>
    <w:next w:val="1"/>
    <w:link w:val="65"/>
    <w:qFormat/>
    <w:uiPriority w:val="0"/>
    <w:pPr>
      <w:adjustRightInd/>
      <w:spacing w:before="93" w:beforeLines="30" w:after="93" w:afterLines="30"/>
      <w:ind w:firstLine="0" w:firstLineChars="0"/>
      <w:outlineLvl w:val="3"/>
    </w:pPr>
    <w:rPr>
      <w:rFonts w:ascii="Times New Roman" w:hAnsi="Times New Roman"/>
      <w:b/>
      <w:color w:val="000000" w:themeColor="text1"/>
      <w:szCs w:val="28"/>
      <w14:textFill>
        <w14:solidFill>
          <w14:schemeClr w14:val="tx1"/>
        </w14:solidFill>
      </w14:textFill>
    </w:rPr>
  </w:style>
  <w:style w:type="paragraph" w:styleId="6">
    <w:name w:val="heading 5"/>
    <w:basedOn w:val="1"/>
    <w:next w:val="1"/>
    <w:link w:val="70"/>
    <w:qFormat/>
    <w:uiPriority w:val="0"/>
    <w:pPr>
      <w:keepNext/>
      <w:keepLines/>
      <w:spacing w:before="280" w:after="290" w:line="376" w:lineRule="auto"/>
      <w:outlineLvl w:val="4"/>
    </w:pPr>
    <w:rPr>
      <w:rFonts w:ascii="Times New Roman" w:hAnsi="Times New Roman"/>
      <w:b/>
      <w:bCs/>
      <w:szCs w:val="28"/>
    </w:rPr>
  </w:style>
  <w:style w:type="paragraph" w:styleId="7">
    <w:name w:val="heading 6"/>
    <w:basedOn w:val="1"/>
    <w:next w:val="1"/>
    <w:link w:val="66"/>
    <w:qFormat/>
    <w:uiPriority w:val="0"/>
    <w:pPr>
      <w:keepNext/>
      <w:keepLines/>
      <w:spacing w:before="240" w:after="64" w:line="320" w:lineRule="auto"/>
      <w:outlineLvl w:val="5"/>
    </w:pPr>
    <w:rPr>
      <w:rFonts w:ascii="等线 Light" w:hAnsi="等线 Light" w:eastAsia="等线 Light"/>
      <w:b/>
      <w:bCs/>
      <w:sz w:val="24"/>
      <w:szCs w:val="24"/>
    </w:rPr>
  </w:style>
  <w:style w:type="paragraph" w:styleId="8">
    <w:name w:val="heading 7"/>
    <w:basedOn w:val="1"/>
    <w:next w:val="1"/>
    <w:link w:val="69"/>
    <w:qFormat/>
    <w:uiPriority w:val="0"/>
    <w:pPr>
      <w:keepNext/>
      <w:keepLines/>
      <w:spacing w:before="240" w:after="64" w:line="320" w:lineRule="auto"/>
      <w:outlineLvl w:val="6"/>
    </w:pPr>
    <w:rPr>
      <w:b/>
      <w:bCs/>
      <w:sz w:val="24"/>
      <w:szCs w:val="24"/>
    </w:rPr>
  </w:style>
  <w:style w:type="paragraph" w:styleId="9">
    <w:name w:val="heading 8"/>
    <w:basedOn w:val="1"/>
    <w:next w:val="1"/>
    <w:link w:val="72"/>
    <w:qFormat/>
    <w:uiPriority w:val="0"/>
    <w:pPr>
      <w:keepNext/>
      <w:keepLines/>
      <w:spacing w:before="240" w:after="64" w:line="320" w:lineRule="auto"/>
      <w:outlineLvl w:val="7"/>
    </w:pPr>
    <w:rPr>
      <w:rFonts w:ascii="等线 Light" w:hAnsi="等线 Light" w:eastAsia="等线 Light"/>
      <w:sz w:val="24"/>
      <w:szCs w:val="24"/>
    </w:rPr>
  </w:style>
  <w:style w:type="paragraph" w:styleId="10">
    <w:name w:val="heading 9"/>
    <w:basedOn w:val="1"/>
    <w:next w:val="1"/>
    <w:link w:val="71"/>
    <w:qFormat/>
    <w:uiPriority w:val="0"/>
    <w:pPr>
      <w:keepNext/>
      <w:keepLines/>
      <w:spacing w:before="240" w:after="64" w:line="320" w:lineRule="auto"/>
      <w:outlineLvl w:val="8"/>
    </w:pPr>
    <w:rPr>
      <w:rFonts w:ascii="等线 Light" w:hAnsi="等线 Light" w:eastAsia="等线 Light"/>
    </w:rPr>
  </w:style>
  <w:style w:type="character" w:default="1" w:styleId="37">
    <w:name w:val="Default Paragraph Font"/>
    <w:unhideWhenUsed/>
    <w:qFormat/>
    <w:uiPriority w:val="1"/>
  </w:style>
  <w:style w:type="table" w:default="1" w:styleId="35">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ind w:left="1680"/>
      <w:jc w:val="left"/>
    </w:pPr>
    <w:rPr>
      <w:rFonts w:asciiTheme="minorHAnsi" w:eastAsiaTheme="minorHAnsi"/>
      <w:sz w:val="18"/>
      <w:szCs w:val="18"/>
    </w:rPr>
  </w:style>
  <w:style w:type="paragraph" w:styleId="12">
    <w:name w:val="Normal Indent"/>
    <w:basedOn w:val="1"/>
    <w:link w:val="77"/>
    <w:qFormat/>
    <w:uiPriority w:val="0"/>
    <w:pPr>
      <w:ind w:firstLine="420"/>
    </w:pPr>
    <w:rPr>
      <w:rFonts w:hint="eastAsia" w:ascii="Times New Roman" w:hAnsi="Times New Roman"/>
      <w:spacing w:val="0"/>
      <w:kern w:val="2"/>
      <w:szCs w:val="28"/>
    </w:rPr>
  </w:style>
  <w:style w:type="paragraph" w:styleId="13">
    <w:name w:val="caption"/>
    <w:basedOn w:val="1"/>
    <w:next w:val="1"/>
    <w:unhideWhenUsed/>
    <w:qFormat/>
    <w:uiPriority w:val="0"/>
    <w:pPr>
      <w:ind w:firstLine="482"/>
      <w:jc w:val="center"/>
    </w:pPr>
    <w:rPr>
      <w:rFonts w:cstheme="majorBidi"/>
      <w:b/>
      <w:sz w:val="24"/>
      <w:szCs w:val="20"/>
    </w:rPr>
  </w:style>
  <w:style w:type="paragraph" w:styleId="14">
    <w:name w:val="annotation text"/>
    <w:basedOn w:val="1"/>
    <w:link w:val="75"/>
    <w:qFormat/>
    <w:uiPriority w:val="0"/>
    <w:pPr>
      <w:jc w:val="left"/>
    </w:pPr>
  </w:style>
  <w:style w:type="paragraph" w:styleId="15">
    <w:name w:val="Body Text"/>
    <w:basedOn w:val="1"/>
    <w:next w:val="1"/>
    <w:link w:val="51"/>
    <w:qFormat/>
    <w:uiPriority w:val="0"/>
    <w:pPr>
      <w:ind w:firstLine="552"/>
    </w:pPr>
    <w:rPr>
      <w:rFonts w:ascii="Times New Roman" w:hAnsi="Times New Roman"/>
      <w:color w:val="000000" w:themeColor="text1"/>
      <w:lang w:eastAsia="zh-TW"/>
      <w14:textFill>
        <w14:solidFill>
          <w14:schemeClr w14:val="tx1"/>
        </w14:solidFill>
      </w14:textFill>
    </w:rPr>
  </w:style>
  <w:style w:type="paragraph" w:styleId="16">
    <w:name w:val="Body Text Indent"/>
    <w:basedOn w:val="1"/>
    <w:qFormat/>
    <w:uiPriority w:val="0"/>
    <w:pPr>
      <w:spacing w:after="120"/>
      <w:ind w:left="420" w:leftChars="200"/>
    </w:pPr>
  </w:style>
  <w:style w:type="paragraph" w:styleId="17">
    <w:name w:val="toc 5"/>
    <w:basedOn w:val="1"/>
    <w:next w:val="1"/>
    <w:unhideWhenUsed/>
    <w:qFormat/>
    <w:uiPriority w:val="39"/>
    <w:pPr>
      <w:ind w:left="1120"/>
      <w:jc w:val="left"/>
    </w:pPr>
    <w:rPr>
      <w:rFonts w:asciiTheme="minorHAnsi" w:eastAsiaTheme="minorHAnsi"/>
      <w:sz w:val="18"/>
      <w:szCs w:val="18"/>
    </w:rPr>
  </w:style>
  <w:style w:type="paragraph" w:styleId="18">
    <w:name w:val="toc 3"/>
    <w:basedOn w:val="1"/>
    <w:next w:val="1"/>
    <w:qFormat/>
    <w:uiPriority w:val="39"/>
    <w:pPr>
      <w:ind w:left="561" w:firstLine="0" w:firstLineChars="0"/>
      <w:jc w:val="left"/>
    </w:pPr>
    <w:rPr>
      <w:rFonts w:ascii="Times New Roman" w:hAnsi="Times New Roman"/>
      <w:iCs/>
      <w:sz w:val="24"/>
    </w:rPr>
  </w:style>
  <w:style w:type="paragraph" w:styleId="19">
    <w:name w:val="Plain Text"/>
    <w:basedOn w:val="1"/>
    <w:link w:val="64"/>
    <w:qFormat/>
    <w:uiPriority w:val="0"/>
    <w:rPr>
      <w:rFonts w:ascii="宋体" w:hAnsi="Courier New"/>
      <w:sz w:val="20"/>
    </w:rPr>
  </w:style>
  <w:style w:type="paragraph" w:styleId="20">
    <w:name w:val="toc 8"/>
    <w:basedOn w:val="1"/>
    <w:next w:val="1"/>
    <w:unhideWhenUsed/>
    <w:qFormat/>
    <w:uiPriority w:val="39"/>
    <w:pPr>
      <w:ind w:left="1960"/>
      <w:jc w:val="left"/>
    </w:pPr>
    <w:rPr>
      <w:rFonts w:asciiTheme="minorHAnsi" w:eastAsiaTheme="minorHAnsi"/>
      <w:sz w:val="18"/>
      <w:szCs w:val="18"/>
    </w:rPr>
  </w:style>
  <w:style w:type="paragraph" w:styleId="21">
    <w:name w:val="footer"/>
    <w:basedOn w:val="1"/>
    <w:next w:val="19"/>
    <w:qFormat/>
    <w:uiPriority w:val="99"/>
    <w:pPr>
      <w:tabs>
        <w:tab w:val="center" w:pos="4153"/>
        <w:tab w:val="right" w:pos="8306"/>
      </w:tabs>
      <w:snapToGrid w:val="0"/>
      <w:spacing w:line="240" w:lineRule="auto"/>
      <w:jc w:val="left"/>
    </w:pPr>
    <w:rPr>
      <w:sz w:val="18"/>
      <w:szCs w:val="18"/>
    </w:rPr>
  </w:style>
  <w:style w:type="paragraph" w:styleId="22">
    <w:name w:val="header"/>
    <w:basedOn w:val="1"/>
    <w:next w:val="23"/>
    <w:link w:val="62"/>
    <w:qFormat/>
    <w:uiPriority w:val="0"/>
    <w:pPr>
      <w:pBdr>
        <w:bottom w:val="single" w:color="auto" w:sz="6" w:space="1"/>
      </w:pBdr>
      <w:tabs>
        <w:tab w:val="center" w:pos="4153"/>
        <w:tab w:val="right" w:pos="8306"/>
      </w:tabs>
      <w:ind w:firstLine="420"/>
      <w:jc w:val="center"/>
    </w:pPr>
    <w:rPr>
      <w:rFonts w:hint="eastAsia" w:ascii="Times New Roman" w:hAnsi="Times New Roman"/>
      <w:spacing w:val="0"/>
      <w:kern w:val="2"/>
      <w:sz w:val="18"/>
      <w:szCs w:val="18"/>
    </w:rPr>
  </w:style>
  <w:style w:type="paragraph" w:customStyle="1" w:styleId="23">
    <w:name w:val="正文文字"/>
    <w:basedOn w:val="1"/>
    <w:qFormat/>
    <w:uiPriority w:val="0"/>
    <w:pPr>
      <w:spacing w:line="360" w:lineRule="auto"/>
      <w:ind w:firstLine="480" w:firstLineChars="200"/>
    </w:pPr>
    <w:rPr>
      <w:color w:val="auto"/>
      <w:kern w:val="2"/>
      <w:lang w:val="en-US"/>
    </w:rPr>
  </w:style>
  <w:style w:type="paragraph" w:styleId="24">
    <w:name w:val="toc 1"/>
    <w:basedOn w:val="1"/>
    <w:next w:val="1"/>
    <w:qFormat/>
    <w:uiPriority w:val="39"/>
    <w:pPr>
      <w:ind w:firstLine="0" w:firstLineChars="0"/>
      <w:jc w:val="left"/>
    </w:pPr>
    <w:rPr>
      <w:rFonts w:ascii="Times New Roman" w:hAnsi="Times New Roman" w:eastAsia="宋体"/>
      <w:bCs/>
      <w:caps/>
      <w:sz w:val="24"/>
    </w:rPr>
  </w:style>
  <w:style w:type="paragraph" w:styleId="25">
    <w:name w:val="toc 4"/>
    <w:basedOn w:val="1"/>
    <w:next w:val="1"/>
    <w:unhideWhenUsed/>
    <w:qFormat/>
    <w:uiPriority w:val="39"/>
    <w:pPr>
      <w:ind w:left="840"/>
      <w:jc w:val="left"/>
    </w:pPr>
    <w:rPr>
      <w:rFonts w:asciiTheme="minorAscii" w:hAnsiTheme="minorAscii" w:eastAsiaTheme="minorEastAsia"/>
      <w:sz w:val="18"/>
      <w:szCs w:val="18"/>
    </w:rPr>
  </w:style>
  <w:style w:type="paragraph" w:styleId="26">
    <w:name w:val="toc 6"/>
    <w:basedOn w:val="1"/>
    <w:next w:val="1"/>
    <w:unhideWhenUsed/>
    <w:qFormat/>
    <w:uiPriority w:val="39"/>
    <w:pPr>
      <w:ind w:left="1400"/>
      <w:jc w:val="left"/>
    </w:pPr>
    <w:rPr>
      <w:rFonts w:asciiTheme="minorHAnsi" w:eastAsiaTheme="minorHAnsi"/>
      <w:sz w:val="18"/>
      <w:szCs w:val="18"/>
    </w:rPr>
  </w:style>
  <w:style w:type="paragraph" w:styleId="27">
    <w:name w:val="toc 2"/>
    <w:basedOn w:val="1"/>
    <w:next w:val="1"/>
    <w:link w:val="79"/>
    <w:qFormat/>
    <w:uiPriority w:val="39"/>
    <w:pPr>
      <w:ind w:left="278" w:firstLine="0" w:firstLineChars="0"/>
    </w:pPr>
    <w:rPr>
      <w:rFonts w:ascii="Times New Roman" w:hAnsi="Times New Roman" w:eastAsia="宋体"/>
      <w:smallCaps/>
      <w:sz w:val="24"/>
    </w:rPr>
  </w:style>
  <w:style w:type="paragraph" w:styleId="28">
    <w:name w:val="toc 9"/>
    <w:basedOn w:val="1"/>
    <w:next w:val="1"/>
    <w:unhideWhenUsed/>
    <w:qFormat/>
    <w:uiPriority w:val="39"/>
    <w:pPr>
      <w:ind w:left="2240"/>
      <w:jc w:val="left"/>
    </w:pPr>
    <w:rPr>
      <w:rFonts w:asciiTheme="minorHAnsi" w:eastAsiaTheme="minorHAnsi"/>
      <w:sz w:val="18"/>
      <w:szCs w:val="18"/>
    </w:rPr>
  </w:style>
  <w:style w:type="paragraph" w:styleId="29">
    <w:name w:val="Normal (Web)"/>
    <w:basedOn w:val="1"/>
    <w:qFormat/>
    <w:uiPriority w:val="0"/>
    <w:pPr>
      <w:widowControl/>
      <w:ind w:firstLine="560"/>
      <w:jc w:val="left"/>
    </w:pPr>
    <w:rPr>
      <w:rFonts w:ascii="Times New Roman" w:hAnsi="Times New Roman"/>
      <w:spacing w:val="0"/>
      <w:szCs w:val="24"/>
    </w:rPr>
  </w:style>
  <w:style w:type="paragraph" w:styleId="30">
    <w:name w:val="Title"/>
    <w:basedOn w:val="1"/>
    <w:next w:val="1"/>
    <w:link w:val="61"/>
    <w:qFormat/>
    <w:uiPriority w:val="0"/>
    <w:pPr>
      <w:spacing w:before="240" w:after="60"/>
      <w:jc w:val="center"/>
      <w:outlineLvl w:val="0"/>
    </w:pPr>
    <w:rPr>
      <w:rFonts w:ascii="等线 Light" w:hAnsi="等线 Light" w:eastAsia="等线 Light"/>
      <w:b/>
      <w:bCs/>
      <w:sz w:val="32"/>
      <w:szCs w:val="32"/>
    </w:rPr>
  </w:style>
  <w:style w:type="paragraph" w:styleId="31">
    <w:name w:val="annotation subject"/>
    <w:basedOn w:val="14"/>
    <w:next w:val="14"/>
    <w:link w:val="76"/>
    <w:qFormat/>
    <w:uiPriority w:val="0"/>
    <w:rPr>
      <w:b/>
      <w:bCs/>
    </w:rPr>
  </w:style>
  <w:style w:type="paragraph" w:styleId="32">
    <w:name w:val="Body Text First Indent"/>
    <w:basedOn w:val="15"/>
    <w:next w:val="33"/>
    <w:link w:val="63"/>
    <w:qFormat/>
    <w:uiPriority w:val="0"/>
    <w:pPr>
      <w:spacing w:after="120"/>
      <w:ind w:firstLine="420" w:firstLineChars="100"/>
    </w:pPr>
    <w:rPr>
      <w:rFonts w:ascii="Calibri" w:hAnsi="Calibri"/>
    </w:rPr>
  </w:style>
  <w:style w:type="paragraph" w:customStyle="1" w:styleId="33">
    <w:name w:val="样式 正文首行缩进 + 首行缩进:  1 字符"/>
    <w:qFormat/>
    <w:uiPriority w:val="0"/>
    <w:pPr>
      <w:widowControl w:val="0"/>
      <w:tabs>
        <w:tab w:val="left" w:pos="5327"/>
        <w:tab w:val="left" w:pos="6326"/>
        <w:tab w:val="left" w:pos="7230"/>
        <w:tab w:val="left" w:pos="9301"/>
      </w:tabs>
      <w:adjustRightInd/>
      <w:snapToGrid w:val="0"/>
      <w:spacing w:before="120" w:beforeLines="0" w:after="120" w:afterLines="0" w:line="560" w:lineRule="exact"/>
      <w:ind w:firstLine="560" w:firstLineChars="200"/>
      <w:jc w:val="left"/>
      <w:textAlignment w:val="auto"/>
    </w:pPr>
    <w:rPr>
      <w:rFonts w:ascii="宋体" w:hAnsi="宋体" w:eastAsia="MingLiU" w:cs="宋体"/>
      <w:kern w:val="10"/>
      <w:sz w:val="28"/>
      <w:szCs w:val="28"/>
      <w:u w:val="none"/>
      <w:lang w:val="en-US" w:eastAsia="zh-CN" w:bidi="ar-SA"/>
    </w:rPr>
  </w:style>
  <w:style w:type="paragraph" w:styleId="34">
    <w:name w:val="Body Text First Indent 2"/>
    <w:basedOn w:val="16"/>
    <w:unhideWhenUsed/>
    <w:qFormat/>
    <w:uiPriority w:val="99"/>
    <w:pPr>
      <w:spacing w:after="120"/>
      <w:ind w:left="420" w:leftChars="200" w:firstLine="420" w:firstLineChars="200"/>
    </w:pPr>
    <w:rPr>
      <w:rFonts w:ascii="Calibri" w:hAnsi="Calibri" w:eastAsia="宋体"/>
      <w:sz w:val="21"/>
      <w:szCs w:val="22"/>
    </w:rPr>
  </w:style>
  <w:style w:type="table" w:styleId="36">
    <w:name w:val="Table Grid"/>
    <w:basedOn w:val="3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38">
    <w:name w:val="Strong"/>
    <w:basedOn w:val="37"/>
    <w:qFormat/>
    <w:uiPriority w:val="0"/>
    <w:rPr>
      <w:b/>
    </w:rPr>
  </w:style>
  <w:style w:type="character" w:styleId="39">
    <w:name w:val="Hyperlink"/>
    <w:basedOn w:val="37"/>
    <w:unhideWhenUsed/>
    <w:qFormat/>
    <w:uiPriority w:val="99"/>
    <w:rPr>
      <w:color w:val="0563C1" w:themeColor="hyperlink"/>
      <w:u w:val="single"/>
      <w14:textFill>
        <w14:solidFill>
          <w14:schemeClr w14:val="hlink"/>
        </w14:solidFill>
      </w14:textFill>
    </w:rPr>
  </w:style>
  <w:style w:type="character" w:styleId="40">
    <w:name w:val="HTML Code"/>
    <w:basedOn w:val="37"/>
    <w:qFormat/>
    <w:uiPriority w:val="0"/>
    <w:rPr>
      <w:rFonts w:ascii="Courier New" w:hAnsi="Courier New" w:cs="Courier New"/>
      <w:sz w:val="20"/>
      <w:szCs w:val="20"/>
    </w:rPr>
  </w:style>
  <w:style w:type="character" w:styleId="41">
    <w:name w:val="annotation reference"/>
    <w:basedOn w:val="37"/>
    <w:qFormat/>
    <w:uiPriority w:val="0"/>
    <w:rPr>
      <w:sz w:val="21"/>
      <w:szCs w:val="21"/>
    </w:rPr>
  </w:style>
  <w:style w:type="character" w:styleId="42">
    <w:name w:val="HTML Sample"/>
    <w:basedOn w:val="37"/>
    <w:qFormat/>
    <w:uiPriority w:val="0"/>
    <w:rPr>
      <w:rFonts w:ascii="Courier New" w:hAnsi="Courier New" w:cs="Courier New"/>
    </w:rPr>
  </w:style>
  <w:style w:type="character" w:customStyle="1" w:styleId="43">
    <w:name w:val="标题 3 字符"/>
    <w:link w:val="4"/>
    <w:qFormat/>
    <w:uiPriority w:val="0"/>
    <w:rPr>
      <w:rFonts w:ascii="Times New Roman" w:hAnsi="Times New Roman" w:eastAsia="宋体"/>
      <w:b/>
      <w:bCs/>
      <w:color w:val="000000" w:themeColor="text1"/>
      <w:spacing w:val="-2"/>
      <w:sz w:val="28"/>
      <w:szCs w:val="28"/>
      <w14:textFill>
        <w14:solidFill>
          <w14:schemeClr w14:val="tx1"/>
        </w14:solidFill>
      </w14:textFill>
    </w:rPr>
  </w:style>
  <w:style w:type="character" w:customStyle="1" w:styleId="44">
    <w:name w:val="标题 2 字符"/>
    <w:link w:val="3"/>
    <w:qFormat/>
    <w:uiPriority w:val="0"/>
    <w:rPr>
      <w:b/>
      <w:bCs/>
      <w:color w:val="000000" w:themeColor="text1"/>
      <w:spacing w:val="-2"/>
      <w:sz w:val="30"/>
      <w:szCs w:val="30"/>
      <w14:textFill>
        <w14:solidFill>
          <w14:schemeClr w14:val="tx1"/>
        </w14:solidFill>
      </w14:textFill>
    </w:rPr>
  </w:style>
  <w:style w:type="paragraph" w:customStyle="1" w:styleId="45">
    <w:name w:val="表头"/>
    <w:basedOn w:val="1"/>
    <w:link w:val="46"/>
    <w:qFormat/>
    <w:uiPriority w:val="0"/>
    <w:pPr>
      <w:spacing w:before="50" w:beforeLines="50" w:after="25" w:afterLines="25" w:line="240" w:lineRule="auto"/>
      <w:ind w:firstLine="0" w:firstLineChars="0"/>
      <w:jc w:val="center"/>
    </w:pPr>
    <w:rPr>
      <w:rFonts w:ascii="Times New Roman" w:hAnsi="Times New Roman" w:eastAsia="宋体"/>
      <w:b/>
      <w:kern w:val="2"/>
      <w:sz w:val="24"/>
      <w:szCs w:val="28"/>
      <w:lang w:eastAsia="zh-CN"/>
    </w:rPr>
  </w:style>
  <w:style w:type="character" w:customStyle="1" w:styleId="46">
    <w:name w:val="表头 Char"/>
    <w:link w:val="45"/>
    <w:qFormat/>
    <w:uiPriority w:val="0"/>
    <w:rPr>
      <w:rFonts w:ascii="Times New Roman" w:hAnsi="Times New Roman" w:eastAsia="宋体"/>
      <w:b/>
      <w:kern w:val="2"/>
      <w:sz w:val="24"/>
      <w:szCs w:val="28"/>
      <w:lang w:eastAsia="zh-CN"/>
    </w:rPr>
  </w:style>
  <w:style w:type="paragraph" w:customStyle="1" w:styleId="47">
    <w:name w:val="表格 表头"/>
    <w:basedOn w:val="1"/>
    <w:link w:val="67"/>
    <w:qFormat/>
    <w:uiPriority w:val="0"/>
    <w:pPr>
      <w:spacing w:line="240" w:lineRule="auto"/>
      <w:ind w:firstLine="0" w:firstLineChars="0"/>
      <w:jc w:val="center"/>
    </w:pPr>
    <w:rPr>
      <w:rFonts w:eastAsia="宋体"/>
      <w:b/>
      <w:sz w:val="21"/>
    </w:rPr>
  </w:style>
  <w:style w:type="paragraph" w:customStyle="1" w:styleId="48">
    <w:name w:val="表格 内容"/>
    <w:basedOn w:val="1"/>
    <w:qFormat/>
    <w:uiPriority w:val="0"/>
    <w:pPr>
      <w:spacing w:line="240" w:lineRule="auto"/>
      <w:ind w:firstLine="0" w:firstLineChars="0"/>
      <w:jc w:val="left"/>
    </w:pPr>
    <w:rPr>
      <w:rFonts w:hint="eastAsia" w:ascii="Times New Roman" w:hAnsi="Times New Roman" w:eastAsia="宋体" w:cs="Times New Roman"/>
      <w:spacing w:val="-2"/>
      <w:sz w:val="21"/>
      <w:szCs w:val="21"/>
    </w:rPr>
  </w:style>
  <w:style w:type="paragraph" w:customStyle="1" w:styleId="49">
    <w:name w:val="表格内容左"/>
    <w:basedOn w:val="19"/>
    <w:qFormat/>
    <w:uiPriority w:val="0"/>
    <w:pPr>
      <w:spacing w:line="240" w:lineRule="auto"/>
      <w:ind w:firstLine="0" w:firstLineChars="0"/>
      <w:jc w:val="left"/>
    </w:pPr>
    <w:rPr>
      <w:rFonts w:hint="eastAsia" w:ascii="Times New Roman" w:hAnsi="Times New Roman"/>
      <w:sz w:val="24"/>
      <w:szCs w:val="21"/>
      <w:lang w:eastAsia="zh-CN"/>
    </w:rPr>
  </w:style>
  <w:style w:type="paragraph" w:customStyle="1" w:styleId="50">
    <w:name w:val="表格内容宋五（左）"/>
    <w:basedOn w:val="19"/>
    <w:link w:val="85"/>
    <w:qFormat/>
    <w:uiPriority w:val="0"/>
    <w:pPr>
      <w:widowControl/>
      <w:adjustRightInd/>
      <w:snapToGrid/>
      <w:spacing w:line="240" w:lineRule="auto"/>
      <w:ind w:firstLine="0" w:firstLineChars="0"/>
      <w:jc w:val="left"/>
    </w:pPr>
    <w:rPr>
      <w:rFonts w:ascii="Times New Roman" w:hAnsi="Times New Roman" w:eastAsia="宋体" w:cs="Times New Roman"/>
      <w:kern w:val="0"/>
      <w:sz w:val="21"/>
      <w:szCs w:val="20"/>
      <w:lang w:eastAsia="zh-CN"/>
    </w:rPr>
  </w:style>
  <w:style w:type="character" w:customStyle="1" w:styleId="51">
    <w:name w:val="正文文本 字符"/>
    <w:link w:val="15"/>
    <w:qFormat/>
    <w:uiPriority w:val="0"/>
    <w:rPr>
      <w:color w:val="000000" w:themeColor="text1"/>
      <w:spacing w:val="-2"/>
      <w:sz w:val="28"/>
      <w:lang w:eastAsia="zh-TW"/>
      <w14:textFill>
        <w14:solidFill>
          <w14:schemeClr w14:val="tx1"/>
        </w14:solidFill>
      </w14:textFill>
    </w:rPr>
  </w:style>
  <w:style w:type="paragraph" w:customStyle="1" w:styleId="52">
    <w:name w:val="表格 内容（中五）"/>
    <w:basedOn w:val="1"/>
    <w:qFormat/>
    <w:uiPriority w:val="0"/>
    <w:pPr>
      <w:spacing w:line="480" w:lineRule="auto"/>
      <w:ind w:firstLine="0" w:firstLineChars="0"/>
      <w:jc w:val="center"/>
    </w:pPr>
    <w:rPr>
      <w:rFonts w:ascii="Calibri" w:hAnsi="Calibri" w:eastAsia="宋体" w:cs="Times New Roman"/>
      <w:spacing w:val="-2"/>
      <w:sz w:val="21"/>
    </w:rPr>
  </w:style>
  <w:style w:type="character" w:customStyle="1" w:styleId="53">
    <w:name w:val="表格 内容 字符"/>
    <w:link w:val="54"/>
    <w:qFormat/>
    <w:uiPriority w:val="0"/>
    <w:rPr>
      <w:rFonts w:eastAsia="宋体"/>
      <w:sz w:val="21"/>
    </w:rPr>
  </w:style>
  <w:style w:type="paragraph" w:customStyle="1" w:styleId="54">
    <w:name w:val="表格内容中"/>
    <w:basedOn w:val="1"/>
    <w:link w:val="53"/>
    <w:qFormat/>
    <w:uiPriority w:val="0"/>
    <w:pPr>
      <w:spacing w:line="240" w:lineRule="auto"/>
      <w:ind w:firstLine="0" w:firstLineChars="0"/>
      <w:jc w:val="center"/>
    </w:pPr>
    <w:rPr>
      <w:rFonts w:eastAsia="宋体"/>
      <w:sz w:val="21"/>
    </w:rPr>
  </w:style>
  <w:style w:type="paragraph" w:customStyle="1" w:styleId="55">
    <w:name w:val="表格内容（ 左五）"/>
    <w:basedOn w:val="1"/>
    <w:qFormat/>
    <w:uiPriority w:val="0"/>
    <w:pPr>
      <w:spacing w:line="240" w:lineRule="auto"/>
      <w:ind w:firstLine="0" w:firstLineChars="0"/>
      <w:jc w:val="left"/>
    </w:pPr>
    <w:rPr>
      <w:rFonts w:ascii="Calibri" w:hAnsi="Calibri" w:cs="Times New Roman"/>
      <w:spacing w:val="-2"/>
      <w:sz w:val="21"/>
    </w:rPr>
  </w:style>
  <w:style w:type="paragraph" w:customStyle="1" w:styleId="56">
    <w:name w:val="2表头"/>
    <w:basedOn w:val="48"/>
    <w:next w:val="57"/>
    <w:link w:val="94"/>
    <w:qFormat/>
    <w:uiPriority w:val="0"/>
    <w:pPr>
      <w:spacing w:line="240" w:lineRule="auto"/>
      <w:ind w:firstLine="0" w:firstLineChars="0"/>
      <w:jc w:val="center"/>
      <w:outlineLvl w:val="9"/>
    </w:pPr>
    <w:rPr>
      <w:rFonts w:ascii="Times New Roman" w:hAnsi="Times New Roman" w:eastAsia="宋体" w:cs="Times New Roman"/>
      <w:b/>
    </w:rPr>
  </w:style>
  <w:style w:type="paragraph" w:customStyle="1" w:styleId="57">
    <w:name w:val="Char"/>
    <w:basedOn w:val="1"/>
    <w:qFormat/>
    <w:uiPriority w:val="0"/>
    <w:pPr>
      <w:ind w:firstLine="0" w:firstLineChars="0"/>
      <w:jc w:val="left"/>
    </w:pPr>
    <w:rPr>
      <w:rFonts w:ascii="宋体" w:hAnsi="宋体" w:cs="宋体"/>
      <w:spacing w:val="0"/>
      <w:kern w:val="2"/>
      <w:sz w:val="24"/>
      <w:szCs w:val="24"/>
    </w:rPr>
  </w:style>
  <w:style w:type="character" w:customStyle="1" w:styleId="58">
    <w:name w:val="表格内容（ 左五） Char"/>
    <w:link w:val="59"/>
    <w:qFormat/>
    <w:uiPriority w:val="0"/>
    <w:rPr>
      <w:rFonts w:eastAsia="宋体"/>
      <w:sz w:val="21"/>
    </w:rPr>
  </w:style>
  <w:style w:type="paragraph" w:customStyle="1" w:styleId="59">
    <w:name w:val="表格内容左五"/>
    <w:basedOn w:val="1"/>
    <w:link w:val="58"/>
    <w:qFormat/>
    <w:uiPriority w:val="0"/>
    <w:pPr>
      <w:spacing w:line="240" w:lineRule="auto"/>
      <w:ind w:firstLine="0" w:firstLineChars="0"/>
      <w:jc w:val="left"/>
    </w:pPr>
    <w:rPr>
      <w:rFonts w:eastAsia="宋体"/>
      <w:sz w:val="21"/>
    </w:rPr>
  </w:style>
  <w:style w:type="paragraph" w:customStyle="1" w:styleId="60">
    <w:name w:val="表格内容"/>
    <w:basedOn w:val="1"/>
    <w:qFormat/>
    <w:uiPriority w:val="0"/>
    <w:pPr>
      <w:spacing w:line="240" w:lineRule="auto"/>
      <w:ind w:firstLine="0" w:firstLineChars="0"/>
      <w:jc w:val="left"/>
    </w:pPr>
    <w:rPr>
      <w:rFonts w:hint="eastAsia" w:ascii="Times New Roman" w:hAnsi="Times New Roman" w:eastAsia="宋体"/>
      <w:sz w:val="21"/>
      <w:szCs w:val="21"/>
    </w:rPr>
  </w:style>
  <w:style w:type="character" w:customStyle="1" w:styleId="61">
    <w:name w:val="标题 字符"/>
    <w:link w:val="30"/>
    <w:qFormat/>
    <w:uiPriority w:val="0"/>
    <w:rPr>
      <w:rFonts w:ascii="等线 Light" w:hAnsi="等线 Light" w:eastAsia="等线 Light" w:cs="Times New Roman"/>
      <w:b/>
      <w:bCs/>
      <w:sz w:val="32"/>
      <w:szCs w:val="32"/>
    </w:rPr>
  </w:style>
  <w:style w:type="character" w:customStyle="1" w:styleId="62">
    <w:name w:val="页眉 字符"/>
    <w:basedOn w:val="37"/>
    <w:link w:val="22"/>
    <w:qFormat/>
    <w:uiPriority w:val="0"/>
    <w:rPr>
      <w:kern w:val="2"/>
      <w:sz w:val="18"/>
      <w:szCs w:val="18"/>
    </w:rPr>
  </w:style>
  <w:style w:type="character" w:customStyle="1" w:styleId="63">
    <w:name w:val="正文文本首行缩进 字符"/>
    <w:basedOn w:val="51"/>
    <w:link w:val="32"/>
    <w:qFormat/>
    <w:uiPriority w:val="0"/>
    <w:rPr>
      <w:rFonts w:ascii="Calibri" w:hAnsi="Calibri"/>
      <w:color w:val="000000" w:themeColor="text1"/>
      <w:spacing w:val="-2"/>
      <w:sz w:val="28"/>
      <w:lang w:eastAsia="zh-TW"/>
      <w14:textFill>
        <w14:solidFill>
          <w14:schemeClr w14:val="tx1"/>
        </w14:solidFill>
      </w14:textFill>
    </w:rPr>
  </w:style>
  <w:style w:type="character" w:customStyle="1" w:styleId="64">
    <w:name w:val="纯文本 字符"/>
    <w:link w:val="19"/>
    <w:qFormat/>
    <w:uiPriority w:val="0"/>
    <w:rPr>
      <w:rFonts w:ascii="宋体" w:hAnsi="Courier New"/>
      <w:kern w:val="0"/>
      <w:sz w:val="20"/>
    </w:rPr>
  </w:style>
  <w:style w:type="character" w:customStyle="1" w:styleId="65">
    <w:name w:val="标题 4 字符"/>
    <w:link w:val="5"/>
    <w:qFormat/>
    <w:uiPriority w:val="0"/>
    <w:rPr>
      <w:b/>
      <w:color w:val="000000" w:themeColor="text1"/>
      <w:spacing w:val="-2"/>
      <w:sz w:val="28"/>
      <w:szCs w:val="28"/>
      <w14:textFill>
        <w14:solidFill>
          <w14:schemeClr w14:val="tx1"/>
        </w14:solidFill>
      </w14:textFill>
    </w:rPr>
  </w:style>
  <w:style w:type="character" w:customStyle="1" w:styleId="66">
    <w:name w:val="标题 6 字符"/>
    <w:link w:val="7"/>
    <w:qFormat/>
    <w:uiPriority w:val="0"/>
    <w:rPr>
      <w:rFonts w:ascii="等线 Light" w:hAnsi="等线 Light" w:eastAsia="等线 Light" w:cs="Times New Roman"/>
      <w:b/>
      <w:bCs/>
      <w:sz w:val="24"/>
      <w:szCs w:val="24"/>
    </w:rPr>
  </w:style>
  <w:style w:type="character" w:customStyle="1" w:styleId="67">
    <w:name w:val="表格 表头 字符"/>
    <w:link w:val="47"/>
    <w:qFormat/>
    <w:uiPriority w:val="0"/>
    <w:rPr>
      <w:rFonts w:eastAsia="宋体"/>
      <w:b/>
      <w:sz w:val="21"/>
    </w:rPr>
  </w:style>
  <w:style w:type="character" w:customStyle="1" w:styleId="68">
    <w:name w:val="标题 1 字符"/>
    <w:link w:val="2"/>
    <w:qFormat/>
    <w:uiPriority w:val="0"/>
    <w:rPr>
      <w:rFonts w:ascii="Times New Roman" w:hAnsi="Times New Roman" w:eastAsia="宋体"/>
      <w:b/>
      <w:bCs/>
      <w:spacing w:val="-2"/>
      <w:kern w:val="44"/>
      <w:sz w:val="32"/>
      <w:szCs w:val="44"/>
    </w:rPr>
  </w:style>
  <w:style w:type="character" w:customStyle="1" w:styleId="69">
    <w:name w:val="标题 7 字符1"/>
    <w:link w:val="8"/>
    <w:qFormat/>
    <w:uiPriority w:val="0"/>
    <w:rPr>
      <w:b/>
      <w:bCs/>
      <w:sz w:val="24"/>
      <w:szCs w:val="24"/>
    </w:rPr>
  </w:style>
  <w:style w:type="character" w:customStyle="1" w:styleId="70">
    <w:name w:val="标题 5 字符"/>
    <w:link w:val="6"/>
    <w:qFormat/>
    <w:uiPriority w:val="0"/>
    <w:rPr>
      <w:rFonts w:ascii="Times New Roman" w:hAnsi="Times New Roman" w:eastAsia="宋体"/>
      <w:b/>
      <w:bCs/>
      <w:sz w:val="28"/>
      <w:szCs w:val="28"/>
    </w:rPr>
  </w:style>
  <w:style w:type="character" w:customStyle="1" w:styleId="71">
    <w:name w:val="标题 9 字符1"/>
    <w:link w:val="10"/>
    <w:qFormat/>
    <w:uiPriority w:val="0"/>
    <w:rPr>
      <w:rFonts w:ascii="等线 Light" w:hAnsi="等线 Light" w:eastAsia="等线 Light" w:cs="Times New Roman"/>
    </w:rPr>
  </w:style>
  <w:style w:type="character" w:customStyle="1" w:styleId="72">
    <w:name w:val="标题 8 字符"/>
    <w:link w:val="9"/>
    <w:qFormat/>
    <w:uiPriority w:val="0"/>
    <w:rPr>
      <w:rFonts w:ascii="等线 Light" w:hAnsi="等线 Light" w:eastAsia="等线 Light" w:cs="Times New Roman"/>
      <w:sz w:val="24"/>
      <w:szCs w:val="24"/>
    </w:rPr>
  </w:style>
  <w:style w:type="paragraph" w:customStyle="1" w:styleId="73">
    <w:name w:val="图表头"/>
    <w:basedOn w:val="1"/>
    <w:next w:val="1"/>
    <w:link w:val="80"/>
    <w:qFormat/>
    <w:uiPriority w:val="0"/>
    <w:pPr>
      <w:ind w:firstLine="0" w:firstLineChars="0"/>
      <w:jc w:val="center"/>
    </w:pPr>
    <w:rPr>
      <w:b/>
      <w:sz w:val="24"/>
    </w:rPr>
  </w:style>
  <w:style w:type="paragraph" w:styleId="74">
    <w:name w:val="List Paragraph"/>
    <w:basedOn w:val="1"/>
    <w:qFormat/>
    <w:uiPriority w:val="99"/>
    <w:pPr>
      <w:ind w:firstLine="420"/>
    </w:pPr>
  </w:style>
  <w:style w:type="character" w:customStyle="1" w:styleId="75">
    <w:name w:val="批注文字 字符"/>
    <w:basedOn w:val="37"/>
    <w:link w:val="14"/>
    <w:qFormat/>
    <w:uiPriority w:val="0"/>
    <w:rPr>
      <w:rFonts w:ascii="Calibri" w:hAnsi="Calibri"/>
      <w:spacing w:val="-2"/>
      <w:sz w:val="28"/>
    </w:rPr>
  </w:style>
  <w:style w:type="character" w:customStyle="1" w:styleId="76">
    <w:name w:val="批注主题 字符"/>
    <w:basedOn w:val="75"/>
    <w:link w:val="31"/>
    <w:qFormat/>
    <w:uiPriority w:val="0"/>
    <w:rPr>
      <w:rFonts w:ascii="Calibri" w:hAnsi="Calibri"/>
      <w:b/>
      <w:bCs/>
      <w:spacing w:val="-2"/>
      <w:sz w:val="28"/>
    </w:rPr>
  </w:style>
  <w:style w:type="character" w:customStyle="1" w:styleId="77">
    <w:name w:val="正文缩进 字符"/>
    <w:link w:val="12"/>
    <w:qFormat/>
    <w:uiPriority w:val="0"/>
    <w:rPr>
      <w:kern w:val="2"/>
      <w:sz w:val="28"/>
      <w:szCs w:val="28"/>
    </w:rPr>
  </w:style>
  <w:style w:type="table" w:customStyle="1" w:styleId="78">
    <w:name w:val="Table Normal"/>
    <w:unhideWhenUsed/>
    <w:qFormat/>
    <w:uiPriority w:val="0"/>
    <w:tblPr>
      <w:tblCellMar>
        <w:top w:w="0" w:type="dxa"/>
        <w:left w:w="0" w:type="dxa"/>
        <w:bottom w:w="0" w:type="dxa"/>
        <w:right w:w="0" w:type="dxa"/>
      </w:tblCellMar>
    </w:tblPr>
  </w:style>
  <w:style w:type="character" w:customStyle="1" w:styleId="79">
    <w:name w:val="目录 2 Char"/>
    <w:link w:val="27"/>
    <w:qFormat/>
    <w:uiPriority w:val="39"/>
    <w:rPr>
      <w:rFonts w:ascii="Times New Roman" w:hAnsi="Times New Roman" w:eastAsia="宋体"/>
      <w:smallCaps/>
      <w:sz w:val="24"/>
    </w:rPr>
  </w:style>
  <w:style w:type="character" w:customStyle="1" w:styleId="80">
    <w:name w:val="图表头 Char"/>
    <w:link w:val="73"/>
    <w:qFormat/>
    <w:uiPriority w:val="0"/>
    <w:rPr>
      <w:b/>
      <w:sz w:val="24"/>
    </w:rPr>
  </w:style>
  <w:style w:type="paragraph" w:customStyle="1" w:styleId="81">
    <w:name w:val="表文字"/>
    <w:qFormat/>
    <w:uiPriority w:val="0"/>
    <w:pPr>
      <w:widowControl w:val="0"/>
      <w:adjustRightInd w:val="0"/>
      <w:snapToGrid w:val="0"/>
      <w:spacing w:line="240" w:lineRule="auto"/>
      <w:ind w:firstLine="0" w:firstLineChars="0"/>
      <w:jc w:val="center"/>
    </w:pPr>
    <w:rPr>
      <w:rFonts w:ascii="Times New Roman" w:hAnsi="Times New Roman" w:eastAsia="宋体" w:cs="宋体"/>
      <w:b/>
      <w:kern w:val="2"/>
      <w:sz w:val="24"/>
      <w:szCs w:val="21"/>
      <w:lang w:val="en-US" w:eastAsia="zh-CN" w:bidi="ar-SA"/>
    </w:rPr>
  </w:style>
  <w:style w:type="paragraph" w:customStyle="1" w:styleId="82">
    <w:name w:val="样式3"/>
    <w:basedOn w:val="4"/>
    <w:qFormat/>
    <w:uiPriority w:val="0"/>
    <w:pPr>
      <w:spacing w:before="0" w:beforeAutospacing="0" w:after="0" w:afterAutospacing="0" w:line="240" w:lineRule="auto"/>
    </w:pPr>
    <w:rPr>
      <w:rFonts w:ascii="宋体" w:hAnsi="宋体"/>
      <w:color w:val="000000"/>
      <w:szCs w:val="28"/>
    </w:rPr>
  </w:style>
  <w:style w:type="paragraph" w:customStyle="1" w:styleId="83">
    <w:name w:val="样式 宋体 四号 行距: 1.5 倍行距"/>
    <w:basedOn w:val="1"/>
    <w:qFormat/>
    <w:uiPriority w:val="0"/>
    <w:pPr>
      <w:ind w:firstLine="560"/>
    </w:pPr>
    <w:rPr>
      <w:rFonts w:ascii="宋体" w:hAnsi="宋体" w:cs="宋体"/>
      <w:sz w:val="24"/>
      <w:szCs w:val="20"/>
    </w:rPr>
  </w:style>
  <w:style w:type="paragraph" w:customStyle="1" w:styleId="84">
    <w:name w:val="样式 四号 行距: 1.5 倍行距 首行缩进:  2 字符"/>
    <w:basedOn w:val="1"/>
    <w:qFormat/>
    <w:uiPriority w:val="0"/>
    <w:pPr>
      <w:ind w:firstLine="560"/>
    </w:pPr>
    <w:rPr>
      <w:rFonts w:cs="宋体"/>
      <w:szCs w:val="20"/>
    </w:rPr>
  </w:style>
  <w:style w:type="character" w:customStyle="1" w:styleId="85">
    <w:name w:val="表格内容宋五（左） Char"/>
    <w:link w:val="50"/>
    <w:qFormat/>
    <w:uiPriority w:val="0"/>
    <w:rPr>
      <w:rFonts w:ascii="Times New Roman" w:hAnsi="Times New Roman" w:eastAsia="宋体" w:cs="Times New Roman"/>
      <w:kern w:val="0"/>
      <w:sz w:val="21"/>
      <w:szCs w:val="20"/>
      <w:lang w:eastAsia="zh-CN"/>
    </w:rPr>
  </w:style>
  <w:style w:type="paragraph" w:customStyle="1" w:styleId="86">
    <w:name w:val="表格 标题"/>
    <w:next w:val="1"/>
    <w:link w:val="95"/>
    <w:qFormat/>
    <w:uiPriority w:val="0"/>
    <w:pPr>
      <w:spacing w:line="360" w:lineRule="auto"/>
      <w:jc w:val="center"/>
    </w:pPr>
    <w:rPr>
      <w:rFonts w:ascii="Calibri" w:hAnsi="Calibri" w:eastAsia="宋体" w:cs="Times New Roman"/>
      <w:b/>
      <w:kern w:val="2"/>
      <w:sz w:val="24"/>
      <w:szCs w:val="24"/>
      <w:lang w:val="en-US" w:eastAsia="zh-CN" w:bidi="ar-SA"/>
    </w:rPr>
  </w:style>
  <w:style w:type="paragraph" w:customStyle="1" w:styleId="87">
    <w:name w:val="标题5"/>
    <w:basedOn w:val="1"/>
    <w:qFormat/>
    <w:uiPriority w:val="0"/>
    <w:pPr>
      <w:keepNext/>
      <w:keepLines/>
      <w:ind w:firstLine="200"/>
      <w:outlineLvl w:val="4"/>
    </w:pPr>
    <w:rPr>
      <w:b/>
      <w:kern w:val="2"/>
      <w:sz w:val="28"/>
      <w:szCs w:val="21"/>
    </w:rPr>
  </w:style>
  <w:style w:type="paragraph" w:customStyle="1" w:styleId="88">
    <w:name w:val="Body Text First Indent"/>
    <w:qFormat/>
    <w:uiPriority w:val="0"/>
    <w:pPr>
      <w:widowControl w:val="0"/>
      <w:adjustRightInd/>
      <w:snapToGrid w:val="0"/>
      <w:spacing w:after="120" w:afterLines="0" w:line="240" w:lineRule="auto"/>
      <w:ind w:firstLine="420" w:firstLineChars="100"/>
      <w:jc w:val="both"/>
      <w:textAlignment w:val="auto"/>
    </w:pPr>
    <w:rPr>
      <w:rFonts w:ascii="MingLiU" w:hAnsi="MingLiU" w:eastAsia="MingLiU" w:cs="MingLiU"/>
      <w:kern w:val="2"/>
      <w:sz w:val="28"/>
      <w:szCs w:val="18"/>
      <w:u w:val="none"/>
      <w:lang w:val="en-US" w:eastAsia="zh-CN" w:bidi="ar-SA"/>
    </w:rPr>
  </w:style>
  <w:style w:type="paragraph" w:customStyle="1" w:styleId="89">
    <w:name w:val="1）小标题"/>
    <w:basedOn w:val="1"/>
    <w:next w:val="1"/>
    <w:qFormat/>
    <w:uiPriority w:val="0"/>
    <w:rPr>
      <w:b/>
    </w:rPr>
  </w:style>
  <w:style w:type="paragraph" w:customStyle="1" w:styleId="90">
    <w:name w:val="样式5"/>
    <w:basedOn w:val="1"/>
    <w:qFormat/>
    <w:uiPriority w:val="0"/>
    <w:pPr>
      <w:ind w:right="-147" w:firstLine="543" w:firstLineChars="200"/>
    </w:pPr>
    <w:rPr>
      <w:rFonts w:ascii="仿宋_GB2312" w:eastAsia="仿宋_GB2312"/>
      <w:sz w:val="28"/>
      <w:szCs w:val="28"/>
    </w:rPr>
  </w:style>
  <w:style w:type="paragraph" w:customStyle="1" w:styleId="91">
    <w:name w:val="HTML Address"/>
    <w:basedOn w:val="1"/>
    <w:qFormat/>
    <w:uiPriority w:val="0"/>
    <w:pPr>
      <w:widowControl/>
      <w:spacing w:before="100" w:beforeLines="0" w:beforeAutospacing="1" w:after="100" w:afterLines="0" w:afterAutospacing="1"/>
      <w:jc w:val="left"/>
    </w:pPr>
    <w:rPr>
      <w:rFonts w:ascii="宋体" w:hAnsi="宋体"/>
      <w:kern w:val="0"/>
      <w:sz w:val="24"/>
      <w:szCs w:val="24"/>
    </w:rPr>
  </w:style>
  <w:style w:type="paragraph" w:customStyle="1" w:styleId="92">
    <w:name w:val="Plain Text"/>
    <w:basedOn w:val="1"/>
    <w:next w:val="1"/>
    <w:qFormat/>
    <w:uiPriority w:val="0"/>
    <w:rPr>
      <w:rFonts w:ascii="宋体" w:hAnsi="Courier New" w:cs="Courier New"/>
      <w:szCs w:val="21"/>
    </w:rPr>
  </w:style>
  <w:style w:type="paragraph" w:customStyle="1" w:styleId="93">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character" w:customStyle="1" w:styleId="94">
    <w:name w:val="2表头 Char"/>
    <w:link w:val="56"/>
    <w:qFormat/>
    <w:uiPriority w:val="0"/>
    <w:rPr>
      <w:rFonts w:ascii="Times New Roman" w:hAnsi="Times New Roman" w:eastAsia="宋体" w:cs="Times New Roman"/>
      <w:b/>
    </w:rPr>
  </w:style>
  <w:style w:type="character" w:customStyle="1" w:styleId="95">
    <w:name w:val="表格 标题 Char"/>
    <w:link w:val="86"/>
    <w:qFormat/>
    <w:uiPriority w:val="0"/>
    <w:rPr>
      <w:rFonts w:ascii="Calibri" w:hAnsi="Calibri" w:eastAsia="宋体" w:cs="Times New Roman"/>
      <w:b/>
      <w:kern w:val="2"/>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2.xml"/><Relationship Id="rId8" Type="http://schemas.openxmlformats.org/officeDocument/2006/relationships/footer" Target="footer1.xml"/><Relationship Id="rId7" Type="http://schemas.openxmlformats.org/officeDocument/2006/relationships/header" Target="header3.xml"/><Relationship Id="rId6" Type="http://schemas.openxmlformats.org/officeDocument/2006/relationships/header" Target="header2.xml"/><Relationship Id="rId5" Type="http://schemas.openxmlformats.org/officeDocument/2006/relationships/header" Target="header1.xml"/><Relationship Id="rId45" Type="http://schemas.openxmlformats.org/officeDocument/2006/relationships/fontTable" Target="fontTable.xml"/><Relationship Id="rId44" Type="http://schemas.microsoft.com/office/2006/relationships/keyMapCustomizations" Target="customizations.xml"/><Relationship Id="rId43" Type="http://schemas.openxmlformats.org/officeDocument/2006/relationships/customXml" Target="../customXml/item2.xml"/><Relationship Id="rId42" Type="http://schemas.openxmlformats.org/officeDocument/2006/relationships/numbering" Target="numbering.xml"/><Relationship Id="rId41" Type="http://schemas.openxmlformats.org/officeDocument/2006/relationships/customXml" Target="../customXml/item1.xml"/><Relationship Id="rId40" Type="http://schemas.openxmlformats.org/officeDocument/2006/relationships/image" Target="media/image24.jpeg"/><Relationship Id="rId4" Type="http://schemas.openxmlformats.org/officeDocument/2006/relationships/endnotes" Target="endnotes.xml"/><Relationship Id="rId39" Type="http://schemas.openxmlformats.org/officeDocument/2006/relationships/image" Target="media/image23.jpeg"/><Relationship Id="rId38" Type="http://schemas.openxmlformats.org/officeDocument/2006/relationships/image" Target="media/image22.jpeg"/><Relationship Id="rId37" Type="http://schemas.openxmlformats.org/officeDocument/2006/relationships/image" Target="media/image21.png"/><Relationship Id="rId36" Type="http://schemas.openxmlformats.org/officeDocument/2006/relationships/image" Target="media/image20.jpeg"/><Relationship Id="rId35" Type="http://schemas.openxmlformats.org/officeDocument/2006/relationships/image" Target="media/image19.jpeg"/><Relationship Id="rId34" Type="http://schemas.openxmlformats.org/officeDocument/2006/relationships/image" Target="media/image18.jpeg"/><Relationship Id="rId33" Type="http://schemas.openxmlformats.org/officeDocument/2006/relationships/image" Target="media/image17.jpeg"/><Relationship Id="rId32" Type="http://schemas.openxmlformats.org/officeDocument/2006/relationships/image" Target="media/image16.jpeg"/><Relationship Id="rId31" Type="http://schemas.openxmlformats.org/officeDocument/2006/relationships/image" Target="media/image15.jpeg"/><Relationship Id="rId30" Type="http://schemas.openxmlformats.org/officeDocument/2006/relationships/image" Target="media/image14.jpeg"/><Relationship Id="rId3" Type="http://schemas.openxmlformats.org/officeDocument/2006/relationships/footnotes" Target="footnotes.xml"/><Relationship Id="rId29" Type="http://schemas.openxmlformats.org/officeDocument/2006/relationships/image" Target="media/image13.png"/><Relationship Id="rId28" Type="http://schemas.openxmlformats.org/officeDocument/2006/relationships/image" Target="media/image12.jpeg"/><Relationship Id="rId27" Type="http://schemas.openxmlformats.org/officeDocument/2006/relationships/image" Target="media/image11.jpeg"/><Relationship Id="rId26" Type="http://schemas.openxmlformats.org/officeDocument/2006/relationships/image" Target="media/image10.jpeg"/><Relationship Id="rId25" Type="http://schemas.openxmlformats.org/officeDocument/2006/relationships/image" Target="media/image9.jpeg"/><Relationship Id="rId24" Type="http://schemas.openxmlformats.org/officeDocument/2006/relationships/image" Target="media/image8.png"/><Relationship Id="rId23" Type="http://schemas.openxmlformats.org/officeDocument/2006/relationships/image" Target="media/image7.jpeg"/><Relationship Id="rId22" Type="http://schemas.openxmlformats.org/officeDocument/2006/relationships/image" Target="media/image6.wmf"/><Relationship Id="rId21" Type="http://schemas.openxmlformats.org/officeDocument/2006/relationships/oleObject" Target="embeddings/oleObject1.bin"/><Relationship Id="rId20" Type="http://schemas.openxmlformats.org/officeDocument/2006/relationships/image" Target="media/image5.jpeg"/><Relationship Id="rId2" Type="http://schemas.openxmlformats.org/officeDocument/2006/relationships/settings" Target="settings.xml"/><Relationship Id="rId19" Type="http://schemas.openxmlformats.org/officeDocument/2006/relationships/image" Target="media/image4.png"/><Relationship Id="rId18" Type="http://schemas.openxmlformats.org/officeDocument/2006/relationships/image" Target="media/image3.png"/><Relationship Id="rId17" Type="http://schemas.openxmlformats.org/officeDocument/2006/relationships/image" Target="media/image2.jpeg"/><Relationship Id="rId16" Type="http://schemas.openxmlformats.org/officeDocument/2006/relationships/image" Target="media/image1.jpeg"/><Relationship Id="rId15" Type="http://schemas.openxmlformats.org/officeDocument/2006/relationships/theme" Target="theme/theme1.xml"/><Relationship Id="rId14" Type="http://schemas.openxmlformats.org/officeDocument/2006/relationships/footer" Target="footer6.xml"/><Relationship Id="rId13" Type="http://schemas.openxmlformats.org/officeDocument/2006/relationships/footer" Target="footer5.xml"/><Relationship Id="rId12" Type="http://schemas.openxmlformats.org/officeDocument/2006/relationships/footer" Target="footer4.xml"/><Relationship Id="rId11" Type="http://schemas.openxmlformats.org/officeDocument/2006/relationships/header" Target="header4.xml"/><Relationship Id="rId10" Type="http://schemas.openxmlformats.org/officeDocument/2006/relationships/footer" Target="footer3.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72E363A-F822-4AAE-99D9-201925396DD9}">
  <ds:schemaRefs/>
</ds:datastoreItem>
</file>

<file path=docProps/app.xml><?xml version="1.0" encoding="utf-8"?>
<Properties xmlns="http://schemas.openxmlformats.org/officeDocument/2006/extended-properties" xmlns:vt="http://schemas.openxmlformats.org/officeDocument/2006/docPropsVTypes">
  <Template>Normal.dotm</Template>
  <Company>km</Company>
  <Pages>139</Pages>
  <Words>10647</Words>
  <Characters>13508</Characters>
  <Lines>6997</Lines>
  <Paragraphs>6707</Paragraphs>
  <TotalTime>2</TotalTime>
  <ScaleCrop>false</ScaleCrop>
  <LinksUpToDate>false</LinksUpToDate>
  <CharactersWithSpaces>13651</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2025-11-14T01:32:00Z</dcterms:created>
  <dc:creator>Uranus Qian</dc:creator>
  <cp:lastModifiedBy>吴华</cp:lastModifiedBy>
  <cp:lastPrinted>2025-11-17T07:00:00Z</cp:lastPrinted>
  <dcterms:modified xsi:type="dcterms:W3CDTF">2026-04-16T01:41:41Z</dcterms:modified>
  <cp:revision>17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FECE584CC2B04CC2BA7981C212A5094F_13</vt:lpwstr>
  </property>
  <property fmtid="{D5CDD505-2E9C-101B-9397-08002B2CF9AE}" pid="4" name="KSOTemplateDocerSaveRecord">
    <vt:lpwstr>eyJoZGlkIjoiZDBkOTYwOTcyMTRjNzc2NmQxMmVmMTEyNDA2Y2JhOTEiLCJ1c2VySWQiOiI2MTY0MTgyNzkifQ==</vt:lpwstr>
  </property>
</Properties>
</file>